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ECD77" w14:textId="752C9F12" w:rsidR="005E57CF" w:rsidRPr="00820B09" w:rsidRDefault="005E57CF" w:rsidP="00EE208A">
      <w:pPr>
        <w:jc w:val="both"/>
        <w:rPr>
          <w:rFonts w:asciiTheme="majorHAnsi" w:hAnsiTheme="majorHAnsi"/>
        </w:rPr>
      </w:pPr>
      <w:bookmarkStart w:id="0" w:name="_Toc128645510"/>
    </w:p>
    <w:p w14:paraId="5557287B" w14:textId="77777777" w:rsidR="00FF60A3" w:rsidRPr="00820B09" w:rsidRDefault="00FF60A3" w:rsidP="00EE208A">
      <w:pPr>
        <w:jc w:val="center"/>
        <w:rPr>
          <w:rFonts w:asciiTheme="majorHAnsi" w:hAnsiTheme="majorHAnsi"/>
        </w:rPr>
      </w:pPr>
    </w:p>
    <w:p w14:paraId="08C689CC" w14:textId="41293E48" w:rsidR="00A40170" w:rsidRPr="00A608EE" w:rsidRDefault="001A6851" w:rsidP="00EE208A">
      <w:pPr>
        <w:jc w:val="center"/>
        <w:rPr>
          <w:rFonts w:asciiTheme="majorHAnsi" w:hAnsiTheme="majorHAnsi"/>
          <w:b/>
          <w:sz w:val="44"/>
          <w:szCs w:val="44"/>
        </w:rPr>
      </w:pPr>
      <w:r w:rsidRPr="00A608EE">
        <w:rPr>
          <w:rFonts w:asciiTheme="majorHAnsi" w:hAnsiTheme="majorHAnsi"/>
          <w:b/>
          <w:sz w:val="44"/>
          <w:szCs w:val="44"/>
        </w:rPr>
        <w:t>A Guide to Assessing and Implementing the Universal Standards for Social and Environmental Performance Management</w:t>
      </w:r>
    </w:p>
    <w:p w14:paraId="592413BA" w14:textId="77777777" w:rsidR="006310B9" w:rsidRPr="00A608EE" w:rsidRDefault="006310B9" w:rsidP="00EE208A">
      <w:pPr>
        <w:jc w:val="center"/>
        <w:rPr>
          <w:rFonts w:asciiTheme="majorHAnsi" w:hAnsiTheme="majorHAnsi"/>
          <w:b/>
          <w:szCs w:val="20"/>
        </w:rPr>
      </w:pPr>
    </w:p>
    <w:p w14:paraId="4A5B923A" w14:textId="1FA7CEF8" w:rsidR="00A62294" w:rsidRPr="00A608EE" w:rsidRDefault="00A62294" w:rsidP="00A62294">
      <w:pPr>
        <w:pStyle w:val="paragraph"/>
        <w:pBdr>
          <w:top w:val="single" w:sz="4" w:space="1" w:color="000000"/>
          <w:left w:val="single" w:sz="4" w:space="4" w:color="000000"/>
          <w:bottom w:val="single" w:sz="4" w:space="1" w:color="000000"/>
          <w:right w:val="single" w:sz="4" w:space="4" w:color="000000"/>
        </w:pBdr>
        <w:spacing w:before="0" w:beforeAutospacing="0" w:after="0" w:afterAutospacing="0"/>
        <w:jc w:val="center"/>
        <w:textAlignment w:val="baseline"/>
        <w:rPr>
          <w:rFonts w:ascii="Segoe UI" w:hAnsi="Segoe UI" w:cs="Segoe UI"/>
          <w:color w:val="0070C0"/>
          <w:sz w:val="18"/>
          <w:szCs w:val="18"/>
        </w:rPr>
      </w:pPr>
      <w:r w:rsidRPr="00A608EE">
        <w:rPr>
          <w:rStyle w:val="normaltextrun"/>
          <w:rFonts w:ascii="Work Sans" w:hAnsi="Work Sans" w:cs="Segoe UI"/>
          <w:b/>
          <w:bCs/>
          <w:color w:val="0070C0"/>
          <w:sz w:val="36"/>
          <w:szCs w:val="36"/>
        </w:rPr>
        <w:t>Guide for Disability Inclusion Focus</w:t>
      </w:r>
    </w:p>
    <w:p w14:paraId="717B0B10" w14:textId="36058EC4" w:rsidR="00740E39" w:rsidRPr="00A608EE" w:rsidRDefault="00740E39" w:rsidP="00EE208A">
      <w:pPr>
        <w:jc w:val="center"/>
        <w:rPr>
          <w:rFonts w:asciiTheme="majorHAnsi" w:hAnsiTheme="majorHAnsi"/>
          <w:b/>
          <w:color w:val="5B78E4" w:themeColor="accent5"/>
          <w:sz w:val="36"/>
          <w:szCs w:val="36"/>
        </w:rPr>
      </w:pPr>
    </w:p>
    <w:p w14:paraId="53090E79" w14:textId="77777777" w:rsidR="001A6851" w:rsidRPr="00A608EE" w:rsidRDefault="001A6851" w:rsidP="00EE208A">
      <w:pPr>
        <w:jc w:val="both"/>
        <w:rPr>
          <w:rFonts w:asciiTheme="majorHAnsi" w:hAnsiTheme="majorHAnsi"/>
          <w:b/>
          <w:color w:val="5B78E4" w:themeColor="accent5"/>
          <w:szCs w:val="20"/>
        </w:rPr>
      </w:pPr>
    </w:p>
    <w:p w14:paraId="018F1C88" w14:textId="0B6026C1" w:rsidR="00372CE8" w:rsidRPr="00A608EE" w:rsidRDefault="001A6851" w:rsidP="00EE208A">
      <w:pPr>
        <w:jc w:val="both"/>
        <w:rPr>
          <w:rFonts w:asciiTheme="majorHAnsi" w:hAnsiTheme="majorHAnsi"/>
          <w:b/>
          <w:bCs/>
          <w:color w:val="5B78E4" w:themeColor="accent5"/>
          <w:sz w:val="36"/>
          <w:szCs w:val="36"/>
        </w:rPr>
      </w:pPr>
      <w:r w:rsidRPr="00A608EE">
        <w:rPr>
          <w:noProof/>
        </w:rPr>
        <w:drawing>
          <wp:inline distT="0" distB="0" distL="0" distR="0" wp14:anchorId="6B9E419D" wp14:editId="385A67A5">
            <wp:extent cx="5760720" cy="5760720"/>
            <wp:effectExtent l="0" t="0" r="0" b="0"/>
            <wp:docPr id="1048778084" name="Image 1" descr="Une image contenant texte, capture d’écran, cercl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778084" name="Image 1" descr="Une image contenant texte, capture d’écran, cercle, graphisme&#10;&#10;Le contenu généré par l’IA peut êtr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45BBFE17" w14:textId="77777777" w:rsidR="00026367" w:rsidRPr="00A608EE" w:rsidRDefault="00026367" w:rsidP="00EE208A">
      <w:pPr>
        <w:jc w:val="both"/>
        <w:rPr>
          <w:rFonts w:asciiTheme="majorHAnsi" w:hAnsiTheme="majorHAnsi"/>
        </w:rPr>
      </w:pPr>
    </w:p>
    <w:p w14:paraId="66251448" w14:textId="77777777" w:rsidR="00740E39" w:rsidRPr="00A608EE" w:rsidRDefault="00740E39" w:rsidP="00EE208A">
      <w:pPr>
        <w:jc w:val="both"/>
        <w:rPr>
          <w:rFonts w:asciiTheme="majorHAnsi" w:hAnsiTheme="majorHAnsi"/>
        </w:rPr>
      </w:pPr>
    </w:p>
    <w:p w14:paraId="6ADDDD83" w14:textId="77777777" w:rsidR="00026367" w:rsidRPr="00A608EE" w:rsidRDefault="00026367" w:rsidP="00EE208A">
      <w:pPr>
        <w:jc w:val="both"/>
        <w:rPr>
          <w:rFonts w:asciiTheme="majorHAnsi" w:hAnsiTheme="majorHAnsi"/>
        </w:rPr>
      </w:pPr>
    </w:p>
    <w:p w14:paraId="693114A9" w14:textId="2D4639CE" w:rsidR="00E80BF4" w:rsidRPr="00A608EE" w:rsidRDefault="00E80BF4" w:rsidP="00EE208A">
      <w:pPr>
        <w:jc w:val="both"/>
        <w:rPr>
          <w:rFonts w:asciiTheme="majorHAnsi" w:hAnsiTheme="majorHAnsi"/>
        </w:rPr>
      </w:pPr>
      <w:r w:rsidRPr="00A608EE">
        <w:rPr>
          <w:rFonts w:asciiTheme="majorHAnsi" w:hAnsiTheme="majorHAnsi"/>
        </w:rPr>
        <w:br w:type="page"/>
      </w:r>
    </w:p>
    <w:p w14:paraId="7A2471F1" w14:textId="245650BC" w:rsidR="009A33B6" w:rsidRPr="00A608EE" w:rsidRDefault="002304D2" w:rsidP="00A27AAA">
      <w:pPr>
        <w:pStyle w:val="Heading1"/>
        <w:spacing w:before="0" w:line="240" w:lineRule="auto"/>
        <w:jc w:val="both"/>
      </w:pPr>
      <w:bookmarkStart w:id="1" w:name="_Summary"/>
      <w:bookmarkStart w:id="2" w:name="_Toc230938764"/>
      <w:bookmarkEnd w:id="1"/>
      <w:r w:rsidRPr="00A608EE">
        <w:rPr>
          <w:rStyle w:val="normaltextrun"/>
        </w:rPr>
        <w:lastRenderedPageBreak/>
        <w:t>Summary</w:t>
      </w:r>
      <w:bookmarkEnd w:id="2"/>
    </w:p>
    <w:sdt>
      <w:sdtPr>
        <w:rPr>
          <w:rFonts w:ascii="Times New Roman" w:eastAsiaTheme="minorEastAsia" w:hAnsi="Times New Roman" w:cstheme="minorBidi"/>
          <w:sz w:val="20"/>
          <w:szCs w:val="20"/>
          <w:lang w:eastAsia="en-US"/>
        </w:rPr>
        <w:id w:val="94758182"/>
        <w:docPartObj>
          <w:docPartGallery w:val="Table of Contents"/>
          <w:docPartUnique/>
        </w:docPartObj>
      </w:sdtPr>
      <w:sdtEndPr>
        <w:rPr>
          <w:rFonts w:asciiTheme="minorHAnsi" w:hAnsiTheme="minorHAnsi" w:cs="Times New Roman"/>
          <w:b/>
          <w:bCs/>
          <w:sz w:val="18"/>
          <w:szCs w:val="18"/>
          <w:lang w:eastAsia="es-ES_tradnl"/>
        </w:rPr>
      </w:sdtEndPr>
      <w:sdtContent>
        <w:p w14:paraId="48F68911" w14:textId="3B7EA622" w:rsidR="00F05755" w:rsidRPr="00A608EE" w:rsidRDefault="00F05755" w:rsidP="00EE208A">
          <w:pPr>
            <w:pStyle w:val="TOCHeading"/>
            <w:spacing w:before="0" w:line="240" w:lineRule="auto"/>
            <w:jc w:val="both"/>
          </w:pPr>
        </w:p>
        <w:p w14:paraId="4EA04883" w14:textId="7271354F" w:rsidR="008D042D" w:rsidRDefault="00F05755">
          <w:pPr>
            <w:pStyle w:val="TOC1"/>
            <w:rPr>
              <w:rFonts w:asciiTheme="minorHAnsi" w:eastAsiaTheme="minorEastAsia" w:hAnsiTheme="minorHAnsi"/>
              <w:noProof/>
              <w:kern w:val="2"/>
              <w:sz w:val="24"/>
              <w:szCs w:val="39"/>
              <w:lang w:bidi="km-KH"/>
              <w14:ligatures w14:val="standardContextual"/>
            </w:rPr>
          </w:pPr>
          <w:r w:rsidRPr="00A608EE">
            <w:rPr>
              <w:rFonts w:asciiTheme="majorHAnsi" w:hAnsiTheme="majorHAnsi"/>
              <w:szCs w:val="20"/>
            </w:rPr>
            <w:fldChar w:fldCharType="begin"/>
          </w:r>
          <w:r w:rsidRPr="00A608EE">
            <w:rPr>
              <w:rFonts w:asciiTheme="majorHAnsi" w:hAnsiTheme="majorHAnsi"/>
              <w:szCs w:val="20"/>
            </w:rPr>
            <w:instrText xml:space="preserve"> TOC \o "1-3" \h \z \u </w:instrText>
          </w:r>
          <w:r w:rsidRPr="00A608EE">
            <w:rPr>
              <w:rFonts w:asciiTheme="majorHAnsi" w:hAnsiTheme="majorHAnsi"/>
              <w:szCs w:val="20"/>
            </w:rPr>
            <w:fldChar w:fldCharType="separate"/>
          </w:r>
          <w:hyperlink w:anchor="_Toc230938764" w:history="1">
            <w:r w:rsidR="008D042D" w:rsidRPr="00591AB8">
              <w:rPr>
                <w:rStyle w:val="Hyperlink"/>
                <w:noProof/>
              </w:rPr>
              <w:t>Summary</w:t>
            </w:r>
            <w:r w:rsidR="008D042D">
              <w:rPr>
                <w:noProof/>
                <w:webHidden/>
              </w:rPr>
              <w:tab/>
            </w:r>
            <w:r w:rsidR="008D042D">
              <w:rPr>
                <w:noProof/>
                <w:webHidden/>
              </w:rPr>
              <w:fldChar w:fldCharType="begin"/>
            </w:r>
            <w:r w:rsidR="008D042D">
              <w:rPr>
                <w:noProof/>
                <w:webHidden/>
              </w:rPr>
              <w:instrText xml:space="preserve"> PAGEREF _Toc230938764 \h </w:instrText>
            </w:r>
            <w:r w:rsidR="008D042D">
              <w:rPr>
                <w:noProof/>
                <w:webHidden/>
              </w:rPr>
            </w:r>
            <w:r w:rsidR="008D042D">
              <w:rPr>
                <w:noProof/>
                <w:webHidden/>
              </w:rPr>
              <w:fldChar w:fldCharType="separate"/>
            </w:r>
            <w:r w:rsidR="008D042D">
              <w:rPr>
                <w:noProof/>
                <w:webHidden/>
              </w:rPr>
              <w:t>1</w:t>
            </w:r>
            <w:r w:rsidR="008D042D">
              <w:rPr>
                <w:noProof/>
                <w:webHidden/>
              </w:rPr>
              <w:fldChar w:fldCharType="end"/>
            </w:r>
          </w:hyperlink>
        </w:p>
        <w:p w14:paraId="760AA034" w14:textId="1B843B89"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765" w:history="1">
            <w:r w:rsidRPr="00591AB8">
              <w:rPr>
                <w:rStyle w:val="Hyperlink"/>
                <w:noProof/>
              </w:rPr>
              <w:t>Acknowledgements</w:t>
            </w:r>
            <w:r>
              <w:rPr>
                <w:noProof/>
                <w:webHidden/>
              </w:rPr>
              <w:tab/>
            </w:r>
            <w:r>
              <w:rPr>
                <w:noProof/>
                <w:webHidden/>
              </w:rPr>
              <w:fldChar w:fldCharType="begin"/>
            </w:r>
            <w:r>
              <w:rPr>
                <w:noProof/>
                <w:webHidden/>
              </w:rPr>
              <w:instrText xml:space="preserve"> PAGEREF _Toc230938765 \h </w:instrText>
            </w:r>
            <w:r>
              <w:rPr>
                <w:noProof/>
                <w:webHidden/>
              </w:rPr>
            </w:r>
            <w:r>
              <w:rPr>
                <w:noProof/>
                <w:webHidden/>
              </w:rPr>
              <w:fldChar w:fldCharType="separate"/>
            </w:r>
            <w:r>
              <w:rPr>
                <w:noProof/>
                <w:webHidden/>
              </w:rPr>
              <w:t>4</w:t>
            </w:r>
            <w:r>
              <w:rPr>
                <w:noProof/>
                <w:webHidden/>
              </w:rPr>
              <w:fldChar w:fldCharType="end"/>
            </w:r>
          </w:hyperlink>
        </w:p>
        <w:p w14:paraId="10B0EA32" w14:textId="24A8006C"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766" w:history="1">
            <w:r w:rsidRPr="00591AB8">
              <w:rPr>
                <w:rStyle w:val="Hyperlink"/>
                <w:noProof/>
              </w:rPr>
              <w:t>Note to readers</w:t>
            </w:r>
            <w:r>
              <w:rPr>
                <w:noProof/>
                <w:webHidden/>
              </w:rPr>
              <w:tab/>
            </w:r>
            <w:r>
              <w:rPr>
                <w:noProof/>
                <w:webHidden/>
              </w:rPr>
              <w:fldChar w:fldCharType="begin"/>
            </w:r>
            <w:r>
              <w:rPr>
                <w:noProof/>
                <w:webHidden/>
              </w:rPr>
              <w:instrText xml:space="preserve"> PAGEREF _Toc230938766 \h </w:instrText>
            </w:r>
            <w:r>
              <w:rPr>
                <w:noProof/>
                <w:webHidden/>
              </w:rPr>
            </w:r>
            <w:r>
              <w:rPr>
                <w:noProof/>
                <w:webHidden/>
              </w:rPr>
              <w:fldChar w:fldCharType="separate"/>
            </w:r>
            <w:r>
              <w:rPr>
                <w:noProof/>
                <w:webHidden/>
              </w:rPr>
              <w:t>4</w:t>
            </w:r>
            <w:r>
              <w:rPr>
                <w:noProof/>
                <w:webHidden/>
              </w:rPr>
              <w:fldChar w:fldCharType="end"/>
            </w:r>
          </w:hyperlink>
        </w:p>
        <w:p w14:paraId="6E154B04" w14:textId="1144CD53"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767" w:history="1">
            <w:r w:rsidRPr="00591AB8">
              <w:rPr>
                <w:rStyle w:val="Hyperlink"/>
                <w:noProof/>
              </w:rPr>
              <w:t>Introduction</w:t>
            </w:r>
            <w:r>
              <w:rPr>
                <w:noProof/>
                <w:webHidden/>
              </w:rPr>
              <w:tab/>
            </w:r>
            <w:r>
              <w:rPr>
                <w:noProof/>
                <w:webHidden/>
              </w:rPr>
              <w:fldChar w:fldCharType="begin"/>
            </w:r>
            <w:r>
              <w:rPr>
                <w:noProof/>
                <w:webHidden/>
              </w:rPr>
              <w:instrText xml:space="preserve"> PAGEREF _Toc230938767 \h </w:instrText>
            </w:r>
            <w:r>
              <w:rPr>
                <w:noProof/>
                <w:webHidden/>
              </w:rPr>
            </w:r>
            <w:r>
              <w:rPr>
                <w:noProof/>
                <w:webHidden/>
              </w:rPr>
              <w:fldChar w:fldCharType="separate"/>
            </w:r>
            <w:r>
              <w:rPr>
                <w:noProof/>
                <w:webHidden/>
              </w:rPr>
              <w:t>5</w:t>
            </w:r>
            <w:r>
              <w:rPr>
                <w:noProof/>
                <w:webHidden/>
              </w:rPr>
              <w:fldChar w:fldCharType="end"/>
            </w:r>
          </w:hyperlink>
        </w:p>
        <w:p w14:paraId="41EBC3E7" w14:textId="7A163255"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768" w:history="1">
            <w:r w:rsidRPr="00591AB8">
              <w:rPr>
                <w:rStyle w:val="Hyperlink"/>
                <w:noProof/>
              </w:rPr>
              <w:t>Dimension 1. Social Strategy</w:t>
            </w:r>
            <w:r>
              <w:rPr>
                <w:noProof/>
                <w:webHidden/>
              </w:rPr>
              <w:tab/>
            </w:r>
            <w:r>
              <w:rPr>
                <w:noProof/>
                <w:webHidden/>
              </w:rPr>
              <w:fldChar w:fldCharType="begin"/>
            </w:r>
            <w:r>
              <w:rPr>
                <w:noProof/>
                <w:webHidden/>
              </w:rPr>
              <w:instrText xml:space="preserve"> PAGEREF _Toc230938768 \h </w:instrText>
            </w:r>
            <w:r>
              <w:rPr>
                <w:noProof/>
                <w:webHidden/>
              </w:rPr>
            </w:r>
            <w:r>
              <w:rPr>
                <w:noProof/>
                <w:webHidden/>
              </w:rPr>
              <w:fldChar w:fldCharType="separate"/>
            </w:r>
            <w:r>
              <w:rPr>
                <w:noProof/>
                <w:webHidden/>
              </w:rPr>
              <w:t>6</w:t>
            </w:r>
            <w:r>
              <w:rPr>
                <w:noProof/>
                <w:webHidden/>
              </w:rPr>
              <w:fldChar w:fldCharType="end"/>
            </w:r>
          </w:hyperlink>
        </w:p>
        <w:p w14:paraId="0CC73AAE" w14:textId="50593330"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69" w:history="1">
            <w:r w:rsidRPr="00591AB8">
              <w:rPr>
                <w:rStyle w:val="Hyperlink"/>
                <w:noProof/>
              </w:rPr>
              <w:t>Standard 1A. The provider has a strategy to achieve its social goals</w:t>
            </w:r>
            <w:r>
              <w:rPr>
                <w:noProof/>
                <w:webHidden/>
              </w:rPr>
              <w:tab/>
            </w:r>
            <w:r>
              <w:rPr>
                <w:noProof/>
                <w:webHidden/>
              </w:rPr>
              <w:fldChar w:fldCharType="begin"/>
            </w:r>
            <w:r>
              <w:rPr>
                <w:noProof/>
                <w:webHidden/>
              </w:rPr>
              <w:instrText xml:space="preserve"> PAGEREF _Toc230938769 \h </w:instrText>
            </w:r>
            <w:r>
              <w:rPr>
                <w:noProof/>
                <w:webHidden/>
              </w:rPr>
            </w:r>
            <w:r>
              <w:rPr>
                <w:noProof/>
                <w:webHidden/>
              </w:rPr>
              <w:fldChar w:fldCharType="separate"/>
            </w:r>
            <w:r>
              <w:rPr>
                <w:noProof/>
                <w:webHidden/>
              </w:rPr>
              <w:t>6</w:t>
            </w:r>
            <w:r>
              <w:rPr>
                <w:noProof/>
                <w:webHidden/>
              </w:rPr>
              <w:fldChar w:fldCharType="end"/>
            </w:r>
          </w:hyperlink>
        </w:p>
        <w:p w14:paraId="5222DCCF" w14:textId="6977D68A"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70" w:history="1">
            <w:r w:rsidRPr="00591AB8">
              <w:rPr>
                <w:rStyle w:val="Hyperlink"/>
                <w:noProof/>
              </w:rPr>
              <w:t xml:space="preserve">1.A.1 </w:t>
            </w:r>
            <w:r w:rsidRPr="00591AB8">
              <w:rPr>
                <w:rStyle w:val="Hyperlink"/>
                <w:rFonts w:eastAsia="Times New Roman" w:cs="Times New Roman"/>
                <w:noProof/>
              </w:rPr>
              <w:t>The strategy specifies the provider's target clients, social goals, and how the provider will achieve those goals.</w:t>
            </w:r>
            <w:r>
              <w:rPr>
                <w:noProof/>
                <w:webHidden/>
              </w:rPr>
              <w:tab/>
            </w:r>
            <w:r>
              <w:rPr>
                <w:noProof/>
                <w:webHidden/>
              </w:rPr>
              <w:fldChar w:fldCharType="begin"/>
            </w:r>
            <w:r>
              <w:rPr>
                <w:noProof/>
                <w:webHidden/>
              </w:rPr>
              <w:instrText xml:space="preserve"> PAGEREF _Toc230938770 \h </w:instrText>
            </w:r>
            <w:r>
              <w:rPr>
                <w:noProof/>
                <w:webHidden/>
              </w:rPr>
            </w:r>
            <w:r>
              <w:rPr>
                <w:noProof/>
                <w:webHidden/>
              </w:rPr>
              <w:fldChar w:fldCharType="separate"/>
            </w:r>
            <w:r>
              <w:rPr>
                <w:noProof/>
                <w:webHidden/>
              </w:rPr>
              <w:t>7</w:t>
            </w:r>
            <w:r>
              <w:rPr>
                <w:noProof/>
                <w:webHidden/>
              </w:rPr>
              <w:fldChar w:fldCharType="end"/>
            </w:r>
          </w:hyperlink>
        </w:p>
        <w:p w14:paraId="1E7DC280" w14:textId="65CF2CFA"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71" w:history="1">
            <w:r w:rsidRPr="00591AB8">
              <w:rPr>
                <w:rStyle w:val="Hyperlink"/>
                <w:noProof/>
              </w:rPr>
              <w:t>1.A.2 The strategy defines indicators and targets to measure the provider's progress toward social goals.</w:t>
            </w:r>
            <w:r>
              <w:rPr>
                <w:noProof/>
                <w:webHidden/>
              </w:rPr>
              <w:tab/>
            </w:r>
            <w:r>
              <w:rPr>
                <w:noProof/>
                <w:webHidden/>
              </w:rPr>
              <w:fldChar w:fldCharType="begin"/>
            </w:r>
            <w:r>
              <w:rPr>
                <w:noProof/>
                <w:webHidden/>
              </w:rPr>
              <w:instrText xml:space="preserve"> PAGEREF _Toc230938771 \h </w:instrText>
            </w:r>
            <w:r>
              <w:rPr>
                <w:noProof/>
                <w:webHidden/>
              </w:rPr>
            </w:r>
            <w:r>
              <w:rPr>
                <w:noProof/>
                <w:webHidden/>
              </w:rPr>
              <w:fldChar w:fldCharType="separate"/>
            </w:r>
            <w:r>
              <w:rPr>
                <w:noProof/>
                <w:webHidden/>
              </w:rPr>
              <w:t>14</w:t>
            </w:r>
            <w:r>
              <w:rPr>
                <w:noProof/>
                <w:webHidden/>
              </w:rPr>
              <w:fldChar w:fldCharType="end"/>
            </w:r>
          </w:hyperlink>
        </w:p>
        <w:p w14:paraId="599B5F0C" w14:textId="2D2A8D48"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72" w:history="1">
            <w:r w:rsidRPr="00591AB8">
              <w:rPr>
                <w:rStyle w:val="Hyperlink"/>
                <w:noProof/>
              </w:rPr>
              <w:t>Standard 1B. The provider collects, analyzes, and reports data that are specific to its social goals.</w:t>
            </w:r>
            <w:r>
              <w:rPr>
                <w:noProof/>
                <w:webHidden/>
              </w:rPr>
              <w:tab/>
            </w:r>
            <w:r>
              <w:rPr>
                <w:noProof/>
                <w:webHidden/>
              </w:rPr>
              <w:fldChar w:fldCharType="begin"/>
            </w:r>
            <w:r>
              <w:rPr>
                <w:noProof/>
                <w:webHidden/>
              </w:rPr>
              <w:instrText xml:space="preserve"> PAGEREF _Toc230938772 \h </w:instrText>
            </w:r>
            <w:r>
              <w:rPr>
                <w:noProof/>
                <w:webHidden/>
              </w:rPr>
            </w:r>
            <w:r>
              <w:rPr>
                <w:noProof/>
                <w:webHidden/>
              </w:rPr>
              <w:fldChar w:fldCharType="separate"/>
            </w:r>
            <w:r>
              <w:rPr>
                <w:noProof/>
                <w:webHidden/>
              </w:rPr>
              <w:t>16</w:t>
            </w:r>
            <w:r>
              <w:rPr>
                <w:noProof/>
                <w:webHidden/>
              </w:rPr>
              <w:fldChar w:fldCharType="end"/>
            </w:r>
          </w:hyperlink>
        </w:p>
        <w:p w14:paraId="389A3231" w14:textId="05EAB1EE"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73" w:history="1">
            <w:r w:rsidRPr="00591AB8">
              <w:rPr>
                <w:rStyle w:val="Hyperlink"/>
                <w:noProof/>
              </w:rPr>
              <w:t>1.B.1 The provider collects data on outcomes for clients and their households.</w:t>
            </w:r>
            <w:r>
              <w:rPr>
                <w:noProof/>
                <w:webHidden/>
              </w:rPr>
              <w:tab/>
            </w:r>
            <w:r>
              <w:rPr>
                <w:noProof/>
                <w:webHidden/>
              </w:rPr>
              <w:fldChar w:fldCharType="begin"/>
            </w:r>
            <w:r>
              <w:rPr>
                <w:noProof/>
                <w:webHidden/>
              </w:rPr>
              <w:instrText xml:space="preserve"> PAGEREF _Toc230938773 \h </w:instrText>
            </w:r>
            <w:r>
              <w:rPr>
                <w:noProof/>
                <w:webHidden/>
              </w:rPr>
            </w:r>
            <w:r>
              <w:rPr>
                <w:noProof/>
                <w:webHidden/>
              </w:rPr>
              <w:fldChar w:fldCharType="separate"/>
            </w:r>
            <w:r>
              <w:rPr>
                <w:noProof/>
                <w:webHidden/>
              </w:rPr>
              <w:t>16</w:t>
            </w:r>
            <w:r>
              <w:rPr>
                <w:noProof/>
                <w:webHidden/>
              </w:rPr>
              <w:fldChar w:fldCharType="end"/>
            </w:r>
          </w:hyperlink>
        </w:p>
        <w:p w14:paraId="0E844BAF" w14:textId="20240626"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74" w:history="1">
            <w:r w:rsidRPr="00591AB8">
              <w:rPr>
                <w:rStyle w:val="Hyperlink"/>
                <w:noProof/>
              </w:rPr>
              <w:t>1.B.2 The provider analyzes outcomes data by client segment.</w:t>
            </w:r>
            <w:r>
              <w:rPr>
                <w:noProof/>
                <w:webHidden/>
              </w:rPr>
              <w:tab/>
            </w:r>
            <w:r>
              <w:rPr>
                <w:noProof/>
                <w:webHidden/>
              </w:rPr>
              <w:fldChar w:fldCharType="begin"/>
            </w:r>
            <w:r>
              <w:rPr>
                <w:noProof/>
                <w:webHidden/>
              </w:rPr>
              <w:instrText xml:space="preserve"> PAGEREF _Toc230938774 \h </w:instrText>
            </w:r>
            <w:r>
              <w:rPr>
                <w:noProof/>
                <w:webHidden/>
              </w:rPr>
            </w:r>
            <w:r>
              <w:rPr>
                <w:noProof/>
                <w:webHidden/>
              </w:rPr>
              <w:fldChar w:fldCharType="separate"/>
            </w:r>
            <w:r>
              <w:rPr>
                <w:noProof/>
                <w:webHidden/>
              </w:rPr>
              <w:t>24</w:t>
            </w:r>
            <w:r>
              <w:rPr>
                <w:noProof/>
                <w:webHidden/>
              </w:rPr>
              <w:fldChar w:fldCharType="end"/>
            </w:r>
          </w:hyperlink>
        </w:p>
        <w:p w14:paraId="04582FCD" w14:textId="7E3DF780"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75" w:history="1">
            <w:r w:rsidRPr="00591AB8">
              <w:rPr>
                <w:rStyle w:val="Hyperlink"/>
                <w:noProof/>
              </w:rPr>
              <w:t>1.B.3 The provider reports social performance data internally and externally.</w:t>
            </w:r>
            <w:r>
              <w:rPr>
                <w:noProof/>
                <w:webHidden/>
              </w:rPr>
              <w:tab/>
            </w:r>
            <w:r>
              <w:rPr>
                <w:noProof/>
                <w:webHidden/>
              </w:rPr>
              <w:fldChar w:fldCharType="begin"/>
            </w:r>
            <w:r>
              <w:rPr>
                <w:noProof/>
                <w:webHidden/>
              </w:rPr>
              <w:instrText xml:space="preserve"> PAGEREF _Toc230938775 \h </w:instrText>
            </w:r>
            <w:r>
              <w:rPr>
                <w:noProof/>
                <w:webHidden/>
              </w:rPr>
            </w:r>
            <w:r>
              <w:rPr>
                <w:noProof/>
                <w:webHidden/>
              </w:rPr>
              <w:fldChar w:fldCharType="separate"/>
            </w:r>
            <w:r>
              <w:rPr>
                <w:noProof/>
                <w:webHidden/>
              </w:rPr>
              <w:t>26</w:t>
            </w:r>
            <w:r>
              <w:rPr>
                <w:noProof/>
                <w:webHidden/>
              </w:rPr>
              <w:fldChar w:fldCharType="end"/>
            </w:r>
          </w:hyperlink>
        </w:p>
        <w:p w14:paraId="462E79EE" w14:textId="63B14FEE"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776" w:history="1">
            <w:r w:rsidRPr="00591AB8">
              <w:rPr>
                <w:rStyle w:val="Hyperlink"/>
                <w:noProof/>
              </w:rPr>
              <w:t>Dimension 2. Committed Leadership</w:t>
            </w:r>
            <w:r>
              <w:rPr>
                <w:noProof/>
                <w:webHidden/>
              </w:rPr>
              <w:tab/>
            </w:r>
            <w:r>
              <w:rPr>
                <w:noProof/>
                <w:webHidden/>
              </w:rPr>
              <w:fldChar w:fldCharType="begin"/>
            </w:r>
            <w:r>
              <w:rPr>
                <w:noProof/>
                <w:webHidden/>
              </w:rPr>
              <w:instrText xml:space="preserve"> PAGEREF _Toc230938776 \h </w:instrText>
            </w:r>
            <w:r>
              <w:rPr>
                <w:noProof/>
                <w:webHidden/>
              </w:rPr>
            </w:r>
            <w:r>
              <w:rPr>
                <w:noProof/>
                <w:webHidden/>
              </w:rPr>
              <w:fldChar w:fldCharType="separate"/>
            </w:r>
            <w:r>
              <w:rPr>
                <w:noProof/>
                <w:webHidden/>
              </w:rPr>
              <w:t>28</w:t>
            </w:r>
            <w:r>
              <w:rPr>
                <w:noProof/>
                <w:webHidden/>
              </w:rPr>
              <w:fldChar w:fldCharType="end"/>
            </w:r>
          </w:hyperlink>
        </w:p>
        <w:p w14:paraId="00086A9E" w14:textId="52EABC51"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77" w:history="1">
            <w:r w:rsidRPr="00591AB8">
              <w:rPr>
                <w:rStyle w:val="Hyperlink"/>
                <w:noProof/>
              </w:rPr>
              <w:t>Standard 2A. Members of the board of directors hold management accountable for achieving the provider’s social goals.</w:t>
            </w:r>
            <w:r>
              <w:rPr>
                <w:noProof/>
                <w:webHidden/>
              </w:rPr>
              <w:tab/>
            </w:r>
            <w:r>
              <w:rPr>
                <w:noProof/>
                <w:webHidden/>
              </w:rPr>
              <w:fldChar w:fldCharType="begin"/>
            </w:r>
            <w:r>
              <w:rPr>
                <w:noProof/>
                <w:webHidden/>
              </w:rPr>
              <w:instrText xml:space="preserve"> PAGEREF _Toc230938777 \h </w:instrText>
            </w:r>
            <w:r>
              <w:rPr>
                <w:noProof/>
                <w:webHidden/>
              </w:rPr>
            </w:r>
            <w:r>
              <w:rPr>
                <w:noProof/>
                <w:webHidden/>
              </w:rPr>
              <w:fldChar w:fldCharType="separate"/>
            </w:r>
            <w:r>
              <w:rPr>
                <w:noProof/>
                <w:webHidden/>
              </w:rPr>
              <w:t>28</w:t>
            </w:r>
            <w:r>
              <w:rPr>
                <w:noProof/>
                <w:webHidden/>
              </w:rPr>
              <w:fldChar w:fldCharType="end"/>
            </w:r>
          </w:hyperlink>
        </w:p>
        <w:p w14:paraId="5DEEE9FE" w14:textId="56EEC38D"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78" w:history="1">
            <w:r w:rsidRPr="00591AB8">
              <w:rPr>
                <w:rStyle w:val="Hyperlink"/>
                <w:noProof/>
              </w:rPr>
              <w:t>2.A.1 Board composition reflects the provider’s social strategy and sound governance practices.</w:t>
            </w:r>
            <w:r>
              <w:rPr>
                <w:noProof/>
                <w:webHidden/>
              </w:rPr>
              <w:tab/>
            </w:r>
            <w:r>
              <w:rPr>
                <w:noProof/>
                <w:webHidden/>
              </w:rPr>
              <w:fldChar w:fldCharType="begin"/>
            </w:r>
            <w:r>
              <w:rPr>
                <w:noProof/>
                <w:webHidden/>
              </w:rPr>
              <w:instrText xml:space="preserve"> PAGEREF _Toc230938778 \h </w:instrText>
            </w:r>
            <w:r>
              <w:rPr>
                <w:noProof/>
                <w:webHidden/>
              </w:rPr>
            </w:r>
            <w:r>
              <w:rPr>
                <w:noProof/>
                <w:webHidden/>
              </w:rPr>
              <w:fldChar w:fldCharType="separate"/>
            </w:r>
            <w:r>
              <w:rPr>
                <w:noProof/>
                <w:webHidden/>
              </w:rPr>
              <w:t>29</w:t>
            </w:r>
            <w:r>
              <w:rPr>
                <w:noProof/>
                <w:webHidden/>
              </w:rPr>
              <w:fldChar w:fldCharType="end"/>
            </w:r>
          </w:hyperlink>
        </w:p>
        <w:p w14:paraId="319390C3" w14:textId="076D9219"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79" w:history="1">
            <w:r w:rsidRPr="00591AB8">
              <w:rPr>
                <w:rStyle w:val="Hyperlink"/>
                <w:noProof/>
              </w:rPr>
              <w:t>2.A.2 The provider trains board members on their social performance management responsibilities.</w:t>
            </w:r>
            <w:r>
              <w:rPr>
                <w:noProof/>
                <w:webHidden/>
              </w:rPr>
              <w:tab/>
            </w:r>
            <w:r>
              <w:rPr>
                <w:noProof/>
                <w:webHidden/>
              </w:rPr>
              <w:fldChar w:fldCharType="begin"/>
            </w:r>
            <w:r>
              <w:rPr>
                <w:noProof/>
                <w:webHidden/>
              </w:rPr>
              <w:instrText xml:space="preserve"> PAGEREF _Toc230938779 \h </w:instrText>
            </w:r>
            <w:r>
              <w:rPr>
                <w:noProof/>
                <w:webHidden/>
              </w:rPr>
            </w:r>
            <w:r>
              <w:rPr>
                <w:noProof/>
                <w:webHidden/>
              </w:rPr>
              <w:fldChar w:fldCharType="separate"/>
            </w:r>
            <w:r>
              <w:rPr>
                <w:noProof/>
                <w:webHidden/>
              </w:rPr>
              <w:t>31</w:t>
            </w:r>
            <w:r>
              <w:rPr>
                <w:noProof/>
                <w:webHidden/>
              </w:rPr>
              <w:fldChar w:fldCharType="end"/>
            </w:r>
          </w:hyperlink>
        </w:p>
        <w:p w14:paraId="05256801" w14:textId="0A071E0C"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80" w:history="1">
            <w:r w:rsidRPr="00591AB8">
              <w:rPr>
                <w:rStyle w:val="Hyperlink"/>
                <w:noProof/>
              </w:rPr>
              <w:t>2.A.3 The board makes strategic decisions based on social and financial data.</w:t>
            </w:r>
            <w:r>
              <w:rPr>
                <w:noProof/>
                <w:webHidden/>
              </w:rPr>
              <w:tab/>
            </w:r>
            <w:r>
              <w:rPr>
                <w:noProof/>
                <w:webHidden/>
              </w:rPr>
              <w:fldChar w:fldCharType="begin"/>
            </w:r>
            <w:r>
              <w:rPr>
                <w:noProof/>
                <w:webHidden/>
              </w:rPr>
              <w:instrText xml:space="preserve"> PAGEREF _Toc230938780 \h </w:instrText>
            </w:r>
            <w:r>
              <w:rPr>
                <w:noProof/>
                <w:webHidden/>
              </w:rPr>
            </w:r>
            <w:r>
              <w:rPr>
                <w:noProof/>
                <w:webHidden/>
              </w:rPr>
              <w:fldChar w:fldCharType="separate"/>
            </w:r>
            <w:r>
              <w:rPr>
                <w:noProof/>
                <w:webHidden/>
              </w:rPr>
              <w:t>35</w:t>
            </w:r>
            <w:r>
              <w:rPr>
                <w:noProof/>
                <w:webHidden/>
              </w:rPr>
              <w:fldChar w:fldCharType="end"/>
            </w:r>
          </w:hyperlink>
        </w:p>
        <w:p w14:paraId="071395B4" w14:textId="175B47B0"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81" w:history="1">
            <w:r w:rsidRPr="00591AB8">
              <w:rPr>
                <w:rStyle w:val="Hyperlink"/>
                <w:noProof/>
              </w:rPr>
              <w:t>Standard 2B. Senior management is responsible for implementing the provider’s strategy for achieving its social goals.</w:t>
            </w:r>
            <w:r>
              <w:rPr>
                <w:noProof/>
                <w:webHidden/>
              </w:rPr>
              <w:tab/>
            </w:r>
            <w:r>
              <w:rPr>
                <w:noProof/>
                <w:webHidden/>
              </w:rPr>
              <w:fldChar w:fldCharType="begin"/>
            </w:r>
            <w:r>
              <w:rPr>
                <w:noProof/>
                <w:webHidden/>
              </w:rPr>
              <w:instrText xml:space="preserve"> PAGEREF _Toc230938781 \h </w:instrText>
            </w:r>
            <w:r>
              <w:rPr>
                <w:noProof/>
                <w:webHidden/>
              </w:rPr>
            </w:r>
            <w:r>
              <w:rPr>
                <w:noProof/>
                <w:webHidden/>
              </w:rPr>
              <w:fldChar w:fldCharType="separate"/>
            </w:r>
            <w:r>
              <w:rPr>
                <w:noProof/>
                <w:webHidden/>
              </w:rPr>
              <w:t>40</w:t>
            </w:r>
            <w:r>
              <w:rPr>
                <w:noProof/>
                <w:webHidden/>
              </w:rPr>
              <w:fldChar w:fldCharType="end"/>
            </w:r>
          </w:hyperlink>
        </w:p>
        <w:p w14:paraId="1562DBBB" w14:textId="782DBA91"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82" w:history="1">
            <w:r w:rsidRPr="00591AB8">
              <w:rPr>
                <w:rStyle w:val="Hyperlink"/>
                <w:noProof/>
              </w:rPr>
              <w:t>2.B.1 The provider includes social goals in its operational plan and the CEO/Managing Director holds senior managers accountable for achieving social targets.</w:t>
            </w:r>
            <w:r>
              <w:rPr>
                <w:noProof/>
                <w:webHidden/>
              </w:rPr>
              <w:tab/>
            </w:r>
            <w:r>
              <w:rPr>
                <w:noProof/>
                <w:webHidden/>
              </w:rPr>
              <w:fldChar w:fldCharType="begin"/>
            </w:r>
            <w:r>
              <w:rPr>
                <w:noProof/>
                <w:webHidden/>
              </w:rPr>
              <w:instrText xml:space="preserve"> PAGEREF _Toc230938782 \h </w:instrText>
            </w:r>
            <w:r>
              <w:rPr>
                <w:noProof/>
                <w:webHidden/>
              </w:rPr>
            </w:r>
            <w:r>
              <w:rPr>
                <w:noProof/>
                <w:webHidden/>
              </w:rPr>
              <w:fldChar w:fldCharType="separate"/>
            </w:r>
            <w:r>
              <w:rPr>
                <w:noProof/>
                <w:webHidden/>
              </w:rPr>
              <w:t>41</w:t>
            </w:r>
            <w:r>
              <w:rPr>
                <w:noProof/>
                <w:webHidden/>
              </w:rPr>
              <w:fldChar w:fldCharType="end"/>
            </w:r>
          </w:hyperlink>
        </w:p>
        <w:p w14:paraId="0C945766" w14:textId="7EAA7335"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83" w:history="1">
            <w:r w:rsidRPr="00591AB8">
              <w:rPr>
                <w:rStyle w:val="Hyperlink"/>
                <w:noProof/>
              </w:rPr>
              <w:t>2.B.2 Management makes strategic and operational decisions based on social and financial data.</w:t>
            </w:r>
            <w:r>
              <w:rPr>
                <w:noProof/>
                <w:webHidden/>
              </w:rPr>
              <w:tab/>
            </w:r>
            <w:r>
              <w:rPr>
                <w:noProof/>
                <w:webHidden/>
              </w:rPr>
              <w:fldChar w:fldCharType="begin"/>
            </w:r>
            <w:r>
              <w:rPr>
                <w:noProof/>
                <w:webHidden/>
              </w:rPr>
              <w:instrText xml:space="preserve"> PAGEREF _Toc230938783 \h </w:instrText>
            </w:r>
            <w:r>
              <w:rPr>
                <w:noProof/>
                <w:webHidden/>
              </w:rPr>
            </w:r>
            <w:r>
              <w:rPr>
                <w:noProof/>
                <w:webHidden/>
              </w:rPr>
              <w:fldChar w:fldCharType="separate"/>
            </w:r>
            <w:r>
              <w:rPr>
                <w:noProof/>
                <w:webHidden/>
              </w:rPr>
              <w:t>42</w:t>
            </w:r>
            <w:r>
              <w:rPr>
                <w:noProof/>
                <w:webHidden/>
              </w:rPr>
              <w:fldChar w:fldCharType="end"/>
            </w:r>
          </w:hyperlink>
        </w:p>
        <w:p w14:paraId="31E99BF4" w14:textId="26CAC05A"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784" w:history="1">
            <w:r w:rsidRPr="00591AB8">
              <w:rPr>
                <w:rStyle w:val="Hyperlink"/>
                <w:noProof/>
              </w:rPr>
              <w:t>Dimension 3. Client-centered Products and Services</w:t>
            </w:r>
            <w:r>
              <w:rPr>
                <w:noProof/>
                <w:webHidden/>
              </w:rPr>
              <w:tab/>
            </w:r>
            <w:r>
              <w:rPr>
                <w:noProof/>
                <w:webHidden/>
              </w:rPr>
              <w:fldChar w:fldCharType="begin"/>
            </w:r>
            <w:r>
              <w:rPr>
                <w:noProof/>
                <w:webHidden/>
              </w:rPr>
              <w:instrText xml:space="preserve"> PAGEREF _Toc230938784 \h </w:instrText>
            </w:r>
            <w:r>
              <w:rPr>
                <w:noProof/>
                <w:webHidden/>
              </w:rPr>
            </w:r>
            <w:r>
              <w:rPr>
                <w:noProof/>
                <w:webHidden/>
              </w:rPr>
              <w:fldChar w:fldCharType="separate"/>
            </w:r>
            <w:r>
              <w:rPr>
                <w:noProof/>
                <w:webHidden/>
              </w:rPr>
              <w:t>46</w:t>
            </w:r>
            <w:r>
              <w:rPr>
                <w:noProof/>
                <w:webHidden/>
              </w:rPr>
              <w:fldChar w:fldCharType="end"/>
            </w:r>
          </w:hyperlink>
        </w:p>
        <w:p w14:paraId="6A10A672" w14:textId="3E147DB9"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85" w:history="1">
            <w:r w:rsidRPr="00591AB8">
              <w:rPr>
                <w:rStyle w:val="Hyperlink"/>
                <w:noProof/>
              </w:rPr>
              <w:t>Standard 3A. The provider collects and analyzes data to understand clients' needs.</w:t>
            </w:r>
            <w:r>
              <w:rPr>
                <w:noProof/>
                <w:webHidden/>
              </w:rPr>
              <w:tab/>
            </w:r>
            <w:r>
              <w:rPr>
                <w:noProof/>
                <w:webHidden/>
              </w:rPr>
              <w:fldChar w:fldCharType="begin"/>
            </w:r>
            <w:r>
              <w:rPr>
                <w:noProof/>
                <w:webHidden/>
              </w:rPr>
              <w:instrText xml:space="preserve"> PAGEREF _Toc230938785 \h </w:instrText>
            </w:r>
            <w:r>
              <w:rPr>
                <w:noProof/>
                <w:webHidden/>
              </w:rPr>
            </w:r>
            <w:r>
              <w:rPr>
                <w:noProof/>
                <w:webHidden/>
              </w:rPr>
              <w:fldChar w:fldCharType="separate"/>
            </w:r>
            <w:r>
              <w:rPr>
                <w:noProof/>
                <w:webHidden/>
              </w:rPr>
              <w:t>46</w:t>
            </w:r>
            <w:r>
              <w:rPr>
                <w:noProof/>
                <w:webHidden/>
              </w:rPr>
              <w:fldChar w:fldCharType="end"/>
            </w:r>
          </w:hyperlink>
        </w:p>
        <w:p w14:paraId="1BCE5635" w14:textId="1EC0F842"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86" w:history="1">
            <w:r w:rsidRPr="00591AB8">
              <w:rPr>
                <w:rStyle w:val="Hyperlink"/>
                <w:noProof/>
              </w:rPr>
              <w:t>3.A.1 The provider conducts market research and pilot testing.</w:t>
            </w:r>
            <w:r>
              <w:rPr>
                <w:noProof/>
                <w:webHidden/>
              </w:rPr>
              <w:tab/>
            </w:r>
            <w:r>
              <w:rPr>
                <w:noProof/>
                <w:webHidden/>
              </w:rPr>
              <w:fldChar w:fldCharType="begin"/>
            </w:r>
            <w:r>
              <w:rPr>
                <w:noProof/>
                <w:webHidden/>
              </w:rPr>
              <w:instrText xml:space="preserve"> PAGEREF _Toc230938786 \h </w:instrText>
            </w:r>
            <w:r>
              <w:rPr>
                <w:noProof/>
                <w:webHidden/>
              </w:rPr>
            </w:r>
            <w:r>
              <w:rPr>
                <w:noProof/>
                <w:webHidden/>
              </w:rPr>
              <w:fldChar w:fldCharType="separate"/>
            </w:r>
            <w:r>
              <w:rPr>
                <w:noProof/>
                <w:webHidden/>
              </w:rPr>
              <w:t>47</w:t>
            </w:r>
            <w:r>
              <w:rPr>
                <w:noProof/>
                <w:webHidden/>
              </w:rPr>
              <w:fldChar w:fldCharType="end"/>
            </w:r>
          </w:hyperlink>
        </w:p>
        <w:p w14:paraId="55CDED38" w14:textId="75F81187"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87" w:history="1">
            <w:r w:rsidRPr="00591AB8">
              <w:rPr>
                <w:rStyle w:val="Hyperlink"/>
                <w:noProof/>
              </w:rPr>
              <w:t>3.A.2 The provider uses data to identify patterns of financial behavior by client segment.</w:t>
            </w:r>
            <w:r>
              <w:rPr>
                <w:noProof/>
                <w:webHidden/>
              </w:rPr>
              <w:tab/>
            </w:r>
            <w:r>
              <w:rPr>
                <w:noProof/>
                <w:webHidden/>
              </w:rPr>
              <w:fldChar w:fldCharType="begin"/>
            </w:r>
            <w:r>
              <w:rPr>
                <w:noProof/>
                <w:webHidden/>
              </w:rPr>
              <w:instrText xml:space="preserve"> PAGEREF _Toc230938787 \h </w:instrText>
            </w:r>
            <w:r>
              <w:rPr>
                <w:noProof/>
                <w:webHidden/>
              </w:rPr>
            </w:r>
            <w:r>
              <w:rPr>
                <w:noProof/>
                <w:webHidden/>
              </w:rPr>
              <w:fldChar w:fldCharType="separate"/>
            </w:r>
            <w:r>
              <w:rPr>
                <w:noProof/>
                <w:webHidden/>
              </w:rPr>
              <w:t>51</w:t>
            </w:r>
            <w:r>
              <w:rPr>
                <w:noProof/>
                <w:webHidden/>
              </w:rPr>
              <w:fldChar w:fldCharType="end"/>
            </w:r>
          </w:hyperlink>
        </w:p>
        <w:p w14:paraId="58125F80" w14:textId="56B61C39"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88" w:history="1">
            <w:r w:rsidRPr="00591AB8">
              <w:rPr>
                <w:rStyle w:val="Hyperlink"/>
                <w:noProof/>
              </w:rPr>
              <w:t>3.A.3 Collect client feedback on their experiences using products and services.</w:t>
            </w:r>
            <w:r>
              <w:rPr>
                <w:noProof/>
                <w:webHidden/>
              </w:rPr>
              <w:tab/>
            </w:r>
            <w:r>
              <w:rPr>
                <w:noProof/>
                <w:webHidden/>
              </w:rPr>
              <w:fldChar w:fldCharType="begin"/>
            </w:r>
            <w:r>
              <w:rPr>
                <w:noProof/>
                <w:webHidden/>
              </w:rPr>
              <w:instrText xml:space="preserve"> PAGEREF _Toc230938788 \h </w:instrText>
            </w:r>
            <w:r>
              <w:rPr>
                <w:noProof/>
                <w:webHidden/>
              </w:rPr>
            </w:r>
            <w:r>
              <w:rPr>
                <w:noProof/>
                <w:webHidden/>
              </w:rPr>
              <w:fldChar w:fldCharType="separate"/>
            </w:r>
            <w:r>
              <w:rPr>
                <w:noProof/>
                <w:webHidden/>
              </w:rPr>
              <w:t>54</w:t>
            </w:r>
            <w:r>
              <w:rPr>
                <w:noProof/>
                <w:webHidden/>
              </w:rPr>
              <w:fldChar w:fldCharType="end"/>
            </w:r>
          </w:hyperlink>
        </w:p>
        <w:p w14:paraId="53E68964" w14:textId="09224B26"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89" w:history="1">
            <w:r w:rsidRPr="00591AB8">
              <w:rPr>
                <w:rStyle w:val="Hyperlink"/>
                <w:noProof/>
              </w:rPr>
              <w:t>Standard 3B. The provider’s products, services, and channels benefit clients.</w:t>
            </w:r>
            <w:r>
              <w:rPr>
                <w:noProof/>
                <w:webHidden/>
              </w:rPr>
              <w:tab/>
            </w:r>
            <w:r>
              <w:rPr>
                <w:noProof/>
                <w:webHidden/>
              </w:rPr>
              <w:fldChar w:fldCharType="begin"/>
            </w:r>
            <w:r>
              <w:rPr>
                <w:noProof/>
                <w:webHidden/>
              </w:rPr>
              <w:instrText xml:space="preserve"> PAGEREF _Toc230938789 \h </w:instrText>
            </w:r>
            <w:r>
              <w:rPr>
                <w:noProof/>
                <w:webHidden/>
              </w:rPr>
            </w:r>
            <w:r>
              <w:rPr>
                <w:noProof/>
                <w:webHidden/>
              </w:rPr>
              <w:fldChar w:fldCharType="separate"/>
            </w:r>
            <w:r>
              <w:rPr>
                <w:noProof/>
                <w:webHidden/>
              </w:rPr>
              <w:t>59</w:t>
            </w:r>
            <w:r>
              <w:rPr>
                <w:noProof/>
                <w:webHidden/>
              </w:rPr>
              <w:fldChar w:fldCharType="end"/>
            </w:r>
          </w:hyperlink>
        </w:p>
        <w:p w14:paraId="4E319DA4" w14:textId="1ECB076D"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90" w:history="1">
            <w:r w:rsidRPr="00591AB8">
              <w:rPr>
                <w:rStyle w:val="Hyperlink"/>
                <w:noProof/>
              </w:rPr>
              <w:t>3.B.1 The provider uses insights from client data to design products, services, and delivery channels.</w:t>
            </w:r>
            <w:r>
              <w:rPr>
                <w:noProof/>
                <w:webHidden/>
              </w:rPr>
              <w:tab/>
            </w:r>
            <w:r>
              <w:rPr>
                <w:noProof/>
                <w:webHidden/>
              </w:rPr>
              <w:fldChar w:fldCharType="begin"/>
            </w:r>
            <w:r>
              <w:rPr>
                <w:noProof/>
                <w:webHidden/>
              </w:rPr>
              <w:instrText xml:space="preserve"> PAGEREF _Toc230938790 \h </w:instrText>
            </w:r>
            <w:r>
              <w:rPr>
                <w:noProof/>
                <w:webHidden/>
              </w:rPr>
            </w:r>
            <w:r>
              <w:rPr>
                <w:noProof/>
                <w:webHidden/>
              </w:rPr>
              <w:fldChar w:fldCharType="separate"/>
            </w:r>
            <w:r>
              <w:rPr>
                <w:noProof/>
                <w:webHidden/>
              </w:rPr>
              <w:t>60</w:t>
            </w:r>
            <w:r>
              <w:rPr>
                <w:noProof/>
                <w:webHidden/>
              </w:rPr>
              <w:fldChar w:fldCharType="end"/>
            </w:r>
          </w:hyperlink>
        </w:p>
        <w:p w14:paraId="60796E06" w14:textId="0E8E0E31"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91" w:history="1">
            <w:r w:rsidRPr="00591AB8">
              <w:rPr>
                <w:rStyle w:val="Hyperlink"/>
                <w:noProof/>
              </w:rPr>
              <w:t>3.B.2 The provider removes barriers that prevent access to financial products and services.</w:t>
            </w:r>
            <w:r>
              <w:rPr>
                <w:noProof/>
                <w:webHidden/>
              </w:rPr>
              <w:tab/>
            </w:r>
            <w:r>
              <w:rPr>
                <w:noProof/>
                <w:webHidden/>
              </w:rPr>
              <w:fldChar w:fldCharType="begin"/>
            </w:r>
            <w:r>
              <w:rPr>
                <w:noProof/>
                <w:webHidden/>
              </w:rPr>
              <w:instrText xml:space="preserve"> PAGEREF _Toc230938791 \h </w:instrText>
            </w:r>
            <w:r>
              <w:rPr>
                <w:noProof/>
                <w:webHidden/>
              </w:rPr>
            </w:r>
            <w:r>
              <w:rPr>
                <w:noProof/>
                <w:webHidden/>
              </w:rPr>
              <w:fldChar w:fldCharType="separate"/>
            </w:r>
            <w:r>
              <w:rPr>
                <w:noProof/>
                <w:webHidden/>
              </w:rPr>
              <w:t>63</w:t>
            </w:r>
            <w:r>
              <w:rPr>
                <w:noProof/>
                <w:webHidden/>
              </w:rPr>
              <w:fldChar w:fldCharType="end"/>
            </w:r>
          </w:hyperlink>
        </w:p>
        <w:p w14:paraId="2D7EC707" w14:textId="28F7C874"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92" w:history="1">
            <w:r w:rsidRPr="00591AB8">
              <w:rPr>
                <w:rStyle w:val="Hyperlink"/>
                <w:noProof/>
              </w:rPr>
              <w:t>3.B.3 The provider's products, services, and channels protect clients from harm.</w:t>
            </w:r>
            <w:r>
              <w:rPr>
                <w:noProof/>
                <w:webHidden/>
              </w:rPr>
              <w:tab/>
            </w:r>
            <w:r>
              <w:rPr>
                <w:noProof/>
                <w:webHidden/>
              </w:rPr>
              <w:fldChar w:fldCharType="begin"/>
            </w:r>
            <w:r>
              <w:rPr>
                <w:noProof/>
                <w:webHidden/>
              </w:rPr>
              <w:instrText xml:space="preserve"> PAGEREF _Toc230938792 \h </w:instrText>
            </w:r>
            <w:r>
              <w:rPr>
                <w:noProof/>
                <w:webHidden/>
              </w:rPr>
            </w:r>
            <w:r>
              <w:rPr>
                <w:noProof/>
                <w:webHidden/>
              </w:rPr>
              <w:fldChar w:fldCharType="separate"/>
            </w:r>
            <w:r>
              <w:rPr>
                <w:noProof/>
                <w:webHidden/>
              </w:rPr>
              <w:t>67</w:t>
            </w:r>
            <w:r>
              <w:rPr>
                <w:noProof/>
                <w:webHidden/>
              </w:rPr>
              <w:fldChar w:fldCharType="end"/>
            </w:r>
          </w:hyperlink>
        </w:p>
        <w:p w14:paraId="73A63221" w14:textId="3ED41784"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93" w:history="1">
            <w:r w:rsidRPr="00591AB8">
              <w:rPr>
                <w:rStyle w:val="Hyperlink"/>
                <w:noProof/>
              </w:rPr>
              <w:t>3.B.4 The provider's products and services help clients reduce their vulnerability to shock and smooth consumption.</w:t>
            </w:r>
            <w:r>
              <w:rPr>
                <w:noProof/>
                <w:webHidden/>
              </w:rPr>
              <w:tab/>
            </w:r>
            <w:r>
              <w:rPr>
                <w:noProof/>
                <w:webHidden/>
              </w:rPr>
              <w:fldChar w:fldCharType="begin"/>
            </w:r>
            <w:r>
              <w:rPr>
                <w:noProof/>
                <w:webHidden/>
              </w:rPr>
              <w:instrText xml:space="preserve"> PAGEREF _Toc230938793 \h </w:instrText>
            </w:r>
            <w:r>
              <w:rPr>
                <w:noProof/>
                <w:webHidden/>
              </w:rPr>
            </w:r>
            <w:r>
              <w:rPr>
                <w:noProof/>
                <w:webHidden/>
              </w:rPr>
              <w:fldChar w:fldCharType="separate"/>
            </w:r>
            <w:r>
              <w:rPr>
                <w:noProof/>
                <w:webHidden/>
              </w:rPr>
              <w:t>71</w:t>
            </w:r>
            <w:r>
              <w:rPr>
                <w:noProof/>
                <w:webHidden/>
              </w:rPr>
              <w:fldChar w:fldCharType="end"/>
            </w:r>
          </w:hyperlink>
        </w:p>
        <w:p w14:paraId="49DE0CFB" w14:textId="61CB79A3"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94" w:history="1">
            <w:r w:rsidRPr="00591AB8">
              <w:rPr>
                <w:rStyle w:val="Hyperlink"/>
                <w:noProof/>
              </w:rPr>
              <w:t>3.B.5 The provider's products and services help clients achieve their goals.</w:t>
            </w:r>
            <w:r>
              <w:rPr>
                <w:noProof/>
                <w:webHidden/>
              </w:rPr>
              <w:tab/>
            </w:r>
            <w:r>
              <w:rPr>
                <w:noProof/>
                <w:webHidden/>
              </w:rPr>
              <w:fldChar w:fldCharType="begin"/>
            </w:r>
            <w:r>
              <w:rPr>
                <w:noProof/>
                <w:webHidden/>
              </w:rPr>
              <w:instrText xml:space="preserve"> PAGEREF _Toc230938794 \h </w:instrText>
            </w:r>
            <w:r>
              <w:rPr>
                <w:noProof/>
                <w:webHidden/>
              </w:rPr>
            </w:r>
            <w:r>
              <w:rPr>
                <w:noProof/>
                <w:webHidden/>
              </w:rPr>
              <w:fldChar w:fldCharType="separate"/>
            </w:r>
            <w:r>
              <w:rPr>
                <w:noProof/>
                <w:webHidden/>
              </w:rPr>
              <w:t>76</w:t>
            </w:r>
            <w:r>
              <w:rPr>
                <w:noProof/>
                <w:webHidden/>
              </w:rPr>
              <w:fldChar w:fldCharType="end"/>
            </w:r>
          </w:hyperlink>
        </w:p>
        <w:p w14:paraId="66A4CFB9" w14:textId="4D4DFC4D"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795" w:history="1">
            <w:r w:rsidRPr="00591AB8">
              <w:rPr>
                <w:rStyle w:val="Hyperlink"/>
                <w:noProof/>
              </w:rPr>
              <w:t>Dimension 4. Client Protection</w:t>
            </w:r>
            <w:r>
              <w:rPr>
                <w:noProof/>
                <w:webHidden/>
              </w:rPr>
              <w:tab/>
            </w:r>
            <w:r>
              <w:rPr>
                <w:noProof/>
                <w:webHidden/>
              </w:rPr>
              <w:fldChar w:fldCharType="begin"/>
            </w:r>
            <w:r>
              <w:rPr>
                <w:noProof/>
                <w:webHidden/>
              </w:rPr>
              <w:instrText xml:space="preserve"> PAGEREF _Toc230938795 \h </w:instrText>
            </w:r>
            <w:r>
              <w:rPr>
                <w:noProof/>
                <w:webHidden/>
              </w:rPr>
            </w:r>
            <w:r>
              <w:rPr>
                <w:noProof/>
                <w:webHidden/>
              </w:rPr>
              <w:fldChar w:fldCharType="separate"/>
            </w:r>
            <w:r>
              <w:rPr>
                <w:noProof/>
                <w:webHidden/>
              </w:rPr>
              <w:t>82</w:t>
            </w:r>
            <w:r>
              <w:rPr>
                <w:noProof/>
                <w:webHidden/>
              </w:rPr>
              <w:fldChar w:fldCharType="end"/>
            </w:r>
          </w:hyperlink>
        </w:p>
        <w:p w14:paraId="5BC1E48A" w14:textId="5D7EF386"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96" w:history="1">
            <w:r w:rsidRPr="00591AB8">
              <w:rPr>
                <w:rStyle w:val="Hyperlink"/>
                <w:noProof/>
              </w:rPr>
              <w:t>Standard 4A. The provider does not overindebt clients.</w:t>
            </w:r>
            <w:r>
              <w:rPr>
                <w:noProof/>
                <w:webHidden/>
              </w:rPr>
              <w:tab/>
            </w:r>
            <w:r>
              <w:rPr>
                <w:noProof/>
                <w:webHidden/>
              </w:rPr>
              <w:fldChar w:fldCharType="begin"/>
            </w:r>
            <w:r>
              <w:rPr>
                <w:noProof/>
                <w:webHidden/>
              </w:rPr>
              <w:instrText xml:space="preserve"> PAGEREF _Toc230938796 \h </w:instrText>
            </w:r>
            <w:r>
              <w:rPr>
                <w:noProof/>
                <w:webHidden/>
              </w:rPr>
            </w:r>
            <w:r>
              <w:rPr>
                <w:noProof/>
                <w:webHidden/>
              </w:rPr>
              <w:fldChar w:fldCharType="separate"/>
            </w:r>
            <w:r>
              <w:rPr>
                <w:noProof/>
                <w:webHidden/>
              </w:rPr>
              <w:t>82</w:t>
            </w:r>
            <w:r>
              <w:rPr>
                <w:noProof/>
                <w:webHidden/>
              </w:rPr>
              <w:fldChar w:fldCharType="end"/>
            </w:r>
          </w:hyperlink>
        </w:p>
        <w:p w14:paraId="38697765" w14:textId="494DF7AD"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97" w:history="1">
            <w:r w:rsidRPr="00591AB8">
              <w:rPr>
                <w:rStyle w:val="Hyperlink"/>
                <w:noProof/>
              </w:rPr>
              <w:t>4.A.1 The provider makes loan decisions based on a client's repayment capacity.</w:t>
            </w:r>
            <w:r>
              <w:rPr>
                <w:noProof/>
                <w:webHidden/>
              </w:rPr>
              <w:tab/>
            </w:r>
            <w:r>
              <w:rPr>
                <w:noProof/>
                <w:webHidden/>
              </w:rPr>
              <w:fldChar w:fldCharType="begin"/>
            </w:r>
            <w:r>
              <w:rPr>
                <w:noProof/>
                <w:webHidden/>
              </w:rPr>
              <w:instrText xml:space="preserve"> PAGEREF _Toc230938797 \h </w:instrText>
            </w:r>
            <w:r>
              <w:rPr>
                <w:noProof/>
                <w:webHidden/>
              </w:rPr>
            </w:r>
            <w:r>
              <w:rPr>
                <w:noProof/>
                <w:webHidden/>
              </w:rPr>
              <w:fldChar w:fldCharType="separate"/>
            </w:r>
            <w:r>
              <w:rPr>
                <w:noProof/>
                <w:webHidden/>
              </w:rPr>
              <w:t>82</w:t>
            </w:r>
            <w:r>
              <w:rPr>
                <w:noProof/>
                <w:webHidden/>
              </w:rPr>
              <w:fldChar w:fldCharType="end"/>
            </w:r>
          </w:hyperlink>
        </w:p>
        <w:p w14:paraId="411641CC" w14:textId="21A8BDCD"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798" w:history="1">
            <w:r w:rsidRPr="00591AB8">
              <w:rPr>
                <w:rStyle w:val="Hyperlink"/>
                <w:noProof/>
              </w:rPr>
              <w:t>Standard 4B. The provider gives clients clear and timely information to support client decision making.</w:t>
            </w:r>
            <w:r>
              <w:rPr>
                <w:noProof/>
                <w:webHidden/>
              </w:rPr>
              <w:tab/>
            </w:r>
            <w:r>
              <w:rPr>
                <w:noProof/>
                <w:webHidden/>
              </w:rPr>
              <w:fldChar w:fldCharType="begin"/>
            </w:r>
            <w:r>
              <w:rPr>
                <w:noProof/>
                <w:webHidden/>
              </w:rPr>
              <w:instrText xml:space="preserve"> PAGEREF _Toc230938798 \h </w:instrText>
            </w:r>
            <w:r>
              <w:rPr>
                <w:noProof/>
                <w:webHidden/>
              </w:rPr>
            </w:r>
            <w:r>
              <w:rPr>
                <w:noProof/>
                <w:webHidden/>
              </w:rPr>
              <w:fldChar w:fldCharType="separate"/>
            </w:r>
            <w:r>
              <w:rPr>
                <w:noProof/>
                <w:webHidden/>
              </w:rPr>
              <w:t>89</w:t>
            </w:r>
            <w:r>
              <w:rPr>
                <w:noProof/>
                <w:webHidden/>
              </w:rPr>
              <w:fldChar w:fldCharType="end"/>
            </w:r>
          </w:hyperlink>
        </w:p>
        <w:p w14:paraId="0DE6FC5D" w14:textId="7000FE65"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799" w:history="1">
            <w:r w:rsidRPr="00591AB8">
              <w:rPr>
                <w:rStyle w:val="Hyperlink"/>
                <w:noProof/>
              </w:rPr>
              <w:t>4.B.1 The provider is transparent about product terms, conditions, and pricing.</w:t>
            </w:r>
            <w:r>
              <w:rPr>
                <w:noProof/>
                <w:webHidden/>
              </w:rPr>
              <w:tab/>
            </w:r>
            <w:r>
              <w:rPr>
                <w:noProof/>
                <w:webHidden/>
              </w:rPr>
              <w:fldChar w:fldCharType="begin"/>
            </w:r>
            <w:r>
              <w:rPr>
                <w:noProof/>
                <w:webHidden/>
              </w:rPr>
              <w:instrText xml:space="preserve"> PAGEREF _Toc230938799 \h </w:instrText>
            </w:r>
            <w:r>
              <w:rPr>
                <w:noProof/>
                <w:webHidden/>
              </w:rPr>
            </w:r>
            <w:r>
              <w:rPr>
                <w:noProof/>
                <w:webHidden/>
              </w:rPr>
              <w:fldChar w:fldCharType="separate"/>
            </w:r>
            <w:r>
              <w:rPr>
                <w:noProof/>
                <w:webHidden/>
              </w:rPr>
              <w:t>89</w:t>
            </w:r>
            <w:r>
              <w:rPr>
                <w:noProof/>
                <w:webHidden/>
              </w:rPr>
              <w:fldChar w:fldCharType="end"/>
            </w:r>
          </w:hyperlink>
        </w:p>
        <w:p w14:paraId="716C39AC" w14:textId="4E063EDB"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00" w:history="1">
            <w:r w:rsidRPr="00591AB8">
              <w:rPr>
                <w:rStyle w:val="Hyperlink"/>
                <w:noProof/>
              </w:rPr>
              <w:t>4.B.2 The provider communicates with clients at appropriate times and through appropriate channels.</w:t>
            </w:r>
            <w:r>
              <w:rPr>
                <w:noProof/>
                <w:webHidden/>
              </w:rPr>
              <w:tab/>
            </w:r>
            <w:r>
              <w:rPr>
                <w:noProof/>
                <w:webHidden/>
              </w:rPr>
              <w:fldChar w:fldCharType="begin"/>
            </w:r>
            <w:r>
              <w:rPr>
                <w:noProof/>
                <w:webHidden/>
              </w:rPr>
              <w:instrText xml:space="preserve"> PAGEREF _Toc230938800 \h </w:instrText>
            </w:r>
            <w:r>
              <w:rPr>
                <w:noProof/>
                <w:webHidden/>
              </w:rPr>
            </w:r>
            <w:r>
              <w:rPr>
                <w:noProof/>
                <w:webHidden/>
              </w:rPr>
              <w:fldChar w:fldCharType="separate"/>
            </w:r>
            <w:r>
              <w:rPr>
                <w:noProof/>
                <w:webHidden/>
              </w:rPr>
              <w:t>97</w:t>
            </w:r>
            <w:r>
              <w:rPr>
                <w:noProof/>
                <w:webHidden/>
              </w:rPr>
              <w:fldChar w:fldCharType="end"/>
            </w:r>
          </w:hyperlink>
        </w:p>
        <w:p w14:paraId="5FED7D09" w14:textId="611E3A9B"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01" w:history="1">
            <w:r w:rsidRPr="00591AB8">
              <w:rPr>
                <w:rStyle w:val="Hyperlink"/>
                <w:noProof/>
              </w:rPr>
              <w:t>Standard 4C. The provider enforces fair and respectful treatment of clients.</w:t>
            </w:r>
            <w:r>
              <w:rPr>
                <w:noProof/>
                <w:webHidden/>
              </w:rPr>
              <w:tab/>
            </w:r>
            <w:r>
              <w:rPr>
                <w:noProof/>
                <w:webHidden/>
              </w:rPr>
              <w:fldChar w:fldCharType="begin"/>
            </w:r>
            <w:r>
              <w:rPr>
                <w:noProof/>
                <w:webHidden/>
              </w:rPr>
              <w:instrText xml:space="preserve"> PAGEREF _Toc230938801 \h </w:instrText>
            </w:r>
            <w:r>
              <w:rPr>
                <w:noProof/>
                <w:webHidden/>
              </w:rPr>
            </w:r>
            <w:r>
              <w:rPr>
                <w:noProof/>
                <w:webHidden/>
              </w:rPr>
              <w:fldChar w:fldCharType="separate"/>
            </w:r>
            <w:r>
              <w:rPr>
                <w:noProof/>
                <w:webHidden/>
              </w:rPr>
              <w:t>104</w:t>
            </w:r>
            <w:r>
              <w:rPr>
                <w:noProof/>
                <w:webHidden/>
              </w:rPr>
              <w:fldChar w:fldCharType="end"/>
            </w:r>
          </w:hyperlink>
        </w:p>
        <w:p w14:paraId="34E29E5B" w14:textId="2D9024FD"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02" w:history="1">
            <w:r w:rsidRPr="00591AB8">
              <w:rPr>
                <w:rStyle w:val="Hyperlink"/>
                <w:noProof/>
              </w:rPr>
              <w:t>4.C.1 The provider's code of conduct requires fair and respectful treatment of clients.</w:t>
            </w:r>
            <w:r>
              <w:rPr>
                <w:noProof/>
                <w:webHidden/>
              </w:rPr>
              <w:tab/>
            </w:r>
            <w:r>
              <w:rPr>
                <w:noProof/>
                <w:webHidden/>
              </w:rPr>
              <w:fldChar w:fldCharType="begin"/>
            </w:r>
            <w:r>
              <w:rPr>
                <w:noProof/>
                <w:webHidden/>
              </w:rPr>
              <w:instrText xml:space="preserve"> PAGEREF _Toc230938802 \h </w:instrText>
            </w:r>
            <w:r>
              <w:rPr>
                <w:noProof/>
                <w:webHidden/>
              </w:rPr>
            </w:r>
            <w:r>
              <w:rPr>
                <w:noProof/>
                <w:webHidden/>
              </w:rPr>
              <w:fldChar w:fldCharType="separate"/>
            </w:r>
            <w:r>
              <w:rPr>
                <w:noProof/>
                <w:webHidden/>
              </w:rPr>
              <w:t>105</w:t>
            </w:r>
            <w:r>
              <w:rPr>
                <w:noProof/>
                <w:webHidden/>
              </w:rPr>
              <w:fldChar w:fldCharType="end"/>
            </w:r>
          </w:hyperlink>
        </w:p>
        <w:p w14:paraId="74E1EBF6" w14:textId="12807019"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03" w:history="1">
            <w:r w:rsidRPr="00591AB8">
              <w:rPr>
                <w:rStyle w:val="Hyperlink"/>
                <w:noProof/>
              </w:rPr>
              <w:t>4.C.2 The provider does not use aggressive sales techniques.</w:t>
            </w:r>
            <w:r>
              <w:rPr>
                <w:noProof/>
                <w:webHidden/>
              </w:rPr>
              <w:tab/>
            </w:r>
            <w:r>
              <w:rPr>
                <w:noProof/>
                <w:webHidden/>
              </w:rPr>
              <w:fldChar w:fldCharType="begin"/>
            </w:r>
            <w:r>
              <w:rPr>
                <w:noProof/>
                <w:webHidden/>
              </w:rPr>
              <w:instrText xml:space="preserve"> PAGEREF _Toc230938803 \h </w:instrText>
            </w:r>
            <w:r>
              <w:rPr>
                <w:noProof/>
                <w:webHidden/>
              </w:rPr>
            </w:r>
            <w:r>
              <w:rPr>
                <w:noProof/>
                <w:webHidden/>
              </w:rPr>
              <w:fldChar w:fldCharType="separate"/>
            </w:r>
            <w:r>
              <w:rPr>
                <w:noProof/>
                <w:webHidden/>
              </w:rPr>
              <w:t>110</w:t>
            </w:r>
            <w:r>
              <w:rPr>
                <w:noProof/>
                <w:webHidden/>
              </w:rPr>
              <w:fldChar w:fldCharType="end"/>
            </w:r>
          </w:hyperlink>
        </w:p>
        <w:p w14:paraId="1A263395" w14:textId="4AE01600"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04" w:history="1">
            <w:r w:rsidRPr="00591AB8">
              <w:rPr>
                <w:rStyle w:val="Hyperlink"/>
                <w:noProof/>
              </w:rPr>
              <w:t>Standard 4D. The provider secures client data and informs clients about their data rights.</w:t>
            </w:r>
            <w:r>
              <w:rPr>
                <w:noProof/>
                <w:webHidden/>
              </w:rPr>
              <w:tab/>
            </w:r>
            <w:r>
              <w:rPr>
                <w:noProof/>
                <w:webHidden/>
              </w:rPr>
              <w:fldChar w:fldCharType="begin"/>
            </w:r>
            <w:r>
              <w:rPr>
                <w:noProof/>
                <w:webHidden/>
              </w:rPr>
              <w:instrText xml:space="preserve"> PAGEREF _Toc230938804 \h </w:instrText>
            </w:r>
            <w:r>
              <w:rPr>
                <w:noProof/>
                <w:webHidden/>
              </w:rPr>
            </w:r>
            <w:r>
              <w:rPr>
                <w:noProof/>
                <w:webHidden/>
              </w:rPr>
              <w:fldChar w:fldCharType="separate"/>
            </w:r>
            <w:r>
              <w:rPr>
                <w:noProof/>
                <w:webHidden/>
              </w:rPr>
              <w:t>111</w:t>
            </w:r>
            <w:r>
              <w:rPr>
                <w:noProof/>
                <w:webHidden/>
              </w:rPr>
              <w:fldChar w:fldCharType="end"/>
            </w:r>
          </w:hyperlink>
        </w:p>
        <w:p w14:paraId="46958E4E" w14:textId="7B206611"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05" w:history="1">
            <w:r w:rsidRPr="00591AB8">
              <w:rPr>
                <w:rStyle w:val="Hyperlink"/>
                <w:noProof/>
              </w:rPr>
              <w:t>4.D.1 The provider maintains the security and confidentiality of client data.</w:t>
            </w:r>
            <w:r>
              <w:rPr>
                <w:noProof/>
                <w:webHidden/>
              </w:rPr>
              <w:tab/>
            </w:r>
            <w:r>
              <w:rPr>
                <w:noProof/>
                <w:webHidden/>
              </w:rPr>
              <w:fldChar w:fldCharType="begin"/>
            </w:r>
            <w:r>
              <w:rPr>
                <w:noProof/>
                <w:webHidden/>
              </w:rPr>
              <w:instrText xml:space="preserve"> PAGEREF _Toc230938805 \h </w:instrText>
            </w:r>
            <w:r>
              <w:rPr>
                <w:noProof/>
                <w:webHidden/>
              </w:rPr>
            </w:r>
            <w:r>
              <w:rPr>
                <w:noProof/>
                <w:webHidden/>
              </w:rPr>
              <w:fldChar w:fldCharType="separate"/>
            </w:r>
            <w:r>
              <w:rPr>
                <w:noProof/>
                <w:webHidden/>
              </w:rPr>
              <w:t>111</w:t>
            </w:r>
            <w:r>
              <w:rPr>
                <w:noProof/>
                <w:webHidden/>
              </w:rPr>
              <w:fldChar w:fldCharType="end"/>
            </w:r>
          </w:hyperlink>
        </w:p>
        <w:p w14:paraId="7281227F" w14:textId="70A348D8"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06" w:history="1">
            <w:r w:rsidRPr="00591AB8">
              <w:rPr>
                <w:rStyle w:val="Hyperlink"/>
                <w:noProof/>
              </w:rPr>
              <w:t>4.D.2 The provider informs clients about data privacy and data rights.</w:t>
            </w:r>
            <w:r>
              <w:rPr>
                <w:noProof/>
                <w:webHidden/>
              </w:rPr>
              <w:tab/>
            </w:r>
            <w:r>
              <w:rPr>
                <w:noProof/>
                <w:webHidden/>
              </w:rPr>
              <w:fldChar w:fldCharType="begin"/>
            </w:r>
            <w:r>
              <w:rPr>
                <w:noProof/>
                <w:webHidden/>
              </w:rPr>
              <w:instrText xml:space="preserve"> PAGEREF _Toc230938806 \h </w:instrText>
            </w:r>
            <w:r>
              <w:rPr>
                <w:noProof/>
                <w:webHidden/>
              </w:rPr>
            </w:r>
            <w:r>
              <w:rPr>
                <w:noProof/>
                <w:webHidden/>
              </w:rPr>
              <w:fldChar w:fldCharType="separate"/>
            </w:r>
            <w:r>
              <w:rPr>
                <w:noProof/>
                <w:webHidden/>
              </w:rPr>
              <w:t>114</w:t>
            </w:r>
            <w:r>
              <w:rPr>
                <w:noProof/>
                <w:webHidden/>
              </w:rPr>
              <w:fldChar w:fldCharType="end"/>
            </w:r>
          </w:hyperlink>
        </w:p>
        <w:p w14:paraId="5F154C02" w14:textId="69677806"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07" w:history="1">
            <w:r w:rsidRPr="00591AB8">
              <w:rPr>
                <w:rStyle w:val="Hyperlink"/>
                <w:noProof/>
              </w:rPr>
              <w:t>Standard 4E. The provider receives and resolves client complaints.</w:t>
            </w:r>
            <w:r>
              <w:rPr>
                <w:noProof/>
                <w:webHidden/>
              </w:rPr>
              <w:tab/>
            </w:r>
            <w:r>
              <w:rPr>
                <w:noProof/>
                <w:webHidden/>
              </w:rPr>
              <w:fldChar w:fldCharType="begin"/>
            </w:r>
            <w:r>
              <w:rPr>
                <w:noProof/>
                <w:webHidden/>
              </w:rPr>
              <w:instrText xml:space="preserve"> PAGEREF _Toc230938807 \h </w:instrText>
            </w:r>
            <w:r>
              <w:rPr>
                <w:noProof/>
                <w:webHidden/>
              </w:rPr>
            </w:r>
            <w:r>
              <w:rPr>
                <w:noProof/>
                <w:webHidden/>
              </w:rPr>
              <w:fldChar w:fldCharType="separate"/>
            </w:r>
            <w:r>
              <w:rPr>
                <w:noProof/>
                <w:webHidden/>
              </w:rPr>
              <w:t>116</w:t>
            </w:r>
            <w:r>
              <w:rPr>
                <w:noProof/>
                <w:webHidden/>
              </w:rPr>
              <w:fldChar w:fldCharType="end"/>
            </w:r>
          </w:hyperlink>
        </w:p>
        <w:p w14:paraId="4F11DBE4" w14:textId="27C624F7"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08" w:history="1">
            <w:r w:rsidRPr="00591AB8">
              <w:rPr>
                <w:rStyle w:val="Hyperlink"/>
                <w:noProof/>
              </w:rPr>
              <w:t>4.E.1 The provider has a complaints mechanism that is easily accessible to clients and adapted to their needs.</w:t>
            </w:r>
            <w:r>
              <w:rPr>
                <w:noProof/>
                <w:webHidden/>
              </w:rPr>
              <w:tab/>
            </w:r>
            <w:r>
              <w:rPr>
                <w:noProof/>
                <w:webHidden/>
              </w:rPr>
              <w:fldChar w:fldCharType="begin"/>
            </w:r>
            <w:r>
              <w:rPr>
                <w:noProof/>
                <w:webHidden/>
              </w:rPr>
              <w:instrText xml:space="preserve"> PAGEREF _Toc230938808 \h </w:instrText>
            </w:r>
            <w:r>
              <w:rPr>
                <w:noProof/>
                <w:webHidden/>
              </w:rPr>
            </w:r>
            <w:r>
              <w:rPr>
                <w:noProof/>
                <w:webHidden/>
              </w:rPr>
              <w:fldChar w:fldCharType="separate"/>
            </w:r>
            <w:r>
              <w:rPr>
                <w:noProof/>
                <w:webHidden/>
              </w:rPr>
              <w:t>116</w:t>
            </w:r>
            <w:r>
              <w:rPr>
                <w:noProof/>
                <w:webHidden/>
              </w:rPr>
              <w:fldChar w:fldCharType="end"/>
            </w:r>
          </w:hyperlink>
        </w:p>
        <w:p w14:paraId="7B2D9AA2" w14:textId="3DC4D2CC"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809" w:history="1">
            <w:r w:rsidRPr="00591AB8">
              <w:rPr>
                <w:rStyle w:val="Hyperlink"/>
                <w:noProof/>
              </w:rPr>
              <w:t>Dimension 5. Responsible Human Resource Development</w:t>
            </w:r>
            <w:r>
              <w:rPr>
                <w:noProof/>
                <w:webHidden/>
              </w:rPr>
              <w:tab/>
            </w:r>
            <w:r>
              <w:rPr>
                <w:noProof/>
                <w:webHidden/>
              </w:rPr>
              <w:fldChar w:fldCharType="begin"/>
            </w:r>
            <w:r>
              <w:rPr>
                <w:noProof/>
                <w:webHidden/>
              </w:rPr>
              <w:instrText xml:space="preserve"> PAGEREF _Toc230938809 \h </w:instrText>
            </w:r>
            <w:r>
              <w:rPr>
                <w:noProof/>
                <w:webHidden/>
              </w:rPr>
            </w:r>
            <w:r>
              <w:rPr>
                <w:noProof/>
                <w:webHidden/>
              </w:rPr>
              <w:fldChar w:fldCharType="separate"/>
            </w:r>
            <w:r>
              <w:rPr>
                <w:noProof/>
                <w:webHidden/>
              </w:rPr>
              <w:t>122</w:t>
            </w:r>
            <w:r>
              <w:rPr>
                <w:noProof/>
                <w:webHidden/>
              </w:rPr>
              <w:fldChar w:fldCharType="end"/>
            </w:r>
          </w:hyperlink>
        </w:p>
        <w:p w14:paraId="1F922CC5" w14:textId="6519233A"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10" w:history="1">
            <w:r w:rsidRPr="00591AB8">
              <w:rPr>
                <w:rStyle w:val="Hyperlink"/>
                <w:noProof/>
              </w:rPr>
              <w:t>Standard 5A. The provider creates a safe and equitable work environment.</w:t>
            </w:r>
            <w:r>
              <w:rPr>
                <w:noProof/>
                <w:webHidden/>
              </w:rPr>
              <w:tab/>
            </w:r>
            <w:r>
              <w:rPr>
                <w:noProof/>
                <w:webHidden/>
              </w:rPr>
              <w:fldChar w:fldCharType="begin"/>
            </w:r>
            <w:r>
              <w:rPr>
                <w:noProof/>
                <w:webHidden/>
              </w:rPr>
              <w:instrText xml:space="preserve"> PAGEREF _Toc230938810 \h </w:instrText>
            </w:r>
            <w:r>
              <w:rPr>
                <w:noProof/>
                <w:webHidden/>
              </w:rPr>
            </w:r>
            <w:r>
              <w:rPr>
                <w:noProof/>
                <w:webHidden/>
              </w:rPr>
              <w:fldChar w:fldCharType="separate"/>
            </w:r>
            <w:r>
              <w:rPr>
                <w:noProof/>
                <w:webHidden/>
              </w:rPr>
              <w:t>122</w:t>
            </w:r>
            <w:r>
              <w:rPr>
                <w:noProof/>
                <w:webHidden/>
              </w:rPr>
              <w:fldChar w:fldCharType="end"/>
            </w:r>
          </w:hyperlink>
        </w:p>
        <w:p w14:paraId="45CC350B" w14:textId="3595E554"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11" w:history="1">
            <w:r w:rsidRPr="00591AB8">
              <w:rPr>
                <w:rStyle w:val="Hyperlink"/>
                <w:noProof/>
              </w:rPr>
              <w:t>5.A.1 A written Human Resources policy is available to all employees that explains and protects their rights.</w:t>
            </w:r>
            <w:r>
              <w:rPr>
                <w:noProof/>
                <w:webHidden/>
              </w:rPr>
              <w:tab/>
            </w:r>
            <w:r>
              <w:rPr>
                <w:noProof/>
                <w:webHidden/>
              </w:rPr>
              <w:fldChar w:fldCharType="begin"/>
            </w:r>
            <w:r>
              <w:rPr>
                <w:noProof/>
                <w:webHidden/>
              </w:rPr>
              <w:instrText xml:space="preserve"> PAGEREF _Toc230938811 \h </w:instrText>
            </w:r>
            <w:r>
              <w:rPr>
                <w:noProof/>
                <w:webHidden/>
              </w:rPr>
            </w:r>
            <w:r>
              <w:rPr>
                <w:noProof/>
                <w:webHidden/>
              </w:rPr>
              <w:fldChar w:fldCharType="separate"/>
            </w:r>
            <w:r>
              <w:rPr>
                <w:noProof/>
                <w:webHidden/>
              </w:rPr>
              <w:t>122</w:t>
            </w:r>
            <w:r>
              <w:rPr>
                <w:noProof/>
                <w:webHidden/>
              </w:rPr>
              <w:fldChar w:fldCharType="end"/>
            </w:r>
          </w:hyperlink>
        </w:p>
        <w:p w14:paraId="461BB8AB" w14:textId="509A7EAA"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12" w:history="1">
            <w:r w:rsidRPr="00591AB8">
              <w:rPr>
                <w:rStyle w:val="Hyperlink"/>
                <w:noProof/>
              </w:rPr>
              <w:t>5.A.2 Employee compensation is equitable and adequate.</w:t>
            </w:r>
            <w:r>
              <w:rPr>
                <w:noProof/>
                <w:webHidden/>
              </w:rPr>
              <w:tab/>
            </w:r>
            <w:r>
              <w:rPr>
                <w:noProof/>
                <w:webHidden/>
              </w:rPr>
              <w:fldChar w:fldCharType="begin"/>
            </w:r>
            <w:r>
              <w:rPr>
                <w:noProof/>
                <w:webHidden/>
              </w:rPr>
              <w:instrText xml:space="preserve"> PAGEREF _Toc230938812 \h </w:instrText>
            </w:r>
            <w:r>
              <w:rPr>
                <w:noProof/>
                <w:webHidden/>
              </w:rPr>
            </w:r>
            <w:r>
              <w:rPr>
                <w:noProof/>
                <w:webHidden/>
              </w:rPr>
              <w:fldChar w:fldCharType="separate"/>
            </w:r>
            <w:r>
              <w:rPr>
                <w:noProof/>
                <w:webHidden/>
              </w:rPr>
              <w:t>128</w:t>
            </w:r>
            <w:r>
              <w:rPr>
                <w:noProof/>
                <w:webHidden/>
              </w:rPr>
              <w:fldChar w:fldCharType="end"/>
            </w:r>
          </w:hyperlink>
        </w:p>
        <w:p w14:paraId="30885183" w14:textId="0128261B"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13" w:history="1">
            <w:r w:rsidRPr="00591AB8">
              <w:rPr>
                <w:rStyle w:val="Hyperlink"/>
                <w:noProof/>
              </w:rPr>
              <w:t>5.A.3 The provider has a safety and health management system.</w:t>
            </w:r>
            <w:r>
              <w:rPr>
                <w:noProof/>
                <w:webHidden/>
              </w:rPr>
              <w:tab/>
            </w:r>
            <w:r>
              <w:rPr>
                <w:noProof/>
                <w:webHidden/>
              </w:rPr>
              <w:fldChar w:fldCharType="begin"/>
            </w:r>
            <w:r>
              <w:rPr>
                <w:noProof/>
                <w:webHidden/>
              </w:rPr>
              <w:instrText xml:space="preserve"> PAGEREF _Toc230938813 \h </w:instrText>
            </w:r>
            <w:r>
              <w:rPr>
                <w:noProof/>
                <w:webHidden/>
              </w:rPr>
            </w:r>
            <w:r>
              <w:rPr>
                <w:noProof/>
                <w:webHidden/>
              </w:rPr>
              <w:fldChar w:fldCharType="separate"/>
            </w:r>
            <w:r>
              <w:rPr>
                <w:noProof/>
                <w:webHidden/>
              </w:rPr>
              <w:t>130</w:t>
            </w:r>
            <w:r>
              <w:rPr>
                <w:noProof/>
                <w:webHidden/>
              </w:rPr>
              <w:fldChar w:fldCharType="end"/>
            </w:r>
          </w:hyperlink>
        </w:p>
        <w:p w14:paraId="78ABDCD0" w14:textId="5207079B"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14" w:history="1">
            <w:r w:rsidRPr="00591AB8">
              <w:rPr>
                <w:rStyle w:val="Hyperlink"/>
                <w:noProof/>
              </w:rPr>
              <w:t>Standard 5B. The provider’s Human Resource Development system is designed to attract and maintain a qualified and motivated workforce</w:t>
            </w:r>
            <w:r>
              <w:rPr>
                <w:noProof/>
                <w:webHidden/>
              </w:rPr>
              <w:tab/>
            </w:r>
            <w:r>
              <w:rPr>
                <w:noProof/>
                <w:webHidden/>
              </w:rPr>
              <w:fldChar w:fldCharType="begin"/>
            </w:r>
            <w:r>
              <w:rPr>
                <w:noProof/>
                <w:webHidden/>
              </w:rPr>
              <w:instrText xml:space="preserve"> PAGEREF _Toc230938814 \h </w:instrText>
            </w:r>
            <w:r>
              <w:rPr>
                <w:noProof/>
                <w:webHidden/>
              </w:rPr>
            </w:r>
            <w:r>
              <w:rPr>
                <w:noProof/>
                <w:webHidden/>
              </w:rPr>
              <w:fldChar w:fldCharType="separate"/>
            </w:r>
            <w:r>
              <w:rPr>
                <w:noProof/>
                <w:webHidden/>
              </w:rPr>
              <w:t>137</w:t>
            </w:r>
            <w:r>
              <w:rPr>
                <w:noProof/>
                <w:webHidden/>
              </w:rPr>
              <w:fldChar w:fldCharType="end"/>
            </w:r>
          </w:hyperlink>
        </w:p>
        <w:p w14:paraId="744309AD" w14:textId="264A9EA5"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15" w:history="1">
            <w:r w:rsidRPr="00591AB8">
              <w:rPr>
                <w:rStyle w:val="Hyperlink"/>
                <w:noProof/>
              </w:rPr>
              <w:t>5.B.1 The provider gives employees complete employment documentation and training to understand their job requirements.</w:t>
            </w:r>
            <w:r>
              <w:rPr>
                <w:noProof/>
                <w:webHidden/>
              </w:rPr>
              <w:tab/>
            </w:r>
            <w:r>
              <w:rPr>
                <w:noProof/>
                <w:webHidden/>
              </w:rPr>
              <w:fldChar w:fldCharType="begin"/>
            </w:r>
            <w:r>
              <w:rPr>
                <w:noProof/>
                <w:webHidden/>
              </w:rPr>
              <w:instrText xml:space="preserve"> PAGEREF _Toc230938815 \h </w:instrText>
            </w:r>
            <w:r>
              <w:rPr>
                <w:noProof/>
                <w:webHidden/>
              </w:rPr>
            </w:r>
            <w:r>
              <w:rPr>
                <w:noProof/>
                <w:webHidden/>
              </w:rPr>
              <w:fldChar w:fldCharType="separate"/>
            </w:r>
            <w:r>
              <w:rPr>
                <w:noProof/>
                <w:webHidden/>
              </w:rPr>
              <w:t>137</w:t>
            </w:r>
            <w:r>
              <w:rPr>
                <w:noProof/>
                <w:webHidden/>
              </w:rPr>
              <w:fldChar w:fldCharType="end"/>
            </w:r>
          </w:hyperlink>
        </w:p>
        <w:p w14:paraId="4AD72443" w14:textId="1455458A"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16" w:history="1">
            <w:r w:rsidRPr="00591AB8">
              <w:rPr>
                <w:rStyle w:val="Hyperlink"/>
                <w:noProof/>
              </w:rPr>
              <w:t>5.B.2 The provider gives employees formal opportunities to communicate with management.</w:t>
            </w:r>
            <w:r>
              <w:rPr>
                <w:noProof/>
                <w:webHidden/>
              </w:rPr>
              <w:tab/>
            </w:r>
            <w:r>
              <w:rPr>
                <w:noProof/>
                <w:webHidden/>
              </w:rPr>
              <w:fldChar w:fldCharType="begin"/>
            </w:r>
            <w:r>
              <w:rPr>
                <w:noProof/>
                <w:webHidden/>
              </w:rPr>
              <w:instrText xml:space="preserve"> PAGEREF _Toc230938816 \h </w:instrText>
            </w:r>
            <w:r>
              <w:rPr>
                <w:noProof/>
                <w:webHidden/>
              </w:rPr>
            </w:r>
            <w:r>
              <w:rPr>
                <w:noProof/>
                <w:webHidden/>
              </w:rPr>
              <w:fldChar w:fldCharType="separate"/>
            </w:r>
            <w:r>
              <w:rPr>
                <w:noProof/>
                <w:webHidden/>
              </w:rPr>
              <w:t>141</w:t>
            </w:r>
            <w:r>
              <w:rPr>
                <w:noProof/>
                <w:webHidden/>
              </w:rPr>
              <w:fldChar w:fldCharType="end"/>
            </w:r>
          </w:hyperlink>
        </w:p>
        <w:p w14:paraId="3A970644" w14:textId="516352C6"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17" w:history="1">
            <w:r w:rsidRPr="00591AB8">
              <w:rPr>
                <w:rStyle w:val="Hyperlink"/>
                <w:noProof/>
              </w:rPr>
              <w:t>Standard 5C. The provider’s Human Resource Development system supports its social strategy.</w:t>
            </w:r>
            <w:r>
              <w:rPr>
                <w:noProof/>
                <w:webHidden/>
              </w:rPr>
              <w:tab/>
            </w:r>
            <w:r>
              <w:rPr>
                <w:noProof/>
                <w:webHidden/>
              </w:rPr>
              <w:fldChar w:fldCharType="begin"/>
            </w:r>
            <w:r>
              <w:rPr>
                <w:noProof/>
                <w:webHidden/>
              </w:rPr>
              <w:instrText xml:space="preserve"> PAGEREF _Toc230938817 \h </w:instrText>
            </w:r>
            <w:r>
              <w:rPr>
                <w:noProof/>
                <w:webHidden/>
              </w:rPr>
            </w:r>
            <w:r>
              <w:rPr>
                <w:noProof/>
                <w:webHidden/>
              </w:rPr>
              <w:fldChar w:fldCharType="separate"/>
            </w:r>
            <w:r>
              <w:rPr>
                <w:noProof/>
                <w:webHidden/>
              </w:rPr>
              <w:t>145</w:t>
            </w:r>
            <w:r>
              <w:rPr>
                <w:noProof/>
                <w:webHidden/>
              </w:rPr>
              <w:fldChar w:fldCharType="end"/>
            </w:r>
          </w:hyperlink>
        </w:p>
        <w:p w14:paraId="4ED83612" w14:textId="321987A7"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18" w:history="1">
            <w:r w:rsidRPr="00591AB8">
              <w:rPr>
                <w:rStyle w:val="Hyperlink"/>
                <w:noProof/>
              </w:rPr>
              <w:t>5.C.1 During the recruitment and hiring process, the provider assesses each candidate’s commitment to achieving the provider’s social goals and serving its target clients.</w:t>
            </w:r>
            <w:r>
              <w:rPr>
                <w:noProof/>
                <w:webHidden/>
              </w:rPr>
              <w:tab/>
            </w:r>
            <w:r>
              <w:rPr>
                <w:noProof/>
                <w:webHidden/>
              </w:rPr>
              <w:fldChar w:fldCharType="begin"/>
            </w:r>
            <w:r>
              <w:rPr>
                <w:noProof/>
                <w:webHidden/>
              </w:rPr>
              <w:instrText xml:space="preserve"> PAGEREF _Toc230938818 \h </w:instrText>
            </w:r>
            <w:r>
              <w:rPr>
                <w:noProof/>
                <w:webHidden/>
              </w:rPr>
            </w:r>
            <w:r>
              <w:rPr>
                <w:noProof/>
                <w:webHidden/>
              </w:rPr>
              <w:fldChar w:fldCharType="separate"/>
            </w:r>
            <w:r>
              <w:rPr>
                <w:noProof/>
                <w:webHidden/>
              </w:rPr>
              <w:t>146</w:t>
            </w:r>
            <w:r>
              <w:rPr>
                <w:noProof/>
                <w:webHidden/>
              </w:rPr>
              <w:fldChar w:fldCharType="end"/>
            </w:r>
          </w:hyperlink>
        </w:p>
        <w:p w14:paraId="579F226F" w14:textId="7DECF680"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19" w:history="1">
            <w:r w:rsidRPr="00591AB8">
              <w:rPr>
                <w:rStyle w:val="Hyperlink"/>
                <w:noProof/>
              </w:rPr>
              <w:t>5.C.2 The provider trains all employees on its social goals and on client protection.</w:t>
            </w:r>
            <w:r>
              <w:rPr>
                <w:noProof/>
                <w:webHidden/>
              </w:rPr>
              <w:tab/>
            </w:r>
            <w:r>
              <w:rPr>
                <w:noProof/>
                <w:webHidden/>
              </w:rPr>
              <w:fldChar w:fldCharType="begin"/>
            </w:r>
            <w:r>
              <w:rPr>
                <w:noProof/>
                <w:webHidden/>
              </w:rPr>
              <w:instrText xml:space="preserve"> PAGEREF _Toc230938819 \h </w:instrText>
            </w:r>
            <w:r>
              <w:rPr>
                <w:noProof/>
                <w:webHidden/>
              </w:rPr>
            </w:r>
            <w:r>
              <w:rPr>
                <w:noProof/>
                <w:webHidden/>
              </w:rPr>
              <w:fldChar w:fldCharType="separate"/>
            </w:r>
            <w:r>
              <w:rPr>
                <w:noProof/>
                <w:webHidden/>
              </w:rPr>
              <w:t>149</w:t>
            </w:r>
            <w:r>
              <w:rPr>
                <w:noProof/>
                <w:webHidden/>
              </w:rPr>
              <w:fldChar w:fldCharType="end"/>
            </w:r>
          </w:hyperlink>
        </w:p>
        <w:p w14:paraId="0EF8EA9F" w14:textId="162CB497"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820" w:history="1">
            <w:r w:rsidRPr="00591AB8">
              <w:rPr>
                <w:rStyle w:val="Hyperlink"/>
                <w:noProof/>
              </w:rPr>
              <w:t>Dimension 6. Responsible Growth and Returns</w:t>
            </w:r>
            <w:r>
              <w:rPr>
                <w:noProof/>
                <w:webHidden/>
              </w:rPr>
              <w:tab/>
            </w:r>
            <w:r>
              <w:rPr>
                <w:noProof/>
                <w:webHidden/>
              </w:rPr>
              <w:fldChar w:fldCharType="begin"/>
            </w:r>
            <w:r>
              <w:rPr>
                <w:noProof/>
                <w:webHidden/>
              </w:rPr>
              <w:instrText xml:space="preserve"> PAGEREF _Toc230938820 \h </w:instrText>
            </w:r>
            <w:r>
              <w:rPr>
                <w:noProof/>
                <w:webHidden/>
              </w:rPr>
            </w:r>
            <w:r>
              <w:rPr>
                <w:noProof/>
                <w:webHidden/>
              </w:rPr>
              <w:fldChar w:fldCharType="separate"/>
            </w:r>
            <w:r>
              <w:rPr>
                <w:noProof/>
                <w:webHidden/>
              </w:rPr>
              <w:t>156</w:t>
            </w:r>
            <w:r>
              <w:rPr>
                <w:noProof/>
                <w:webHidden/>
              </w:rPr>
              <w:fldChar w:fldCharType="end"/>
            </w:r>
          </w:hyperlink>
        </w:p>
        <w:p w14:paraId="7E4D979F" w14:textId="6D5B6FEB"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21" w:history="1">
            <w:r w:rsidRPr="00591AB8">
              <w:rPr>
                <w:rStyle w:val="Hyperlink"/>
                <w:noProof/>
              </w:rPr>
              <w:t>Standard 6A. The provider manages growth in a way that promotes its social goals and mitigates risks to clients.</w:t>
            </w:r>
            <w:r>
              <w:rPr>
                <w:noProof/>
                <w:webHidden/>
              </w:rPr>
              <w:tab/>
            </w:r>
            <w:r>
              <w:rPr>
                <w:noProof/>
                <w:webHidden/>
              </w:rPr>
              <w:fldChar w:fldCharType="begin"/>
            </w:r>
            <w:r>
              <w:rPr>
                <w:noProof/>
                <w:webHidden/>
              </w:rPr>
              <w:instrText xml:space="preserve"> PAGEREF _Toc230938821 \h </w:instrText>
            </w:r>
            <w:r>
              <w:rPr>
                <w:noProof/>
                <w:webHidden/>
              </w:rPr>
            </w:r>
            <w:r>
              <w:rPr>
                <w:noProof/>
                <w:webHidden/>
              </w:rPr>
              <w:fldChar w:fldCharType="separate"/>
            </w:r>
            <w:r>
              <w:rPr>
                <w:noProof/>
                <w:webHidden/>
              </w:rPr>
              <w:t>156</w:t>
            </w:r>
            <w:r>
              <w:rPr>
                <w:noProof/>
                <w:webHidden/>
              </w:rPr>
              <w:fldChar w:fldCharType="end"/>
            </w:r>
          </w:hyperlink>
        </w:p>
        <w:p w14:paraId="01BEA201" w14:textId="4DE510BE"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22" w:history="1">
            <w:r w:rsidRPr="00591AB8">
              <w:rPr>
                <w:rStyle w:val="Hyperlink"/>
                <w:noProof/>
              </w:rPr>
              <w:t>6.A.1 The provider's strategic and/or business plan establishes responsible growth targets.</w:t>
            </w:r>
            <w:r>
              <w:rPr>
                <w:noProof/>
                <w:webHidden/>
              </w:rPr>
              <w:tab/>
            </w:r>
            <w:r>
              <w:rPr>
                <w:noProof/>
                <w:webHidden/>
              </w:rPr>
              <w:fldChar w:fldCharType="begin"/>
            </w:r>
            <w:r>
              <w:rPr>
                <w:noProof/>
                <w:webHidden/>
              </w:rPr>
              <w:instrText xml:space="preserve"> PAGEREF _Toc230938822 \h </w:instrText>
            </w:r>
            <w:r>
              <w:rPr>
                <w:noProof/>
                <w:webHidden/>
              </w:rPr>
            </w:r>
            <w:r>
              <w:rPr>
                <w:noProof/>
                <w:webHidden/>
              </w:rPr>
              <w:fldChar w:fldCharType="separate"/>
            </w:r>
            <w:r>
              <w:rPr>
                <w:noProof/>
                <w:webHidden/>
              </w:rPr>
              <w:t>156</w:t>
            </w:r>
            <w:r>
              <w:rPr>
                <w:noProof/>
                <w:webHidden/>
              </w:rPr>
              <w:fldChar w:fldCharType="end"/>
            </w:r>
          </w:hyperlink>
        </w:p>
        <w:p w14:paraId="0959C1EE" w14:textId="544AC452"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823" w:history="1">
            <w:r w:rsidRPr="00591AB8">
              <w:rPr>
                <w:rStyle w:val="Hyperlink"/>
                <w:noProof/>
              </w:rPr>
              <w:t>Dimension 7. Environmental Performance Management</w:t>
            </w:r>
            <w:r>
              <w:rPr>
                <w:noProof/>
                <w:webHidden/>
              </w:rPr>
              <w:tab/>
            </w:r>
            <w:r>
              <w:rPr>
                <w:noProof/>
                <w:webHidden/>
              </w:rPr>
              <w:fldChar w:fldCharType="begin"/>
            </w:r>
            <w:r>
              <w:rPr>
                <w:noProof/>
                <w:webHidden/>
              </w:rPr>
              <w:instrText xml:space="preserve"> PAGEREF _Toc230938823 \h </w:instrText>
            </w:r>
            <w:r>
              <w:rPr>
                <w:noProof/>
                <w:webHidden/>
              </w:rPr>
            </w:r>
            <w:r>
              <w:rPr>
                <w:noProof/>
                <w:webHidden/>
              </w:rPr>
              <w:fldChar w:fldCharType="separate"/>
            </w:r>
            <w:r>
              <w:rPr>
                <w:noProof/>
                <w:webHidden/>
              </w:rPr>
              <w:t>160</w:t>
            </w:r>
            <w:r>
              <w:rPr>
                <w:noProof/>
                <w:webHidden/>
              </w:rPr>
              <w:fldChar w:fldCharType="end"/>
            </w:r>
          </w:hyperlink>
        </w:p>
        <w:p w14:paraId="53717877" w14:textId="5010BCEC"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24" w:history="1">
            <w:r w:rsidRPr="00591AB8">
              <w:rPr>
                <w:rStyle w:val="Hyperlink"/>
                <w:noProof/>
              </w:rPr>
              <w:t>Standard 7A. The provider has an environmental strategy and systems in place to implement it.</w:t>
            </w:r>
            <w:r>
              <w:rPr>
                <w:noProof/>
                <w:webHidden/>
              </w:rPr>
              <w:tab/>
            </w:r>
            <w:r>
              <w:rPr>
                <w:noProof/>
                <w:webHidden/>
              </w:rPr>
              <w:fldChar w:fldCharType="begin"/>
            </w:r>
            <w:r>
              <w:rPr>
                <w:noProof/>
                <w:webHidden/>
              </w:rPr>
              <w:instrText xml:space="preserve"> PAGEREF _Toc230938824 \h </w:instrText>
            </w:r>
            <w:r>
              <w:rPr>
                <w:noProof/>
                <w:webHidden/>
              </w:rPr>
            </w:r>
            <w:r>
              <w:rPr>
                <w:noProof/>
                <w:webHidden/>
              </w:rPr>
              <w:fldChar w:fldCharType="separate"/>
            </w:r>
            <w:r>
              <w:rPr>
                <w:noProof/>
                <w:webHidden/>
              </w:rPr>
              <w:t>160</w:t>
            </w:r>
            <w:r>
              <w:rPr>
                <w:noProof/>
                <w:webHidden/>
              </w:rPr>
              <w:fldChar w:fldCharType="end"/>
            </w:r>
          </w:hyperlink>
        </w:p>
        <w:p w14:paraId="4327561F" w14:textId="1F4A9561"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25" w:history="1">
            <w:r w:rsidRPr="00591AB8">
              <w:rPr>
                <w:rStyle w:val="Hyperlink"/>
                <w:noProof/>
              </w:rPr>
              <w:t>7.A.2 The provider collects, analyzes, and reports data that are specific to its environmental goals.</w:t>
            </w:r>
            <w:r>
              <w:rPr>
                <w:noProof/>
                <w:webHidden/>
              </w:rPr>
              <w:tab/>
            </w:r>
            <w:r>
              <w:rPr>
                <w:noProof/>
                <w:webHidden/>
              </w:rPr>
              <w:fldChar w:fldCharType="begin"/>
            </w:r>
            <w:r>
              <w:rPr>
                <w:noProof/>
                <w:webHidden/>
              </w:rPr>
              <w:instrText xml:space="preserve"> PAGEREF _Toc230938825 \h </w:instrText>
            </w:r>
            <w:r>
              <w:rPr>
                <w:noProof/>
                <w:webHidden/>
              </w:rPr>
            </w:r>
            <w:r>
              <w:rPr>
                <w:noProof/>
                <w:webHidden/>
              </w:rPr>
              <w:fldChar w:fldCharType="separate"/>
            </w:r>
            <w:r>
              <w:rPr>
                <w:noProof/>
                <w:webHidden/>
              </w:rPr>
              <w:t>161</w:t>
            </w:r>
            <w:r>
              <w:rPr>
                <w:noProof/>
                <w:webHidden/>
              </w:rPr>
              <w:fldChar w:fldCharType="end"/>
            </w:r>
          </w:hyperlink>
        </w:p>
        <w:p w14:paraId="571FB934" w14:textId="4DC6CD28"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26" w:history="1">
            <w:r w:rsidRPr="00591AB8">
              <w:rPr>
                <w:rStyle w:val="Hyperlink"/>
                <w:noProof/>
              </w:rPr>
              <w:t>Standard 7B. The provider identifies and manages environmental risks and opportunities.</w:t>
            </w:r>
            <w:r>
              <w:rPr>
                <w:noProof/>
                <w:webHidden/>
              </w:rPr>
              <w:tab/>
            </w:r>
            <w:r>
              <w:rPr>
                <w:noProof/>
                <w:webHidden/>
              </w:rPr>
              <w:fldChar w:fldCharType="begin"/>
            </w:r>
            <w:r>
              <w:rPr>
                <w:noProof/>
                <w:webHidden/>
              </w:rPr>
              <w:instrText xml:space="preserve"> PAGEREF _Toc230938826 \h </w:instrText>
            </w:r>
            <w:r>
              <w:rPr>
                <w:noProof/>
                <w:webHidden/>
              </w:rPr>
            </w:r>
            <w:r>
              <w:rPr>
                <w:noProof/>
                <w:webHidden/>
              </w:rPr>
              <w:fldChar w:fldCharType="separate"/>
            </w:r>
            <w:r>
              <w:rPr>
                <w:noProof/>
                <w:webHidden/>
              </w:rPr>
              <w:t>162</w:t>
            </w:r>
            <w:r>
              <w:rPr>
                <w:noProof/>
                <w:webHidden/>
              </w:rPr>
              <w:fldChar w:fldCharType="end"/>
            </w:r>
          </w:hyperlink>
        </w:p>
        <w:p w14:paraId="7710E6D7" w14:textId="08BB00EF"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27" w:history="1">
            <w:r w:rsidRPr="00591AB8">
              <w:rPr>
                <w:rStyle w:val="Hyperlink"/>
                <w:noProof/>
              </w:rPr>
              <w:t>7.B.1 The provider identifies and manages its own environmental risks at headquarters and branch level.</w:t>
            </w:r>
            <w:r>
              <w:rPr>
                <w:noProof/>
                <w:webHidden/>
              </w:rPr>
              <w:tab/>
            </w:r>
            <w:r>
              <w:rPr>
                <w:noProof/>
                <w:webHidden/>
              </w:rPr>
              <w:fldChar w:fldCharType="begin"/>
            </w:r>
            <w:r>
              <w:rPr>
                <w:noProof/>
                <w:webHidden/>
              </w:rPr>
              <w:instrText xml:space="preserve"> PAGEREF _Toc230938827 \h </w:instrText>
            </w:r>
            <w:r>
              <w:rPr>
                <w:noProof/>
                <w:webHidden/>
              </w:rPr>
            </w:r>
            <w:r>
              <w:rPr>
                <w:noProof/>
                <w:webHidden/>
              </w:rPr>
              <w:fldChar w:fldCharType="separate"/>
            </w:r>
            <w:r>
              <w:rPr>
                <w:noProof/>
                <w:webHidden/>
              </w:rPr>
              <w:t>162</w:t>
            </w:r>
            <w:r>
              <w:rPr>
                <w:noProof/>
                <w:webHidden/>
              </w:rPr>
              <w:fldChar w:fldCharType="end"/>
            </w:r>
          </w:hyperlink>
        </w:p>
        <w:p w14:paraId="5E74B5F9" w14:textId="1A2EA39F"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28" w:history="1">
            <w:r w:rsidRPr="00591AB8">
              <w:rPr>
                <w:rStyle w:val="Hyperlink"/>
                <w:noProof/>
              </w:rPr>
              <w:t>7.B.2 The provider identifies and manages client-level environmental risks.</w:t>
            </w:r>
            <w:r>
              <w:rPr>
                <w:noProof/>
                <w:webHidden/>
              </w:rPr>
              <w:tab/>
            </w:r>
            <w:r>
              <w:rPr>
                <w:noProof/>
                <w:webHidden/>
              </w:rPr>
              <w:fldChar w:fldCharType="begin"/>
            </w:r>
            <w:r>
              <w:rPr>
                <w:noProof/>
                <w:webHidden/>
              </w:rPr>
              <w:instrText xml:space="preserve"> PAGEREF _Toc230938828 \h </w:instrText>
            </w:r>
            <w:r>
              <w:rPr>
                <w:noProof/>
                <w:webHidden/>
              </w:rPr>
            </w:r>
            <w:r>
              <w:rPr>
                <w:noProof/>
                <w:webHidden/>
              </w:rPr>
              <w:fldChar w:fldCharType="separate"/>
            </w:r>
            <w:r>
              <w:rPr>
                <w:noProof/>
                <w:webHidden/>
              </w:rPr>
              <w:t>164</w:t>
            </w:r>
            <w:r>
              <w:rPr>
                <w:noProof/>
                <w:webHidden/>
              </w:rPr>
              <w:fldChar w:fldCharType="end"/>
            </w:r>
          </w:hyperlink>
        </w:p>
        <w:p w14:paraId="3E75F2A4" w14:textId="7D571BF5"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29" w:history="1">
            <w:r w:rsidRPr="00591AB8">
              <w:rPr>
                <w:rStyle w:val="Hyperlink"/>
                <w:noProof/>
              </w:rPr>
              <w:t>7.B.3 The provider identifies opportunities to finance green practices and technologies.</w:t>
            </w:r>
            <w:r>
              <w:rPr>
                <w:noProof/>
                <w:webHidden/>
              </w:rPr>
              <w:tab/>
            </w:r>
            <w:r>
              <w:rPr>
                <w:noProof/>
                <w:webHidden/>
              </w:rPr>
              <w:fldChar w:fldCharType="begin"/>
            </w:r>
            <w:r>
              <w:rPr>
                <w:noProof/>
                <w:webHidden/>
              </w:rPr>
              <w:instrText xml:space="preserve"> PAGEREF _Toc230938829 \h </w:instrText>
            </w:r>
            <w:r>
              <w:rPr>
                <w:noProof/>
                <w:webHidden/>
              </w:rPr>
            </w:r>
            <w:r>
              <w:rPr>
                <w:noProof/>
                <w:webHidden/>
              </w:rPr>
              <w:fldChar w:fldCharType="separate"/>
            </w:r>
            <w:r>
              <w:rPr>
                <w:noProof/>
                <w:webHidden/>
              </w:rPr>
              <w:t>166</w:t>
            </w:r>
            <w:r>
              <w:rPr>
                <w:noProof/>
                <w:webHidden/>
              </w:rPr>
              <w:fldChar w:fldCharType="end"/>
            </w:r>
          </w:hyperlink>
        </w:p>
        <w:p w14:paraId="4DEA479B" w14:textId="3B2E4A97"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30" w:history="1">
            <w:r w:rsidRPr="00591AB8">
              <w:rPr>
                <w:rStyle w:val="Hyperlink"/>
                <w:noProof/>
              </w:rPr>
              <w:t>Standard 7C. The provider offers financial and non-financial products and services to achieve its environmental goals</w:t>
            </w:r>
            <w:r>
              <w:rPr>
                <w:noProof/>
                <w:webHidden/>
              </w:rPr>
              <w:tab/>
            </w:r>
            <w:r>
              <w:rPr>
                <w:noProof/>
                <w:webHidden/>
              </w:rPr>
              <w:fldChar w:fldCharType="begin"/>
            </w:r>
            <w:r>
              <w:rPr>
                <w:noProof/>
                <w:webHidden/>
              </w:rPr>
              <w:instrText xml:space="preserve"> PAGEREF _Toc230938830 \h </w:instrText>
            </w:r>
            <w:r>
              <w:rPr>
                <w:noProof/>
                <w:webHidden/>
              </w:rPr>
            </w:r>
            <w:r>
              <w:rPr>
                <w:noProof/>
                <w:webHidden/>
              </w:rPr>
              <w:fldChar w:fldCharType="separate"/>
            </w:r>
            <w:r>
              <w:rPr>
                <w:noProof/>
                <w:webHidden/>
              </w:rPr>
              <w:t>168</w:t>
            </w:r>
            <w:r>
              <w:rPr>
                <w:noProof/>
                <w:webHidden/>
              </w:rPr>
              <w:fldChar w:fldCharType="end"/>
            </w:r>
          </w:hyperlink>
        </w:p>
        <w:p w14:paraId="2FC9F0D5" w14:textId="138B9C93"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31" w:history="1">
            <w:r w:rsidRPr="00591AB8">
              <w:rPr>
                <w:rStyle w:val="Hyperlink"/>
                <w:noProof/>
              </w:rPr>
              <w:t>7.C.1 The provider offers financial products and services to achieve its environmental goals.</w:t>
            </w:r>
            <w:r>
              <w:rPr>
                <w:noProof/>
                <w:webHidden/>
              </w:rPr>
              <w:tab/>
            </w:r>
            <w:r>
              <w:rPr>
                <w:noProof/>
                <w:webHidden/>
              </w:rPr>
              <w:fldChar w:fldCharType="begin"/>
            </w:r>
            <w:r>
              <w:rPr>
                <w:noProof/>
                <w:webHidden/>
              </w:rPr>
              <w:instrText xml:space="preserve"> PAGEREF _Toc230938831 \h </w:instrText>
            </w:r>
            <w:r>
              <w:rPr>
                <w:noProof/>
                <w:webHidden/>
              </w:rPr>
            </w:r>
            <w:r>
              <w:rPr>
                <w:noProof/>
                <w:webHidden/>
              </w:rPr>
              <w:fldChar w:fldCharType="separate"/>
            </w:r>
            <w:r>
              <w:rPr>
                <w:noProof/>
                <w:webHidden/>
              </w:rPr>
              <w:t>168</w:t>
            </w:r>
            <w:r>
              <w:rPr>
                <w:noProof/>
                <w:webHidden/>
              </w:rPr>
              <w:fldChar w:fldCharType="end"/>
            </w:r>
          </w:hyperlink>
        </w:p>
        <w:p w14:paraId="7128E7F4" w14:textId="6DFACE5B" w:rsidR="008D042D" w:rsidRDefault="008D042D">
          <w:pPr>
            <w:pStyle w:val="TOC3"/>
            <w:tabs>
              <w:tab w:val="right" w:leader="dot" w:pos="9062"/>
            </w:tabs>
            <w:rPr>
              <w:rFonts w:asciiTheme="minorHAnsi" w:eastAsiaTheme="minorEastAsia" w:hAnsiTheme="minorHAnsi"/>
              <w:noProof/>
              <w:kern w:val="2"/>
              <w:sz w:val="24"/>
              <w:szCs w:val="39"/>
              <w:lang w:bidi="km-KH"/>
              <w14:ligatures w14:val="standardContextual"/>
            </w:rPr>
          </w:pPr>
          <w:hyperlink w:anchor="_Toc230938832" w:history="1">
            <w:r w:rsidRPr="00591AB8">
              <w:rPr>
                <w:rStyle w:val="Hyperlink"/>
                <w:noProof/>
              </w:rPr>
              <w:t>7.C.2 The provider offers non-financial services to achieve its environmental goals.</w:t>
            </w:r>
            <w:r>
              <w:rPr>
                <w:noProof/>
                <w:webHidden/>
              </w:rPr>
              <w:tab/>
            </w:r>
            <w:r>
              <w:rPr>
                <w:noProof/>
                <w:webHidden/>
              </w:rPr>
              <w:fldChar w:fldCharType="begin"/>
            </w:r>
            <w:r>
              <w:rPr>
                <w:noProof/>
                <w:webHidden/>
              </w:rPr>
              <w:instrText xml:space="preserve"> PAGEREF _Toc230938832 \h </w:instrText>
            </w:r>
            <w:r>
              <w:rPr>
                <w:noProof/>
                <w:webHidden/>
              </w:rPr>
            </w:r>
            <w:r>
              <w:rPr>
                <w:noProof/>
                <w:webHidden/>
              </w:rPr>
              <w:fldChar w:fldCharType="separate"/>
            </w:r>
            <w:r>
              <w:rPr>
                <w:noProof/>
                <w:webHidden/>
              </w:rPr>
              <w:t>172</w:t>
            </w:r>
            <w:r>
              <w:rPr>
                <w:noProof/>
                <w:webHidden/>
              </w:rPr>
              <w:fldChar w:fldCharType="end"/>
            </w:r>
          </w:hyperlink>
        </w:p>
        <w:p w14:paraId="49576DE8" w14:textId="1AE9F444" w:rsidR="008D042D" w:rsidRDefault="008D042D">
          <w:pPr>
            <w:pStyle w:val="TOC1"/>
            <w:rPr>
              <w:rFonts w:asciiTheme="minorHAnsi" w:eastAsiaTheme="minorEastAsia" w:hAnsiTheme="minorHAnsi"/>
              <w:noProof/>
              <w:kern w:val="2"/>
              <w:sz w:val="24"/>
              <w:szCs w:val="39"/>
              <w:lang w:bidi="km-KH"/>
              <w14:ligatures w14:val="standardContextual"/>
            </w:rPr>
          </w:pPr>
          <w:hyperlink w:anchor="_Toc230938833" w:history="1">
            <w:r w:rsidRPr="00591AB8">
              <w:rPr>
                <w:rStyle w:val="Hyperlink"/>
                <w:noProof/>
              </w:rPr>
              <w:t>Annex 1: Disability Inclusion Indicators</w:t>
            </w:r>
            <w:r>
              <w:rPr>
                <w:noProof/>
                <w:webHidden/>
              </w:rPr>
              <w:tab/>
            </w:r>
            <w:r>
              <w:rPr>
                <w:noProof/>
                <w:webHidden/>
              </w:rPr>
              <w:fldChar w:fldCharType="begin"/>
            </w:r>
            <w:r>
              <w:rPr>
                <w:noProof/>
                <w:webHidden/>
              </w:rPr>
              <w:instrText xml:space="preserve"> PAGEREF _Toc230938833 \h </w:instrText>
            </w:r>
            <w:r>
              <w:rPr>
                <w:noProof/>
                <w:webHidden/>
              </w:rPr>
            </w:r>
            <w:r>
              <w:rPr>
                <w:noProof/>
                <w:webHidden/>
              </w:rPr>
              <w:fldChar w:fldCharType="separate"/>
            </w:r>
            <w:r>
              <w:rPr>
                <w:noProof/>
                <w:webHidden/>
              </w:rPr>
              <w:t>176</w:t>
            </w:r>
            <w:r>
              <w:rPr>
                <w:noProof/>
                <w:webHidden/>
              </w:rPr>
              <w:fldChar w:fldCharType="end"/>
            </w:r>
          </w:hyperlink>
        </w:p>
        <w:p w14:paraId="3A203745" w14:textId="414D24A6"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34" w:history="1">
            <w:r w:rsidRPr="00591AB8">
              <w:rPr>
                <w:rStyle w:val="Hyperlink"/>
                <w:noProof/>
              </w:rPr>
              <w:t>Disability Inclusion Indicators: SPI5 Entry</w:t>
            </w:r>
            <w:r>
              <w:rPr>
                <w:noProof/>
                <w:webHidden/>
              </w:rPr>
              <w:tab/>
            </w:r>
            <w:r>
              <w:rPr>
                <w:noProof/>
                <w:webHidden/>
              </w:rPr>
              <w:fldChar w:fldCharType="begin"/>
            </w:r>
            <w:r>
              <w:rPr>
                <w:noProof/>
                <w:webHidden/>
              </w:rPr>
              <w:instrText xml:space="preserve"> PAGEREF _Toc230938834 \h </w:instrText>
            </w:r>
            <w:r>
              <w:rPr>
                <w:noProof/>
                <w:webHidden/>
              </w:rPr>
            </w:r>
            <w:r>
              <w:rPr>
                <w:noProof/>
                <w:webHidden/>
              </w:rPr>
              <w:fldChar w:fldCharType="separate"/>
            </w:r>
            <w:r>
              <w:rPr>
                <w:noProof/>
                <w:webHidden/>
              </w:rPr>
              <w:t>176</w:t>
            </w:r>
            <w:r>
              <w:rPr>
                <w:noProof/>
                <w:webHidden/>
              </w:rPr>
              <w:fldChar w:fldCharType="end"/>
            </w:r>
          </w:hyperlink>
        </w:p>
        <w:p w14:paraId="00F531AE" w14:textId="244C2CDA" w:rsidR="008D042D" w:rsidRDefault="008D042D">
          <w:pPr>
            <w:pStyle w:val="TOC2"/>
            <w:tabs>
              <w:tab w:val="right" w:leader="dot" w:pos="9062"/>
            </w:tabs>
            <w:rPr>
              <w:rFonts w:asciiTheme="minorHAnsi" w:eastAsiaTheme="minorEastAsia" w:hAnsiTheme="minorHAnsi"/>
              <w:noProof/>
              <w:kern w:val="2"/>
              <w:sz w:val="24"/>
              <w:szCs w:val="39"/>
              <w:lang w:bidi="km-KH"/>
              <w14:ligatures w14:val="standardContextual"/>
            </w:rPr>
          </w:pPr>
          <w:hyperlink w:anchor="_Toc230938835" w:history="1">
            <w:r w:rsidRPr="00591AB8">
              <w:rPr>
                <w:rStyle w:val="Hyperlink"/>
                <w:noProof/>
              </w:rPr>
              <w:t>Additional Disability Inclusion Indicators: SPI5 Full</w:t>
            </w:r>
            <w:r>
              <w:rPr>
                <w:noProof/>
                <w:webHidden/>
              </w:rPr>
              <w:tab/>
            </w:r>
            <w:r>
              <w:rPr>
                <w:noProof/>
                <w:webHidden/>
              </w:rPr>
              <w:fldChar w:fldCharType="begin"/>
            </w:r>
            <w:r>
              <w:rPr>
                <w:noProof/>
                <w:webHidden/>
              </w:rPr>
              <w:instrText xml:space="preserve"> PAGEREF _Toc230938835 \h </w:instrText>
            </w:r>
            <w:r>
              <w:rPr>
                <w:noProof/>
                <w:webHidden/>
              </w:rPr>
            </w:r>
            <w:r>
              <w:rPr>
                <w:noProof/>
                <w:webHidden/>
              </w:rPr>
              <w:fldChar w:fldCharType="separate"/>
            </w:r>
            <w:r>
              <w:rPr>
                <w:noProof/>
                <w:webHidden/>
              </w:rPr>
              <w:t>185</w:t>
            </w:r>
            <w:r>
              <w:rPr>
                <w:noProof/>
                <w:webHidden/>
              </w:rPr>
              <w:fldChar w:fldCharType="end"/>
            </w:r>
          </w:hyperlink>
        </w:p>
        <w:p w14:paraId="10E33B0C" w14:textId="597F8AFE" w:rsidR="002230B2" w:rsidRPr="00A608EE" w:rsidRDefault="00F05755" w:rsidP="00E72CFF">
          <w:pPr>
            <w:jc w:val="both"/>
            <w:rPr>
              <w:rStyle w:val="normaltextrun"/>
              <w:rFonts w:asciiTheme="minorHAnsi" w:hAnsiTheme="minorHAnsi"/>
              <w:sz w:val="18"/>
              <w:szCs w:val="20"/>
            </w:rPr>
          </w:pPr>
          <w:r w:rsidRPr="00A608EE">
            <w:rPr>
              <w:rFonts w:asciiTheme="majorHAnsi" w:hAnsiTheme="majorHAnsi"/>
              <w:b/>
              <w:bCs/>
              <w:szCs w:val="20"/>
            </w:rPr>
            <w:fldChar w:fldCharType="end"/>
          </w:r>
        </w:p>
      </w:sdtContent>
    </w:sdt>
    <w:p w14:paraId="0F123F0D" w14:textId="77777777" w:rsidR="008D042D" w:rsidRDefault="008D042D" w:rsidP="00EE208A">
      <w:pPr>
        <w:pStyle w:val="Heading1"/>
        <w:spacing w:before="0" w:line="240" w:lineRule="auto"/>
        <w:jc w:val="both"/>
        <w:rPr>
          <w:rStyle w:val="normaltextrun"/>
        </w:rPr>
      </w:pPr>
      <w:r>
        <w:rPr>
          <w:rStyle w:val="normaltextrun"/>
        </w:rPr>
        <w:br w:type="page"/>
      </w:r>
    </w:p>
    <w:p w14:paraId="09DAA616" w14:textId="3800BAFD" w:rsidR="00EE0C4B" w:rsidRPr="00A608EE" w:rsidRDefault="001A6851" w:rsidP="00EE208A">
      <w:pPr>
        <w:pStyle w:val="Heading1"/>
        <w:spacing w:before="0" w:line="240" w:lineRule="auto"/>
        <w:jc w:val="both"/>
        <w:rPr>
          <w:rStyle w:val="normaltextrun"/>
        </w:rPr>
      </w:pPr>
      <w:bookmarkStart w:id="3" w:name="_Toc230938765"/>
      <w:r w:rsidRPr="00A608EE">
        <w:rPr>
          <w:rStyle w:val="normaltextrun"/>
        </w:rPr>
        <w:lastRenderedPageBreak/>
        <w:t>Acknowledgements</w:t>
      </w:r>
      <w:bookmarkEnd w:id="3"/>
    </w:p>
    <w:p w14:paraId="199F2853" w14:textId="77777777" w:rsidR="005E57CF" w:rsidRPr="00A608EE" w:rsidRDefault="005E57CF" w:rsidP="00EE208A">
      <w:pPr>
        <w:jc w:val="both"/>
        <w:rPr>
          <w:rFonts w:asciiTheme="majorHAnsi" w:hAnsiTheme="majorHAnsi"/>
        </w:rPr>
      </w:pPr>
    </w:p>
    <w:p w14:paraId="671A95AB" w14:textId="77777777" w:rsidR="00CF6EF3" w:rsidRPr="00A608EE" w:rsidRDefault="00CF6EF3" w:rsidP="00E72CFF">
      <w:pPr>
        <w:pStyle w:val="paragraph"/>
        <w:spacing w:before="0" w:beforeAutospacing="0" w:after="0" w:afterAutospacing="0"/>
        <w:jc w:val="both"/>
        <w:textAlignment w:val="baseline"/>
        <w:rPr>
          <w:rFonts w:asciiTheme="majorHAnsi" w:hAnsiTheme="majorHAnsi"/>
          <w:sz w:val="16"/>
          <w:szCs w:val="16"/>
          <w:lang w:eastAsia="es-ES_tradnl"/>
        </w:rPr>
      </w:pPr>
      <w:r w:rsidRPr="00A608EE">
        <w:rPr>
          <w:rFonts w:asciiTheme="majorHAnsi" w:hAnsiTheme="majorHAnsi"/>
          <w:sz w:val="21"/>
          <w:szCs w:val="21"/>
          <w:lang w:eastAsia="es-ES_tradnl"/>
        </w:rPr>
        <w:t>Cerise+SPTF extends sincere gratitude to the many individuals and organizations who generously contributed their time, insights, and expertise to the development of this  </w:t>
      </w:r>
    </w:p>
    <w:p w14:paraId="01ECABD3" w14:textId="3001B8EA" w:rsidR="00CF6EF3" w:rsidRPr="00A608EE" w:rsidRDefault="00CF6EF3" w:rsidP="00E72CFF">
      <w:pPr>
        <w:pStyle w:val="paragraph"/>
        <w:spacing w:before="0" w:beforeAutospacing="0" w:after="0" w:afterAutospacing="0"/>
        <w:jc w:val="both"/>
        <w:textAlignment w:val="baseline"/>
        <w:rPr>
          <w:rFonts w:asciiTheme="majorHAnsi" w:hAnsiTheme="majorHAnsi"/>
          <w:sz w:val="21"/>
          <w:szCs w:val="21"/>
          <w:lang w:eastAsia="es-ES_tradnl"/>
        </w:rPr>
      </w:pPr>
      <w:r w:rsidRPr="00A608EE">
        <w:rPr>
          <w:rFonts w:asciiTheme="majorHAnsi" w:hAnsiTheme="majorHAnsi"/>
          <w:sz w:val="21"/>
          <w:szCs w:val="21"/>
          <w:lang w:eastAsia="es-ES_tradnl"/>
        </w:rPr>
        <w:t>Guidance for</w:t>
      </w:r>
      <w:r w:rsidR="00D05733" w:rsidRPr="00A608EE">
        <w:rPr>
          <w:rFonts w:asciiTheme="majorHAnsi" w:hAnsiTheme="majorHAnsi"/>
          <w:sz w:val="21"/>
          <w:szCs w:val="21"/>
          <w:lang w:eastAsia="es-ES_tradnl"/>
        </w:rPr>
        <w:t xml:space="preserve"> </w:t>
      </w:r>
      <w:r w:rsidRPr="00A608EE">
        <w:rPr>
          <w:rFonts w:asciiTheme="majorHAnsi" w:hAnsiTheme="majorHAnsi"/>
          <w:sz w:val="21"/>
          <w:szCs w:val="21"/>
          <w:lang w:eastAsia="es-ES_tradnl"/>
        </w:rPr>
        <w:t>Financial Service Providers through a joint project with Barrier-Free Finance Initiative (BFFI) to integrate disability inclusion within social performance management frameworks.  </w:t>
      </w:r>
    </w:p>
    <w:p w14:paraId="5F61EC37" w14:textId="77777777" w:rsidR="00A62294" w:rsidRPr="00A608EE" w:rsidRDefault="00A62294" w:rsidP="00E72CFF">
      <w:pPr>
        <w:pStyle w:val="paragraph"/>
        <w:spacing w:before="0" w:beforeAutospacing="0" w:after="0" w:afterAutospacing="0"/>
        <w:jc w:val="both"/>
        <w:textAlignment w:val="baseline"/>
        <w:rPr>
          <w:rFonts w:asciiTheme="majorHAnsi" w:hAnsiTheme="majorHAnsi"/>
          <w:sz w:val="16"/>
          <w:szCs w:val="16"/>
          <w:lang w:eastAsia="es-ES_tradnl"/>
        </w:rPr>
      </w:pPr>
    </w:p>
    <w:p w14:paraId="69B216C7" w14:textId="77777777" w:rsidR="00761BBD" w:rsidRPr="00A608EE" w:rsidRDefault="00CF6EF3" w:rsidP="00E72CFF">
      <w:pPr>
        <w:pStyle w:val="paragraph"/>
        <w:spacing w:before="0" w:beforeAutospacing="0" w:after="0" w:afterAutospacing="0"/>
        <w:jc w:val="both"/>
        <w:textAlignment w:val="baseline"/>
        <w:rPr>
          <w:rFonts w:asciiTheme="majorHAnsi" w:hAnsiTheme="majorHAnsi"/>
          <w:sz w:val="21"/>
          <w:szCs w:val="21"/>
          <w:lang w:eastAsia="es-ES_tradnl"/>
        </w:rPr>
      </w:pPr>
      <w:r w:rsidRPr="00A608EE">
        <w:rPr>
          <w:rFonts w:asciiTheme="majorHAnsi" w:hAnsiTheme="majorHAnsi"/>
          <w:sz w:val="21"/>
          <w:szCs w:val="21"/>
          <w:lang w:eastAsia="es-ES_tradnl"/>
        </w:rPr>
        <w:t xml:space="preserve">We gratefully acknowledge the partnership and collaboration of BFFI, and the support of ADA which made this project possible.  </w:t>
      </w:r>
    </w:p>
    <w:p w14:paraId="326D7208" w14:textId="77777777" w:rsidR="00761BBD" w:rsidRPr="00A608EE" w:rsidRDefault="00761BBD" w:rsidP="00E72CFF">
      <w:pPr>
        <w:pStyle w:val="paragraph"/>
        <w:spacing w:before="0" w:beforeAutospacing="0" w:after="0" w:afterAutospacing="0"/>
        <w:jc w:val="both"/>
        <w:textAlignment w:val="baseline"/>
        <w:rPr>
          <w:rFonts w:asciiTheme="majorHAnsi" w:hAnsiTheme="majorHAnsi"/>
          <w:sz w:val="21"/>
          <w:szCs w:val="21"/>
          <w:lang w:eastAsia="es-ES_tradnl"/>
        </w:rPr>
      </w:pPr>
    </w:p>
    <w:p w14:paraId="6F8863F0" w14:textId="7020B931" w:rsidR="00CF6EF3" w:rsidRPr="00A608EE" w:rsidRDefault="00CF6EF3" w:rsidP="00E72CFF">
      <w:pPr>
        <w:pStyle w:val="paragraph"/>
        <w:spacing w:before="0" w:beforeAutospacing="0" w:after="0" w:afterAutospacing="0"/>
        <w:jc w:val="both"/>
        <w:textAlignment w:val="baseline"/>
        <w:rPr>
          <w:rFonts w:asciiTheme="majorHAnsi" w:hAnsiTheme="majorHAnsi"/>
          <w:sz w:val="16"/>
          <w:szCs w:val="16"/>
          <w:lang w:eastAsia="es-ES_tradnl"/>
        </w:rPr>
      </w:pPr>
      <w:r w:rsidRPr="00A608EE">
        <w:rPr>
          <w:rFonts w:asciiTheme="majorHAnsi" w:hAnsiTheme="majorHAnsi"/>
          <w:sz w:val="21"/>
          <w:szCs w:val="21"/>
          <w:lang w:eastAsia="es-ES_tradnl"/>
        </w:rPr>
        <w:t>This publication was produced with the support of the Luxembourg Development Cooperation. </w:t>
      </w:r>
    </w:p>
    <w:p w14:paraId="488C536B" w14:textId="77777777" w:rsidR="0093439D" w:rsidRPr="00A608EE" w:rsidRDefault="0093439D" w:rsidP="00EE208A">
      <w:pPr>
        <w:jc w:val="both"/>
        <w:rPr>
          <w:rFonts w:asciiTheme="majorHAnsi" w:hAnsiTheme="majorHAnsi"/>
        </w:rPr>
      </w:pPr>
    </w:p>
    <w:p w14:paraId="525CA41B" w14:textId="77777777" w:rsidR="0093439D" w:rsidRPr="00A608EE" w:rsidRDefault="0093439D" w:rsidP="00EE208A">
      <w:pPr>
        <w:jc w:val="both"/>
        <w:rPr>
          <w:rFonts w:asciiTheme="majorHAnsi" w:hAnsiTheme="majorHAnsi"/>
        </w:rPr>
      </w:pPr>
    </w:p>
    <w:p w14:paraId="3E1FFB26" w14:textId="0B50FC2A" w:rsidR="00096C1E" w:rsidRPr="00A608EE" w:rsidRDefault="001A6851" w:rsidP="00EE208A">
      <w:pPr>
        <w:pStyle w:val="Heading1"/>
        <w:spacing w:before="0" w:line="240" w:lineRule="auto"/>
        <w:jc w:val="both"/>
        <w:rPr>
          <w:rStyle w:val="normaltextrun"/>
        </w:rPr>
      </w:pPr>
      <w:bookmarkStart w:id="4" w:name="_Toc230938766"/>
      <w:r w:rsidRPr="00A608EE">
        <w:rPr>
          <w:rStyle w:val="normaltextrun"/>
        </w:rPr>
        <w:t>Note to readers</w:t>
      </w:r>
      <w:bookmarkEnd w:id="4"/>
    </w:p>
    <w:p w14:paraId="6BF2C881" w14:textId="77777777" w:rsidR="00096C1E" w:rsidRPr="00A608EE" w:rsidRDefault="00096C1E" w:rsidP="00EE208A">
      <w:pPr>
        <w:jc w:val="both"/>
        <w:rPr>
          <w:rFonts w:asciiTheme="majorHAnsi" w:hAnsiTheme="majorHAnsi"/>
          <w:sz w:val="20"/>
          <w:szCs w:val="20"/>
        </w:rPr>
      </w:pPr>
    </w:p>
    <w:p w14:paraId="59B650DA" w14:textId="77777777" w:rsidR="001A6851" w:rsidRPr="00A608EE" w:rsidRDefault="001A6851" w:rsidP="00EE208A">
      <w:pPr>
        <w:jc w:val="both"/>
        <w:rPr>
          <w:rFonts w:asciiTheme="majorHAnsi" w:hAnsiTheme="majorHAnsi"/>
          <w:sz w:val="20"/>
          <w:szCs w:val="20"/>
        </w:rPr>
      </w:pPr>
      <w:r w:rsidRPr="00A608EE">
        <w:rPr>
          <w:rFonts w:asciiTheme="majorHAnsi" w:hAnsiTheme="majorHAnsi"/>
          <w:sz w:val="20"/>
          <w:szCs w:val="20"/>
        </w:rPr>
        <w:t>Thank you very much for being part of the Cerise+SPTF community. We are delighted to share this important resource with you.</w:t>
      </w:r>
    </w:p>
    <w:p w14:paraId="17D61CF0" w14:textId="77777777" w:rsidR="001A6851" w:rsidRPr="00A608EE" w:rsidRDefault="001A6851" w:rsidP="00EE208A">
      <w:pPr>
        <w:jc w:val="both"/>
        <w:rPr>
          <w:rFonts w:asciiTheme="majorHAnsi" w:hAnsiTheme="majorHAnsi"/>
          <w:sz w:val="20"/>
          <w:szCs w:val="20"/>
        </w:rPr>
      </w:pPr>
    </w:p>
    <w:p w14:paraId="5A9546DC" w14:textId="77426583" w:rsidR="00CF6EF3" w:rsidRPr="00A608EE" w:rsidRDefault="00CF6EF3" w:rsidP="00EE208A">
      <w:pPr>
        <w:jc w:val="both"/>
        <w:rPr>
          <w:rFonts w:asciiTheme="majorHAnsi" w:hAnsiTheme="majorHAnsi"/>
          <w:sz w:val="20"/>
          <w:szCs w:val="20"/>
        </w:rPr>
      </w:pPr>
      <w:r w:rsidRPr="00A608EE">
        <w:rPr>
          <w:rStyle w:val="normaltextrun"/>
          <w:rFonts w:ascii="Work Sans" w:hAnsi="Work Sans"/>
          <w:color w:val="000000"/>
          <w:sz w:val="20"/>
          <w:szCs w:val="20"/>
          <w:shd w:val="clear" w:color="auto" w:fill="FFFFFF"/>
        </w:rPr>
        <w:t>This Audit and Implementation Guide for the </w:t>
      </w:r>
      <w:hyperlink r:id="rId9" w:tgtFrame="_blank" w:history="1">
        <w:r w:rsidRPr="00A608EE">
          <w:rPr>
            <w:rStyle w:val="normaltextrun"/>
            <w:rFonts w:ascii="Work Sans" w:hAnsi="Work Sans" w:cs="Segoe UI"/>
            <w:color w:val="0000FF"/>
            <w:sz w:val="20"/>
            <w:szCs w:val="20"/>
            <w:u w:val="single"/>
            <w:shd w:val="clear" w:color="auto" w:fill="FFFFFF"/>
          </w:rPr>
          <w:t>Universal Standards</w:t>
        </w:r>
      </w:hyperlink>
      <w:r w:rsidRPr="00A608EE">
        <w:rPr>
          <w:rStyle w:val="normaltextrun"/>
          <w:rFonts w:ascii="Work Sans" w:hAnsi="Work Sans"/>
          <w:color w:val="000000"/>
          <w:sz w:val="20"/>
          <w:szCs w:val="20"/>
          <w:shd w:val="clear" w:color="auto" w:fill="FFFFFF"/>
        </w:rPr>
        <w:t> for Social and Environmental Performance Management (SEPM Guide) is focused on Disability Inclusion. </w:t>
      </w:r>
      <w:r w:rsidR="00761BBD" w:rsidRPr="00A608EE">
        <w:rPr>
          <w:rStyle w:val="normaltextrun"/>
          <w:rFonts w:ascii="Work Sans" w:hAnsi="Work Sans"/>
          <w:color w:val="000000"/>
          <w:sz w:val="20"/>
          <w:szCs w:val="20"/>
          <w:shd w:val="clear" w:color="auto" w:fill="FFFFFF"/>
        </w:rPr>
        <w:t xml:space="preserve">It </w:t>
      </w:r>
      <w:r w:rsidRPr="00A608EE">
        <w:rPr>
          <w:rStyle w:val="normaltextrun"/>
          <w:rFonts w:ascii="Work Sans" w:hAnsi="Work Sans"/>
          <w:color w:val="000000"/>
          <w:sz w:val="20"/>
          <w:szCs w:val="20"/>
          <w:shd w:val="clear" w:color="auto" w:fill="FFFFFF"/>
        </w:rPr>
        <w:t>is designed to assist you in your journey towards assessing and managing social and environmental performance with a focus on People with Disability.</w:t>
      </w:r>
    </w:p>
    <w:p w14:paraId="1B350859" w14:textId="77777777" w:rsidR="001A6851" w:rsidRPr="00A608EE" w:rsidRDefault="001A6851" w:rsidP="00EE208A">
      <w:pPr>
        <w:jc w:val="both"/>
        <w:rPr>
          <w:rFonts w:asciiTheme="majorHAnsi" w:hAnsiTheme="majorHAnsi"/>
          <w:sz w:val="20"/>
          <w:szCs w:val="20"/>
        </w:rPr>
      </w:pPr>
    </w:p>
    <w:p w14:paraId="763A4669" w14:textId="184FBDB1" w:rsidR="001A6851" w:rsidRPr="00A608EE" w:rsidRDefault="001A6851" w:rsidP="00EE208A">
      <w:pPr>
        <w:jc w:val="both"/>
        <w:rPr>
          <w:rFonts w:asciiTheme="majorHAnsi" w:hAnsiTheme="majorHAnsi"/>
          <w:sz w:val="20"/>
          <w:szCs w:val="20"/>
        </w:rPr>
      </w:pPr>
      <w:r w:rsidRPr="00A608EE">
        <w:rPr>
          <w:rFonts w:asciiTheme="majorHAnsi" w:hAnsiTheme="majorHAnsi"/>
          <w:sz w:val="20"/>
          <w:szCs w:val="20"/>
        </w:rPr>
        <w:t xml:space="preserve">If you have any questions, please visit our website: </w:t>
      </w:r>
      <w:hyperlink r:id="rId10" w:history="1">
        <w:r w:rsidRPr="00A608EE">
          <w:rPr>
            <w:rStyle w:val="Hyperlink"/>
            <w:rFonts w:asciiTheme="majorHAnsi" w:hAnsiTheme="majorHAnsi"/>
            <w:sz w:val="20"/>
            <w:szCs w:val="20"/>
          </w:rPr>
          <w:t>https://en.spi-online.org/</w:t>
        </w:r>
      </w:hyperlink>
      <w:r w:rsidRPr="00A608EE">
        <w:rPr>
          <w:rFonts w:asciiTheme="majorHAnsi" w:hAnsiTheme="majorHAnsi"/>
          <w:sz w:val="20"/>
          <w:szCs w:val="20"/>
        </w:rPr>
        <w:t xml:space="preserve"> </w:t>
      </w:r>
    </w:p>
    <w:p w14:paraId="60638D04" w14:textId="77777777" w:rsidR="001A6851" w:rsidRPr="00A608EE" w:rsidRDefault="001A6851" w:rsidP="00EE208A">
      <w:pPr>
        <w:jc w:val="both"/>
        <w:rPr>
          <w:rFonts w:asciiTheme="majorHAnsi" w:hAnsiTheme="majorHAnsi"/>
          <w:sz w:val="20"/>
          <w:szCs w:val="20"/>
        </w:rPr>
      </w:pPr>
    </w:p>
    <w:p w14:paraId="34AC30F1" w14:textId="0C136DAF" w:rsidR="001A6851" w:rsidRPr="00A608EE" w:rsidRDefault="001A6851" w:rsidP="00EE208A">
      <w:pPr>
        <w:jc w:val="both"/>
        <w:rPr>
          <w:rFonts w:asciiTheme="majorHAnsi" w:hAnsiTheme="majorHAnsi"/>
          <w:sz w:val="20"/>
          <w:szCs w:val="20"/>
        </w:rPr>
      </w:pPr>
      <w:r w:rsidRPr="00A608EE">
        <w:rPr>
          <w:rFonts w:asciiTheme="majorHAnsi" w:hAnsiTheme="majorHAnsi"/>
          <w:sz w:val="20"/>
          <w:szCs w:val="20"/>
        </w:rPr>
        <w:t xml:space="preserve">Or contact us at: </w:t>
      </w:r>
      <w:hyperlink r:id="rId11" w:history="1">
        <w:r w:rsidRPr="00A608EE">
          <w:rPr>
            <w:rStyle w:val="Hyperlink"/>
            <w:rFonts w:asciiTheme="majorHAnsi" w:hAnsiTheme="majorHAnsi"/>
            <w:sz w:val="20"/>
            <w:szCs w:val="20"/>
          </w:rPr>
          <w:t>support@spi-online.org</w:t>
        </w:r>
      </w:hyperlink>
    </w:p>
    <w:p w14:paraId="50E6514E" w14:textId="77777777" w:rsidR="001A6851" w:rsidRPr="00A608EE" w:rsidRDefault="001A6851" w:rsidP="00EE208A">
      <w:pPr>
        <w:jc w:val="both"/>
        <w:rPr>
          <w:rFonts w:asciiTheme="majorHAnsi" w:hAnsiTheme="majorHAnsi"/>
          <w:sz w:val="20"/>
          <w:szCs w:val="20"/>
        </w:rPr>
      </w:pPr>
    </w:p>
    <w:p w14:paraId="4CDE5EB3" w14:textId="77777777" w:rsidR="001A6851" w:rsidRPr="00A608EE" w:rsidRDefault="001A6851" w:rsidP="00EE208A">
      <w:pPr>
        <w:jc w:val="both"/>
        <w:rPr>
          <w:rFonts w:asciiTheme="majorHAnsi" w:hAnsiTheme="majorHAnsi"/>
          <w:b/>
          <w:bCs/>
          <w:sz w:val="20"/>
          <w:szCs w:val="20"/>
        </w:rPr>
      </w:pPr>
      <w:r w:rsidRPr="00A608EE">
        <w:rPr>
          <w:rFonts w:asciiTheme="majorHAnsi" w:hAnsiTheme="majorHAnsi"/>
          <w:sz w:val="20"/>
          <w:szCs w:val="20"/>
        </w:rPr>
        <w:t xml:space="preserve">Especially if you would like to </w:t>
      </w:r>
      <w:r w:rsidRPr="00A608EE">
        <w:rPr>
          <w:rFonts w:asciiTheme="majorHAnsi" w:hAnsiTheme="majorHAnsi"/>
          <w:b/>
          <w:bCs/>
          <w:sz w:val="20"/>
          <w:szCs w:val="20"/>
        </w:rPr>
        <w:t>give us your feedback on this document!</w:t>
      </w:r>
    </w:p>
    <w:p w14:paraId="16D128A9" w14:textId="71119E87" w:rsidR="000E3DDB" w:rsidRPr="00A608EE" w:rsidRDefault="000E3DDB" w:rsidP="00EE208A">
      <w:pPr>
        <w:jc w:val="both"/>
        <w:rPr>
          <w:rFonts w:asciiTheme="majorHAnsi" w:hAnsiTheme="majorHAnsi"/>
        </w:rPr>
      </w:pPr>
    </w:p>
    <w:p w14:paraId="4BFB97A7" w14:textId="77777777" w:rsidR="000E3DDB" w:rsidRPr="00A608EE" w:rsidRDefault="000E3DDB" w:rsidP="00EE208A">
      <w:pPr>
        <w:jc w:val="both"/>
        <w:rPr>
          <w:rFonts w:asciiTheme="majorHAnsi" w:hAnsiTheme="majorHAnsi"/>
        </w:rPr>
      </w:pPr>
    </w:p>
    <w:p w14:paraId="48E3ED1A" w14:textId="77777777" w:rsidR="000E3DDB" w:rsidRPr="00A608EE" w:rsidRDefault="000E3DDB" w:rsidP="00EE208A">
      <w:pPr>
        <w:jc w:val="both"/>
        <w:rPr>
          <w:rStyle w:val="normaltextrun"/>
          <w:rFonts w:asciiTheme="majorHAnsi" w:eastAsiaTheme="majorEastAsia" w:hAnsiTheme="majorHAnsi" w:cstheme="majorBidi"/>
          <w:sz w:val="40"/>
          <w:szCs w:val="32"/>
        </w:rPr>
      </w:pPr>
      <w:r w:rsidRPr="00A608EE">
        <w:rPr>
          <w:rStyle w:val="normaltextrun"/>
        </w:rPr>
        <w:br w:type="page"/>
      </w:r>
    </w:p>
    <w:p w14:paraId="2D2BB18E" w14:textId="0B1BE9C5" w:rsidR="00704795" w:rsidRPr="00A608EE" w:rsidRDefault="00704795" w:rsidP="00EE208A">
      <w:pPr>
        <w:pStyle w:val="Heading1"/>
        <w:spacing w:before="0" w:line="240" w:lineRule="auto"/>
        <w:jc w:val="both"/>
        <w:rPr>
          <w:rStyle w:val="normaltextrun"/>
        </w:rPr>
      </w:pPr>
      <w:bookmarkStart w:id="5" w:name="_Toc230938767"/>
      <w:r w:rsidRPr="00A608EE">
        <w:rPr>
          <w:rStyle w:val="normaltextrun"/>
        </w:rPr>
        <w:lastRenderedPageBreak/>
        <w:t>Introduction</w:t>
      </w:r>
      <w:bookmarkEnd w:id="5"/>
    </w:p>
    <w:p w14:paraId="4BE35C9F" w14:textId="6C6523DD" w:rsidR="00704795" w:rsidRPr="00A608EE" w:rsidRDefault="00704795" w:rsidP="00EE208A">
      <w:pPr>
        <w:jc w:val="both"/>
        <w:rPr>
          <w:rFonts w:asciiTheme="majorHAnsi" w:hAnsiTheme="majorHAnsi"/>
          <w:sz w:val="20"/>
          <w:szCs w:val="20"/>
        </w:rPr>
      </w:pPr>
    </w:p>
    <w:p w14:paraId="175812E6" w14:textId="49C11BEA" w:rsidR="00CF6EF3" w:rsidRPr="00A608EE" w:rsidRDefault="00CF6EF3" w:rsidP="00CF6EF3">
      <w:pPr>
        <w:pStyle w:val="paragraph"/>
        <w:spacing w:before="0" w:after="0"/>
        <w:jc w:val="both"/>
        <w:textAlignment w:val="baseline"/>
        <w:rPr>
          <w:rFonts w:ascii="Segoe UI" w:hAnsi="Segoe UI" w:cs="Segoe UI"/>
          <w:sz w:val="18"/>
          <w:szCs w:val="18"/>
        </w:rPr>
      </w:pPr>
      <w:r w:rsidRPr="00A608EE">
        <w:rPr>
          <w:rStyle w:val="normaltextrun"/>
          <w:rFonts w:ascii="Work Sans" w:hAnsi="Work Sans" w:cs="Segoe UI"/>
          <w:sz w:val="20"/>
          <w:szCs w:val="20"/>
        </w:rPr>
        <w:t>This version of the SEPM Guide places a specific focus on Disability Inclusion. It aims to support financial services providers in understanding how the inclusion of persons with disabilities can be integrated across the different dimensions of the Universal Standards and within existing Social and Environmental Performance Management (SEPM) systems.</w:t>
      </w:r>
    </w:p>
    <w:p w14:paraId="28D9B269" w14:textId="6ED9FAC8" w:rsidR="00CF6EF3" w:rsidRPr="00A608EE" w:rsidRDefault="00CF6EF3" w:rsidP="00CF6EF3">
      <w:pPr>
        <w:pStyle w:val="paragraph"/>
        <w:spacing w:before="0" w:after="0"/>
        <w:jc w:val="both"/>
        <w:textAlignment w:val="baseline"/>
        <w:rPr>
          <w:rFonts w:ascii="Segoe UI" w:hAnsi="Segoe UI" w:cs="Segoe UI"/>
          <w:sz w:val="18"/>
          <w:szCs w:val="18"/>
        </w:rPr>
      </w:pPr>
      <w:r w:rsidRPr="00A608EE">
        <w:rPr>
          <w:rStyle w:val="normaltextrun"/>
          <w:rFonts w:ascii="Work Sans" w:hAnsi="Work Sans" w:cs="Segoe UI"/>
          <w:sz w:val="20"/>
          <w:szCs w:val="20"/>
        </w:rPr>
        <w:t>This Disability Inclusion Focus is primarily intended for organizations that are already familiar with the Universal Standards and SPI Online audits, and that wish to strengthen and systematize their approach to disability inclusion through strategy, governance, policies, management systems, and monitoring processes.</w:t>
      </w:r>
    </w:p>
    <w:p w14:paraId="429E2A1B" w14:textId="4E1DA5F5" w:rsidR="00CF6EF3" w:rsidRPr="00A608EE" w:rsidRDefault="00CF6EF3" w:rsidP="00170B05">
      <w:pPr>
        <w:pStyle w:val="paragraph"/>
        <w:jc w:val="both"/>
        <w:textAlignment w:val="baseline"/>
        <w:rPr>
          <w:rFonts w:ascii="Segoe UI" w:hAnsi="Segoe UI" w:cs="Segoe UI"/>
          <w:sz w:val="18"/>
          <w:szCs w:val="18"/>
        </w:rPr>
      </w:pPr>
      <w:r w:rsidRPr="00A608EE">
        <w:rPr>
          <w:rStyle w:val="normaltextrun"/>
          <w:rFonts w:ascii="Work Sans" w:hAnsi="Work Sans" w:cs="Segoe UI"/>
          <w:sz w:val="20"/>
          <w:szCs w:val="20"/>
        </w:rPr>
        <w:t>This edition complements the Disability Inclusion Guide for Financial Services Providers developed by Barrier-Free Finance Initiative (BFFI). </w:t>
      </w:r>
    </w:p>
    <w:p w14:paraId="48C21DFB" w14:textId="26897C12" w:rsidR="00CF6EF3" w:rsidRPr="00A608EE" w:rsidRDefault="00CF6EF3" w:rsidP="008D042D">
      <w:pPr>
        <w:pStyle w:val="paragraph"/>
        <w:jc w:val="both"/>
        <w:textAlignment w:val="baseline"/>
        <w:rPr>
          <w:rFonts w:ascii="Segoe UI" w:hAnsi="Segoe UI" w:cs="Segoe UI"/>
          <w:sz w:val="18"/>
          <w:szCs w:val="18"/>
        </w:rPr>
      </w:pPr>
      <w:r w:rsidRPr="00A608EE">
        <w:rPr>
          <w:rStyle w:val="normaltextrun"/>
          <w:rFonts w:ascii="Work Sans" w:hAnsi="Work Sans" w:cs="Segoe UI"/>
          <w:sz w:val="20"/>
          <w:szCs w:val="20"/>
        </w:rPr>
        <w:t>While the SEPM Guide focuses on </w:t>
      </w:r>
      <w:r w:rsidRPr="00A608EE">
        <w:rPr>
          <w:rStyle w:val="normaltextrun"/>
          <w:rFonts w:ascii="Work Sans" w:hAnsi="Work Sans" w:cs="Segoe UI"/>
          <w:i/>
          <w:iCs/>
          <w:sz w:val="20"/>
          <w:szCs w:val="20"/>
        </w:rPr>
        <w:t>where</w:t>
      </w:r>
      <w:r w:rsidRPr="00A608EE">
        <w:rPr>
          <w:rStyle w:val="normaltextrun"/>
          <w:rFonts w:ascii="Work Sans" w:hAnsi="Work Sans" w:cs="Segoe UI"/>
          <w:sz w:val="20"/>
          <w:szCs w:val="20"/>
        </w:rPr>
        <w:t> and </w:t>
      </w:r>
      <w:r w:rsidRPr="00A608EE">
        <w:rPr>
          <w:rStyle w:val="normaltextrun"/>
          <w:rFonts w:ascii="Work Sans" w:hAnsi="Work Sans" w:cs="Segoe UI"/>
          <w:i/>
          <w:iCs/>
          <w:sz w:val="20"/>
          <w:szCs w:val="20"/>
        </w:rPr>
        <w:t>how</w:t>
      </w:r>
      <w:r w:rsidRPr="00A608EE">
        <w:rPr>
          <w:rStyle w:val="normaltextrun"/>
          <w:rFonts w:ascii="Work Sans" w:hAnsi="Work Sans" w:cs="Segoe UI"/>
          <w:sz w:val="20"/>
          <w:szCs w:val="20"/>
        </w:rPr>
        <w:t> disability inclusion fits within the Universal Standards and SEPM frameworks, the BFFI Guide provides more detailed and practical guidance on </w:t>
      </w:r>
      <w:r w:rsidRPr="00A608EE">
        <w:rPr>
          <w:rStyle w:val="normaltextrun"/>
          <w:rFonts w:ascii="Work Sans" w:hAnsi="Work Sans" w:cs="Segoe UI"/>
          <w:i/>
          <w:iCs/>
          <w:sz w:val="20"/>
          <w:szCs w:val="20"/>
        </w:rPr>
        <w:t>how</w:t>
      </w:r>
      <w:r w:rsidRPr="00A608EE">
        <w:rPr>
          <w:rStyle w:val="normaltextrun"/>
          <w:rFonts w:ascii="Work Sans" w:hAnsi="Work Sans" w:cs="Segoe UI"/>
          <w:sz w:val="20"/>
          <w:szCs w:val="20"/>
        </w:rPr>
        <w:t> to implement disability inclusive practices in day-to-day operations. </w:t>
      </w:r>
    </w:p>
    <w:p w14:paraId="5A050DA9" w14:textId="4E2D886A" w:rsidR="00CF6EF3" w:rsidRPr="00A608EE" w:rsidRDefault="00CF6EF3" w:rsidP="00CF6EF3">
      <w:pPr>
        <w:pStyle w:val="paragraph"/>
        <w:spacing w:before="0" w:after="0"/>
        <w:jc w:val="both"/>
        <w:textAlignment w:val="baseline"/>
        <w:rPr>
          <w:rFonts w:ascii="Segoe UI" w:hAnsi="Segoe UI" w:cs="Segoe UI"/>
          <w:sz w:val="18"/>
          <w:szCs w:val="18"/>
        </w:rPr>
      </w:pPr>
      <w:r w:rsidRPr="00A608EE">
        <w:rPr>
          <w:rStyle w:val="normaltextrun"/>
          <w:rFonts w:ascii="Work Sans" w:hAnsi="Work Sans" w:cs="Segoe UI"/>
          <w:sz w:val="20"/>
          <w:szCs w:val="20"/>
        </w:rPr>
        <w:t>The two guides are therefore designed to be used together in a complementary way.</w:t>
      </w:r>
    </w:p>
    <w:p w14:paraId="0EE9E051" w14:textId="56942280"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r w:rsidRPr="00A608EE">
        <w:rPr>
          <w:rStyle w:val="normaltextrun"/>
          <w:rFonts w:ascii="Work Sans" w:hAnsi="Work Sans" w:cs="Segoe UI"/>
          <w:sz w:val="20"/>
          <w:szCs w:val="20"/>
        </w:rPr>
        <w:t>This Guide covers all of the Universal Standards and indicators mapped with Disability Inclusion Strategies (SPI5 Entry and few indicators from SPI5 Full).</w:t>
      </w:r>
    </w:p>
    <w:p w14:paraId="3D4F47B0" w14:textId="439A6650"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p>
    <w:p w14:paraId="76323EA1" w14:textId="77777777" w:rsidR="00986864" w:rsidRPr="00A608EE" w:rsidRDefault="00CF6EF3" w:rsidP="00CF6EF3">
      <w:pPr>
        <w:pStyle w:val="paragraph"/>
        <w:spacing w:before="0" w:beforeAutospacing="0" w:after="0" w:afterAutospacing="0"/>
        <w:jc w:val="both"/>
        <w:textAlignment w:val="baseline"/>
        <w:rPr>
          <w:rStyle w:val="normaltextrun"/>
          <w:rFonts w:ascii="Work Sans" w:hAnsi="Work Sans" w:cs="Segoe UI"/>
          <w:sz w:val="20"/>
          <w:szCs w:val="20"/>
        </w:rPr>
      </w:pPr>
      <w:r w:rsidRPr="00A608EE">
        <w:rPr>
          <w:rStyle w:val="normaltextrun"/>
          <w:rFonts w:ascii="Work Sans" w:hAnsi="Work Sans" w:cs="Segoe UI"/>
          <w:b/>
          <w:bCs/>
          <w:sz w:val="20"/>
          <w:szCs w:val="20"/>
        </w:rPr>
        <w:t>For auditing</w:t>
      </w:r>
      <w:r w:rsidRPr="00A608EE">
        <w:rPr>
          <w:rStyle w:val="normaltextrun"/>
          <w:rFonts w:ascii="Work Sans" w:hAnsi="Work Sans" w:cs="Segoe UI"/>
          <w:sz w:val="20"/>
          <w:szCs w:val="20"/>
        </w:rPr>
        <w:t>, it provides scoring guidance and examples on how to understand and score each indicator in the SPI Online tools. </w:t>
      </w:r>
    </w:p>
    <w:p w14:paraId="3E7208FA" w14:textId="0099AF16" w:rsidR="00986864" w:rsidRPr="00A608EE" w:rsidRDefault="00986864" w:rsidP="00CF6EF3">
      <w:pPr>
        <w:pStyle w:val="paragraph"/>
        <w:spacing w:before="0" w:beforeAutospacing="0" w:after="0" w:afterAutospacing="0"/>
        <w:jc w:val="both"/>
        <w:textAlignment w:val="baseline"/>
        <w:rPr>
          <w:rStyle w:val="normaltextrun"/>
          <w:rFonts w:ascii="Work Sans" w:hAnsi="Work Sans" w:cs="Segoe UI"/>
          <w:sz w:val="20"/>
          <w:szCs w:val="20"/>
        </w:rPr>
      </w:pPr>
      <w:r w:rsidRPr="00A608EE">
        <w:rPr>
          <w:rStyle w:val="normaltextrun"/>
          <w:rFonts w:ascii="Work Sans" w:hAnsi="Work Sans" w:cs="Segoe UI"/>
          <w:sz w:val="20"/>
          <w:szCs w:val="20"/>
        </w:rPr>
        <w:t>The selection in this guide are the indicators related to Disability Inclusion: in a nutshell, it covers SPI5 Entry tools plus some extra indicators for SPI5 Full. You can find the mapping with each indicator:</w:t>
      </w:r>
    </w:p>
    <w:p w14:paraId="72F45128" w14:textId="77777777" w:rsidR="00986864" w:rsidRPr="00A608EE" w:rsidRDefault="00986864" w:rsidP="00986864">
      <w:pPr>
        <w:pStyle w:val="paragraph"/>
        <w:spacing w:before="240" w:beforeAutospacing="0" w:after="240" w:afterAutospacing="0"/>
        <w:jc w:val="both"/>
        <w:textAlignment w:val="baseline"/>
        <w:rPr>
          <w:rFonts w:asciiTheme="majorHAnsi" w:hAnsiTheme="majorHAnsi"/>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ALINUS</w:t>
      </w:r>
      <w:r w:rsidRPr="00A608EE">
        <w:rPr>
          <w:rFonts w:asciiTheme="majorHAnsi" w:hAnsiTheme="majorHAnsi" w:cs="Calibri Light"/>
          <w:b/>
          <w:bCs/>
          <w:color w:val="2145CC" w:themeColor="accent5" w:themeShade="BF"/>
          <w:szCs w:val="20"/>
        </w:rPr>
        <w:t xml:space="preserve"> </w:t>
      </w:r>
      <w:r w:rsidRPr="00A608EE">
        <w:rPr>
          <w:rFonts w:asciiTheme="majorHAnsi" w:hAnsiTheme="majorHAnsi"/>
          <w:b/>
          <w:bCs/>
          <w:color w:val="2145CC" w:themeColor="accent5" w:themeShade="BF"/>
          <w:sz w:val="20"/>
          <w:szCs w:val="20"/>
        </w:rPr>
        <w:t>| SPI5 Entry</w:t>
      </w:r>
      <w:r w:rsidRPr="00A608EE">
        <w:rPr>
          <w:rFonts w:asciiTheme="majorHAnsi" w:hAnsiTheme="majorHAnsi" w:cs="Calibri Light"/>
          <w:b/>
          <w:bCs/>
          <w:color w:val="2145CC" w:themeColor="accent5" w:themeShade="BF"/>
          <w:szCs w:val="20"/>
        </w:rPr>
        <w:t xml:space="preserve"> </w:t>
      </w:r>
      <w:r w:rsidRPr="00A608EE">
        <w:rPr>
          <w:rFonts w:asciiTheme="majorHAnsi" w:hAnsiTheme="majorHAnsi"/>
          <w:b/>
          <w:bCs/>
          <w:color w:val="2145CC" w:themeColor="accent5" w:themeShade="BF"/>
          <w:sz w:val="20"/>
          <w:szCs w:val="20"/>
        </w:rPr>
        <w:t>| SPI5 Full | DI Focus</w:t>
      </w:r>
    </w:p>
    <w:p w14:paraId="50694E79" w14:textId="77777777" w:rsidR="00986864" w:rsidRPr="00A608EE" w:rsidRDefault="00986864" w:rsidP="00CF6EF3">
      <w:pPr>
        <w:pStyle w:val="paragraph"/>
        <w:spacing w:before="0" w:beforeAutospacing="0" w:after="0" w:afterAutospacing="0"/>
        <w:jc w:val="both"/>
        <w:textAlignment w:val="baseline"/>
        <w:rPr>
          <w:rStyle w:val="normaltextrun"/>
          <w:rFonts w:ascii="Work Sans" w:hAnsi="Work Sans" w:cs="Segoe UI"/>
          <w:sz w:val="20"/>
          <w:szCs w:val="20"/>
        </w:rPr>
      </w:pPr>
    </w:p>
    <w:p w14:paraId="257DF09F" w14:textId="67298221"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r w:rsidRPr="00A608EE">
        <w:rPr>
          <w:rStyle w:val="normaltextrun"/>
          <w:rFonts w:ascii="Work Sans" w:hAnsi="Work Sans" w:cs="Segoe UI"/>
          <w:sz w:val="20"/>
          <w:szCs w:val="20"/>
        </w:rPr>
        <w:t>For more information on the different tools available using the Universal Standards indicators, please visit the </w:t>
      </w:r>
      <w:hyperlink r:id="rId12" w:tgtFrame="_blank" w:history="1">
        <w:r w:rsidRPr="00A608EE">
          <w:rPr>
            <w:rStyle w:val="normaltextrun"/>
            <w:rFonts w:ascii="Work Sans" w:hAnsi="Work Sans" w:cs="Segoe UI"/>
            <w:color w:val="0000FF"/>
            <w:sz w:val="20"/>
            <w:szCs w:val="20"/>
            <w:u w:val="single"/>
          </w:rPr>
          <w:t>tools section</w:t>
        </w:r>
      </w:hyperlink>
      <w:r w:rsidRPr="00A608EE">
        <w:rPr>
          <w:rStyle w:val="normaltextrun"/>
          <w:rFonts w:ascii="Work Sans" w:hAnsi="Work Sans" w:cs="Segoe UI"/>
          <w:sz w:val="20"/>
          <w:szCs w:val="20"/>
        </w:rPr>
        <w:t> of SPI Online website.</w:t>
      </w:r>
    </w:p>
    <w:p w14:paraId="6B84DAC0" w14:textId="306F21EB"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p>
    <w:p w14:paraId="62C8F388" w14:textId="397C0DC8"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r w:rsidRPr="00A608EE">
        <w:rPr>
          <w:rStyle w:val="normaltextrun"/>
          <w:rFonts w:ascii="Work Sans" w:hAnsi="Work Sans" w:cs="Segoe UI"/>
          <w:b/>
          <w:bCs/>
          <w:sz w:val="20"/>
          <w:szCs w:val="20"/>
        </w:rPr>
        <w:t>For implementation</w:t>
      </w:r>
      <w:r w:rsidRPr="00A608EE">
        <w:rPr>
          <w:rStyle w:val="normaltextrun"/>
          <w:rFonts w:ascii="Work Sans" w:hAnsi="Work Sans" w:cs="Segoe UI"/>
          <w:sz w:val="20"/>
          <w:szCs w:val="20"/>
        </w:rPr>
        <w:t>, it provides field experience, links to concrete examples, and processes for each standard, practice, and indicator, based on more than 20 years of improving social and environmental performance managemen</w:t>
      </w:r>
      <w:r w:rsidR="00986864" w:rsidRPr="00A608EE">
        <w:rPr>
          <w:rStyle w:val="normaltextrun"/>
          <w:rFonts w:ascii="Work Sans" w:hAnsi="Work Sans" w:cs="Segoe UI"/>
          <w:sz w:val="20"/>
          <w:szCs w:val="20"/>
        </w:rPr>
        <w:t>t and specific inputs from Barrier-free Finance Initiative</w:t>
      </w:r>
      <w:r w:rsidRPr="00A608EE">
        <w:rPr>
          <w:rStyle w:val="normaltextrun"/>
          <w:rFonts w:ascii="Work Sans" w:hAnsi="Work Sans" w:cs="Segoe UI"/>
          <w:sz w:val="20"/>
          <w:szCs w:val="20"/>
        </w:rPr>
        <w:t>.</w:t>
      </w:r>
    </w:p>
    <w:p w14:paraId="523384F1" w14:textId="115D96DD"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p>
    <w:p w14:paraId="1D7FF7E8" w14:textId="146AC8E8"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r w:rsidRPr="00A608EE">
        <w:rPr>
          <w:rStyle w:val="normaltextrun"/>
          <w:rFonts w:ascii="Work Sans" w:hAnsi="Work Sans" w:cs="Segoe UI"/>
          <w:sz w:val="20"/>
          <w:szCs w:val="20"/>
        </w:rPr>
        <w:t>Please visit SPI Online for resources to help you every step of the way.</w:t>
      </w:r>
    </w:p>
    <w:p w14:paraId="51563767" w14:textId="755671AD"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p>
    <w:p w14:paraId="73984621" w14:textId="222514CC"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r w:rsidRPr="00A608EE">
        <w:rPr>
          <w:rStyle w:val="normaltextrun"/>
          <w:rFonts w:ascii="Work Sans" w:hAnsi="Work Sans" w:cs="Segoe UI"/>
          <w:sz w:val="20"/>
          <w:szCs w:val="20"/>
        </w:rPr>
        <w:t>We love hearing from you, so feel free to email us with questions or to share your experiences: </w:t>
      </w:r>
      <w:hyperlink r:id="rId13" w:tgtFrame="_blank" w:history="1">
        <w:r w:rsidRPr="00A608EE">
          <w:rPr>
            <w:rStyle w:val="normaltextrun"/>
            <w:rFonts w:ascii="Work Sans" w:hAnsi="Work Sans" w:cs="Segoe UI"/>
            <w:color w:val="0000FF"/>
            <w:sz w:val="20"/>
            <w:szCs w:val="20"/>
            <w:u w:val="single"/>
          </w:rPr>
          <w:t>support@spi-online.org</w:t>
        </w:r>
      </w:hyperlink>
      <w:r w:rsidRPr="00A608EE">
        <w:rPr>
          <w:rStyle w:val="normaltextrun"/>
          <w:rFonts w:ascii="Work Sans" w:hAnsi="Work Sans" w:cs="Segoe UI"/>
          <w:sz w:val="20"/>
          <w:szCs w:val="20"/>
        </w:rPr>
        <w:t>  </w:t>
      </w:r>
    </w:p>
    <w:p w14:paraId="33C7466B" w14:textId="41659805"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p>
    <w:p w14:paraId="7EE53608" w14:textId="5961CA2D" w:rsidR="00CF6EF3" w:rsidRPr="00A608EE" w:rsidRDefault="00CF6EF3" w:rsidP="00CF6EF3">
      <w:pPr>
        <w:pStyle w:val="paragraph"/>
        <w:spacing w:before="0" w:beforeAutospacing="0" w:after="0" w:afterAutospacing="0"/>
        <w:jc w:val="both"/>
        <w:textAlignment w:val="baseline"/>
        <w:rPr>
          <w:rFonts w:ascii="Segoe UI" w:hAnsi="Segoe UI" w:cs="Segoe UI"/>
          <w:sz w:val="18"/>
          <w:szCs w:val="18"/>
        </w:rPr>
      </w:pPr>
      <w:r w:rsidRPr="00A608EE">
        <w:rPr>
          <w:rStyle w:val="normaltextrun"/>
          <w:rFonts w:ascii="Work Sans" w:hAnsi="Work Sans" w:cs="Segoe UI"/>
          <w:sz w:val="20"/>
          <w:szCs w:val="20"/>
        </w:rPr>
        <w:t>Cerise+SPTF Team</w:t>
      </w:r>
    </w:p>
    <w:p w14:paraId="7273D397" w14:textId="77777777" w:rsidR="00CC52DB" w:rsidRPr="00A608EE" w:rsidRDefault="00CC52DB" w:rsidP="00EE208A">
      <w:pPr>
        <w:jc w:val="both"/>
        <w:rPr>
          <w:rFonts w:asciiTheme="majorHAnsi" w:hAnsiTheme="majorHAnsi"/>
        </w:rPr>
      </w:pPr>
    </w:p>
    <w:p w14:paraId="598E61C1" w14:textId="233F0759" w:rsidR="00A27AAA" w:rsidRPr="00A608EE" w:rsidRDefault="00A27AAA">
      <w:pPr>
        <w:spacing w:after="160" w:line="259" w:lineRule="auto"/>
        <w:rPr>
          <w:rFonts w:asciiTheme="majorHAnsi" w:hAnsiTheme="majorHAnsi"/>
          <w:sz w:val="20"/>
          <w:szCs w:val="20"/>
        </w:rPr>
      </w:pPr>
      <w:r w:rsidRPr="00A608EE">
        <w:rPr>
          <w:rFonts w:asciiTheme="majorHAnsi" w:hAnsiTheme="majorHAnsi"/>
          <w:sz w:val="20"/>
          <w:szCs w:val="20"/>
        </w:rPr>
        <w:br w:type="page"/>
      </w:r>
    </w:p>
    <w:p w14:paraId="22801CBE" w14:textId="30D22635" w:rsidR="00FC153B" w:rsidRPr="00A608EE" w:rsidRDefault="00FC153B" w:rsidP="00EE208A">
      <w:pPr>
        <w:pStyle w:val="Heading1"/>
        <w:spacing w:before="0" w:line="240" w:lineRule="auto"/>
        <w:jc w:val="both"/>
      </w:pPr>
      <w:bookmarkStart w:id="6" w:name="_Toc230938768"/>
      <w:r w:rsidRPr="00A608EE">
        <w:rPr>
          <w:rStyle w:val="normaltextrun"/>
        </w:rPr>
        <w:lastRenderedPageBreak/>
        <w:t xml:space="preserve">Dimension 1. </w:t>
      </w:r>
      <w:bookmarkEnd w:id="0"/>
      <w:r w:rsidR="009755B2" w:rsidRPr="00A608EE">
        <w:rPr>
          <w:rStyle w:val="eop"/>
        </w:rPr>
        <w:t>Social Strategy</w:t>
      </w:r>
      <w:bookmarkEnd w:id="6"/>
    </w:p>
    <w:p w14:paraId="27DB707A" w14:textId="77777777" w:rsidR="00FC153B" w:rsidRPr="00A608EE" w:rsidRDefault="00FC153B" w:rsidP="00EE208A">
      <w:pPr>
        <w:pStyle w:val="paragraph"/>
        <w:spacing w:before="0" w:beforeAutospacing="0" w:after="0" w:afterAutospacing="0"/>
        <w:jc w:val="both"/>
        <w:textAlignment w:val="baseline"/>
        <w:rPr>
          <w:rFonts w:asciiTheme="majorHAnsi" w:hAnsiTheme="majorHAnsi" w:cs="Segoe UI"/>
          <w:sz w:val="20"/>
          <w:szCs w:val="20"/>
        </w:rPr>
      </w:pPr>
      <w:r w:rsidRPr="00A608EE">
        <w:rPr>
          <w:rStyle w:val="eop"/>
          <w:rFonts w:asciiTheme="majorHAnsi" w:hAnsiTheme="majorHAnsi"/>
          <w:sz w:val="20"/>
          <w:szCs w:val="20"/>
        </w:rPr>
        <w:t> </w:t>
      </w:r>
    </w:p>
    <w:p w14:paraId="299330B4" w14:textId="322EFADF" w:rsidR="00E80BF4" w:rsidRPr="00A608EE" w:rsidRDefault="009D29B2" w:rsidP="00EE208A">
      <w:pPr>
        <w:pStyle w:val="paragraph"/>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Dimension One of the Universal Standards focuses on social strategy. Starting with strategy is important because the first step to achieving good performance is defining what “good” performance is, and then developing a strategy to achieve it. Integrating a social element into the strategy is also important, given the increasing recognition that better customer outcomes strengthen the overall sustainability of the business, and therefore “good” performance must include creating some type of benefits for customers. Note that each financial service provider (the “provider”) is setting its own social goals. Many different types of benefits for clients are possible. The essential step is for the provider to define its own “social goals” in line with its vision/mission, capabilities and resource availabilities. They refer the specific benefits that its products and services are expected to create for clients. Then the provider must collect data on its progress toward those goals and use those data to guide decisions.</w:t>
      </w:r>
    </w:p>
    <w:p w14:paraId="507E25E3" w14:textId="77777777" w:rsidR="009D29B2" w:rsidRPr="00A608EE" w:rsidRDefault="009D29B2" w:rsidP="00EE208A">
      <w:pPr>
        <w:pStyle w:val="paragraph"/>
        <w:spacing w:before="0" w:beforeAutospacing="0" w:after="0" w:afterAutospacing="0"/>
        <w:jc w:val="both"/>
        <w:textAlignment w:val="baseline"/>
        <w:rPr>
          <w:rStyle w:val="normaltextrun"/>
          <w:rFonts w:asciiTheme="majorHAnsi" w:hAnsiTheme="majorHAnsi"/>
          <w:sz w:val="20"/>
          <w:szCs w:val="20"/>
        </w:rPr>
      </w:pPr>
    </w:p>
    <w:p w14:paraId="1A03CB14" w14:textId="339F92B5" w:rsidR="00E80BF4" w:rsidRPr="00A608EE" w:rsidRDefault="00E80BF4" w:rsidP="00EE208A">
      <w:pPr>
        <w:pStyle w:val="paragraph"/>
        <w:spacing w:before="0" w:beforeAutospacing="0" w:after="0" w:afterAutospacing="0"/>
        <w:jc w:val="both"/>
        <w:textAlignment w:val="baseline"/>
        <w:rPr>
          <w:rStyle w:val="eop"/>
          <w:rFonts w:asciiTheme="majorHAnsi" w:hAnsiTheme="majorHAnsi"/>
          <w:bCs/>
          <w:sz w:val="20"/>
          <w:szCs w:val="20"/>
        </w:rPr>
      </w:pPr>
      <w:r w:rsidRPr="00A608EE">
        <w:rPr>
          <w:rStyle w:val="eop"/>
          <w:rFonts w:asciiTheme="majorHAnsi" w:hAnsiTheme="majorHAnsi"/>
          <w:bCs/>
          <w:sz w:val="20"/>
          <w:szCs w:val="20"/>
        </w:rPr>
        <w:t xml:space="preserve">Dimension 1 </w:t>
      </w:r>
      <w:r w:rsidR="009D29B2" w:rsidRPr="00A608EE">
        <w:rPr>
          <w:rStyle w:val="eop"/>
          <w:rFonts w:asciiTheme="majorHAnsi" w:hAnsiTheme="majorHAnsi"/>
          <w:bCs/>
          <w:sz w:val="20"/>
          <w:szCs w:val="20"/>
        </w:rPr>
        <w:t>has two standards</w:t>
      </w:r>
      <w:r w:rsidRPr="00A608EE">
        <w:rPr>
          <w:rStyle w:val="eop"/>
          <w:rFonts w:asciiTheme="majorHAnsi" w:hAnsiTheme="majorHAnsi"/>
          <w:bCs/>
          <w:sz w:val="20"/>
          <w:szCs w:val="20"/>
        </w:rPr>
        <w:t xml:space="preserve">:  </w:t>
      </w:r>
    </w:p>
    <w:p w14:paraId="2313B054" w14:textId="77777777" w:rsidR="009D29B2" w:rsidRPr="00A608EE" w:rsidRDefault="009D29B2" w:rsidP="00A27AAA">
      <w:pPr>
        <w:pStyle w:val="paragraph"/>
        <w:numPr>
          <w:ilvl w:val="0"/>
          <w:numId w:val="73"/>
        </w:numPr>
        <w:spacing w:before="0" w:beforeAutospacing="0" w:after="0" w:afterAutospacing="0"/>
        <w:jc w:val="both"/>
        <w:textAlignment w:val="baseline"/>
        <w:rPr>
          <w:rStyle w:val="eop"/>
          <w:rFonts w:asciiTheme="majorHAnsi" w:hAnsiTheme="majorHAnsi"/>
          <w:sz w:val="20"/>
          <w:szCs w:val="20"/>
        </w:rPr>
      </w:pPr>
      <w:r w:rsidRPr="00A608EE">
        <w:rPr>
          <w:rStyle w:val="eop"/>
          <w:rFonts w:asciiTheme="majorHAnsi" w:hAnsiTheme="majorHAnsi"/>
          <w:sz w:val="20"/>
          <w:szCs w:val="20"/>
        </w:rPr>
        <w:t>Standard 1A: The provider has a strategy to achieve its social goals.</w:t>
      </w:r>
    </w:p>
    <w:p w14:paraId="078D09EF" w14:textId="5E8D0DFA" w:rsidR="00A61AB9" w:rsidRPr="00A608EE" w:rsidRDefault="009D29B2" w:rsidP="00A27AAA">
      <w:pPr>
        <w:pStyle w:val="paragraph"/>
        <w:numPr>
          <w:ilvl w:val="0"/>
          <w:numId w:val="73"/>
        </w:numPr>
        <w:spacing w:before="0" w:beforeAutospacing="0" w:after="0" w:afterAutospacing="0"/>
        <w:jc w:val="both"/>
        <w:textAlignment w:val="baseline"/>
        <w:rPr>
          <w:rStyle w:val="eop"/>
          <w:rFonts w:asciiTheme="majorHAnsi" w:hAnsiTheme="majorHAnsi"/>
          <w:sz w:val="20"/>
          <w:szCs w:val="20"/>
          <w:lang w:eastAsia="es-ES_tradnl"/>
        </w:rPr>
      </w:pPr>
      <w:r w:rsidRPr="00A608EE">
        <w:rPr>
          <w:rStyle w:val="eop"/>
          <w:rFonts w:asciiTheme="majorHAnsi" w:hAnsiTheme="majorHAnsi"/>
          <w:sz w:val="20"/>
          <w:szCs w:val="20"/>
        </w:rPr>
        <w:t>Standard 1B: The provider collects, analyzes, and reports data that are specific to its social goals.</w:t>
      </w:r>
    </w:p>
    <w:p w14:paraId="713BDCF7" w14:textId="1516F61E" w:rsidR="00A61AB9" w:rsidRPr="00A608EE" w:rsidRDefault="009D29B2" w:rsidP="00A27AAA">
      <w:pPr>
        <w:pStyle w:val="paragraph"/>
        <w:spacing w:before="120" w:beforeAutospacing="0" w:after="120" w:afterAutospacing="0" w:line="276" w:lineRule="auto"/>
        <w:jc w:val="both"/>
        <w:textAlignment w:val="baseline"/>
        <w:rPr>
          <w:rStyle w:val="eop"/>
          <w:rFonts w:asciiTheme="majorHAnsi" w:hAnsiTheme="majorHAnsi"/>
          <w:b/>
          <w:bCs/>
          <w:sz w:val="20"/>
          <w:szCs w:val="20"/>
        </w:rPr>
      </w:pPr>
      <w:r w:rsidRPr="00A608EE">
        <w:rPr>
          <w:rStyle w:val="eop"/>
          <w:rFonts w:asciiTheme="majorHAnsi" w:hAnsiTheme="majorHAnsi"/>
          <w:b/>
          <w:sz w:val="20"/>
          <w:szCs w:val="20"/>
        </w:rPr>
        <w:t>Resources for</w:t>
      </w:r>
      <w:r w:rsidR="4C84E30F" w:rsidRPr="00A608EE">
        <w:rPr>
          <w:rStyle w:val="eop"/>
          <w:rFonts w:asciiTheme="majorHAnsi" w:hAnsiTheme="majorHAnsi"/>
          <w:b/>
          <w:sz w:val="20"/>
          <w:szCs w:val="20"/>
        </w:rPr>
        <w:t xml:space="preserve"> Dimension 1</w:t>
      </w:r>
    </w:p>
    <w:bookmarkStart w:id="7" w:name="_Hlk204694622"/>
    <w:p w14:paraId="34CF127F" w14:textId="77777777" w:rsidR="009D29B2" w:rsidRPr="00A608EE" w:rsidRDefault="009D29B2" w:rsidP="00A27AAA">
      <w:pPr>
        <w:pStyle w:val="paragraph"/>
        <w:numPr>
          <w:ilvl w:val="0"/>
          <w:numId w:val="74"/>
        </w:numPr>
        <w:spacing w:before="0" w:beforeAutospacing="0" w:after="0" w:afterAutospacing="0"/>
        <w:jc w:val="both"/>
        <w:textAlignment w:val="baseline"/>
        <w:rPr>
          <w:rFonts w:asciiTheme="majorHAnsi" w:hAnsiTheme="majorHAnsi"/>
          <w:sz w:val="20"/>
          <w:szCs w:val="20"/>
        </w:rPr>
      </w:pPr>
      <w:r w:rsidRPr="00A608EE">
        <w:fldChar w:fldCharType="begin"/>
      </w:r>
      <w:r w:rsidRPr="00A608EE">
        <w:instrText>HYPERLINK "https://en.spi-online.org/files/ressources/Dimension%201/10%20Making_the_Case_for_Outcomes_Management_to_Financial_Service_Providers.pdf" \t "_blank"</w:instrText>
      </w:r>
      <w:r w:rsidRPr="00A608EE">
        <w:fldChar w:fldCharType="separate"/>
      </w:r>
      <w:r w:rsidRPr="00A608EE">
        <w:rPr>
          <w:rStyle w:val="Hyperlink"/>
          <w:rFonts w:asciiTheme="majorHAnsi" w:hAnsiTheme="majorHAnsi"/>
          <w:sz w:val="20"/>
          <w:szCs w:val="20"/>
        </w:rPr>
        <w:t>Making the Case for Outcomes Management to Financial Service Providers</w:t>
      </w:r>
      <w:r w:rsidRPr="00A608EE">
        <w:fldChar w:fldCharType="end"/>
      </w:r>
    </w:p>
    <w:p w14:paraId="07055653" w14:textId="77777777" w:rsidR="009D29B2" w:rsidRPr="00A608EE" w:rsidRDefault="009D29B2" w:rsidP="00A27AAA">
      <w:pPr>
        <w:pStyle w:val="paragraph"/>
        <w:numPr>
          <w:ilvl w:val="0"/>
          <w:numId w:val="74"/>
        </w:numPr>
        <w:spacing w:before="0" w:beforeAutospacing="0" w:after="0" w:afterAutospacing="0"/>
        <w:jc w:val="both"/>
        <w:textAlignment w:val="baseline"/>
        <w:rPr>
          <w:rFonts w:asciiTheme="majorHAnsi" w:hAnsiTheme="majorHAnsi"/>
          <w:sz w:val="20"/>
          <w:szCs w:val="20"/>
        </w:rPr>
      </w:pPr>
      <w:hyperlink r:id="rId14" w:tgtFrame="_blank" w:history="1">
        <w:r w:rsidRPr="00A608EE">
          <w:rPr>
            <w:rStyle w:val="Hyperlink"/>
            <w:rFonts w:asciiTheme="majorHAnsi" w:hAnsiTheme="majorHAnsi"/>
            <w:sz w:val="20"/>
            <w:szCs w:val="20"/>
          </w:rPr>
          <w:t>Outcomes Management for Financial Service Providers: A proposed standard framework aligned with the Sustainable Development Goals</w:t>
        </w:r>
      </w:hyperlink>
    </w:p>
    <w:p w14:paraId="72CD6CDD" w14:textId="77777777" w:rsidR="009D29B2" w:rsidRPr="00A608EE" w:rsidRDefault="009D29B2" w:rsidP="00A27AAA">
      <w:pPr>
        <w:pStyle w:val="paragraph"/>
        <w:numPr>
          <w:ilvl w:val="0"/>
          <w:numId w:val="74"/>
        </w:numPr>
        <w:spacing w:before="0" w:beforeAutospacing="0" w:after="0" w:afterAutospacing="0"/>
        <w:jc w:val="both"/>
        <w:textAlignment w:val="baseline"/>
        <w:rPr>
          <w:rFonts w:asciiTheme="majorHAnsi" w:hAnsiTheme="majorHAnsi"/>
          <w:sz w:val="20"/>
          <w:szCs w:val="20"/>
        </w:rPr>
      </w:pPr>
      <w:hyperlink r:id="rId15" w:tgtFrame="_blank" w:history="1">
        <w:r w:rsidRPr="00A608EE">
          <w:rPr>
            <w:rStyle w:val="Hyperlink"/>
            <w:rFonts w:asciiTheme="majorHAnsi" w:hAnsiTheme="majorHAnsi"/>
            <w:sz w:val="20"/>
            <w:szCs w:val="20"/>
          </w:rPr>
          <w:t>Fondo Esperanza Case Study</w:t>
        </w:r>
      </w:hyperlink>
    </w:p>
    <w:p w14:paraId="4DD65BC3" w14:textId="77777777" w:rsidR="009D29B2" w:rsidRPr="00A608EE" w:rsidRDefault="009D29B2" w:rsidP="00A27AAA">
      <w:pPr>
        <w:pStyle w:val="paragraph"/>
        <w:numPr>
          <w:ilvl w:val="0"/>
          <w:numId w:val="74"/>
        </w:numPr>
        <w:spacing w:before="0" w:beforeAutospacing="0" w:after="0" w:afterAutospacing="0"/>
        <w:jc w:val="both"/>
        <w:textAlignment w:val="baseline"/>
        <w:rPr>
          <w:rFonts w:asciiTheme="majorHAnsi" w:hAnsiTheme="majorHAnsi"/>
          <w:sz w:val="20"/>
          <w:szCs w:val="20"/>
        </w:rPr>
      </w:pPr>
      <w:hyperlink r:id="rId16" w:tgtFrame="_blank" w:history="1">
        <w:r w:rsidRPr="00A608EE">
          <w:rPr>
            <w:rStyle w:val="Hyperlink"/>
            <w:rFonts w:asciiTheme="majorHAnsi" w:hAnsiTheme="majorHAnsi"/>
            <w:sz w:val="20"/>
            <w:szCs w:val="20"/>
          </w:rPr>
          <w:t>KOMIDA Case Study</w:t>
        </w:r>
      </w:hyperlink>
    </w:p>
    <w:p w14:paraId="338B1CE2" w14:textId="77777777" w:rsidR="009D29B2" w:rsidRPr="00A608EE" w:rsidRDefault="009D29B2" w:rsidP="00A27AAA">
      <w:pPr>
        <w:pStyle w:val="paragraph"/>
        <w:numPr>
          <w:ilvl w:val="0"/>
          <w:numId w:val="74"/>
        </w:numPr>
        <w:spacing w:before="0" w:beforeAutospacing="0" w:after="0" w:afterAutospacing="0"/>
        <w:jc w:val="both"/>
        <w:textAlignment w:val="baseline"/>
        <w:rPr>
          <w:rFonts w:asciiTheme="majorHAnsi" w:hAnsiTheme="majorHAnsi"/>
          <w:sz w:val="20"/>
          <w:szCs w:val="20"/>
        </w:rPr>
      </w:pPr>
      <w:hyperlink r:id="rId17" w:tgtFrame="_blank" w:history="1">
        <w:r w:rsidRPr="00A608EE">
          <w:rPr>
            <w:rStyle w:val="Hyperlink"/>
            <w:rFonts w:asciiTheme="majorHAnsi" w:hAnsiTheme="majorHAnsi"/>
            <w:sz w:val="20"/>
            <w:szCs w:val="20"/>
          </w:rPr>
          <w:t>Genesis Empresarial Implements Outcomes Management by Client Segment</w:t>
        </w:r>
      </w:hyperlink>
    </w:p>
    <w:p w14:paraId="7ADFEA28" w14:textId="77777777" w:rsidR="009D29B2" w:rsidRPr="00A608EE" w:rsidRDefault="009D29B2" w:rsidP="00A27AAA">
      <w:pPr>
        <w:pStyle w:val="paragraph"/>
        <w:numPr>
          <w:ilvl w:val="0"/>
          <w:numId w:val="74"/>
        </w:numPr>
        <w:spacing w:before="0" w:beforeAutospacing="0" w:after="0" w:afterAutospacing="0"/>
        <w:jc w:val="both"/>
        <w:textAlignment w:val="baseline"/>
        <w:rPr>
          <w:rFonts w:asciiTheme="majorHAnsi" w:hAnsiTheme="majorHAnsi"/>
          <w:sz w:val="20"/>
          <w:szCs w:val="20"/>
        </w:rPr>
      </w:pPr>
      <w:hyperlink r:id="rId18" w:tgtFrame="_blank" w:history="1">
        <w:r w:rsidRPr="00A608EE">
          <w:rPr>
            <w:rStyle w:val="Hyperlink"/>
            <w:rFonts w:asciiTheme="majorHAnsi" w:hAnsiTheme="majorHAnsi"/>
            <w:sz w:val="20"/>
            <w:szCs w:val="20"/>
          </w:rPr>
          <w:t>The Business Case for Customer Centricity</w:t>
        </w:r>
      </w:hyperlink>
    </w:p>
    <w:bookmarkEnd w:id="7"/>
    <w:p w14:paraId="4202CB3D" w14:textId="77777777" w:rsidR="00A61AB9" w:rsidRPr="00A608EE" w:rsidRDefault="00A61AB9" w:rsidP="00EE208A">
      <w:pPr>
        <w:pStyle w:val="paragraph"/>
        <w:spacing w:before="0" w:beforeAutospacing="0" w:after="0" w:afterAutospacing="0"/>
        <w:jc w:val="both"/>
        <w:textAlignment w:val="baseline"/>
        <w:rPr>
          <w:rStyle w:val="eop"/>
          <w:rFonts w:asciiTheme="majorHAnsi" w:hAnsiTheme="majorHAnsi"/>
          <w:sz w:val="20"/>
          <w:szCs w:val="20"/>
        </w:rPr>
      </w:pPr>
    </w:p>
    <w:p w14:paraId="0D3C3305" w14:textId="77777777" w:rsidR="0074041B" w:rsidRPr="00A608EE" w:rsidRDefault="0074041B" w:rsidP="00EE208A">
      <w:pPr>
        <w:pStyle w:val="paragraph"/>
        <w:spacing w:before="0" w:beforeAutospacing="0" w:after="0" w:afterAutospacing="0"/>
        <w:jc w:val="both"/>
        <w:textAlignment w:val="baseline"/>
        <w:rPr>
          <w:rStyle w:val="eop"/>
          <w:rFonts w:asciiTheme="majorHAnsi" w:hAnsiTheme="majorHAnsi"/>
          <w:sz w:val="20"/>
          <w:szCs w:val="20"/>
        </w:rPr>
      </w:pPr>
    </w:p>
    <w:p w14:paraId="4350C1C1" w14:textId="56389D0E" w:rsidR="00A61AB9" w:rsidRPr="00A608EE" w:rsidRDefault="009D29B2" w:rsidP="00EE208A">
      <w:pPr>
        <w:pStyle w:val="Heading2"/>
        <w:spacing w:before="0" w:line="240" w:lineRule="auto"/>
        <w:jc w:val="both"/>
        <w:rPr>
          <w:rStyle w:val="normaltextrun"/>
        </w:rPr>
      </w:pPr>
      <w:bookmarkStart w:id="8" w:name="_Toc230938769"/>
      <w:r w:rsidRPr="00A608EE">
        <w:rPr>
          <w:rStyle w:val="normaltextrun"/>
        </w:rPr>
        <w:t>Standard 1A. The provider has a strategy to achieve its social goals</w:t>
      </w:r>
      <w:bookmarkEnd w:id="8"/>
    </w:p>
    <w:p w14:paraId="4648FC16" w14:textId="77777777" w:rsidR="00A61AB9" w:rsidRPr="00A608EE" w:rsidRDefault="00A61AB9" w:rsidP="00EE208A">
      <w:pPr>
        <w:pStyle w:val="paragraph"/>
        <w:spacing w:before="0" w:beforeAutospacing="0" w:after="0" w:afterAutospacing="0"/>
        <w:jc w:val="both"/>
        <w:textAlignment w:val="baseline"/>
        <w:rPr>
          <w:rFonts w:asciiTheme="majorHAnsi" w:hAnsiTheme="majorHAnsi" w:cs="Segoe UI"/>
          <w:sz w:val="20"/>
          <w:szCs w:val="20"/>
        </w:rPr>
      </w:pPr>
    </w:p>
    <w:p w14:paraId="75730A39" w14:textId="47EACD15" w:rsidR="009D29B2" w:rsidRPr="00A608EE" w:rsidRDefault="009D29B2" w:rsidP="00EE208A">
      <w:pPr>
        <w:pStyle w:val="paragraph"/>
        <w:spacing w:before="0" w:beforeAutospacing="0" w:after="0" w:afterAutospacing="0"/>
        <w:jc w:val="both"/>
        <w:textAlignment w:val="baseline"/>
        <w:rPr>
          <w:rFonts w:asciiTheme="majorHAnsi" w:hAnsiTheme="majorHAnsi" w:cs="Segoe UI"/>
          <w:sz w:val="20"/>
          <w:szCs w:val="20"/>
        </w:rPr>
      </w:pPr>
      <w:r w:rsidRPr="00A608EE">
        <w:rPr>
          <w:rStyle w:val="normaltextrun"/>
          <w:rFonts w:asciiTheme="majorHAnsi" w:hAnsiTheme="majorHAnsi"/>
          <w:sz w:val="20"/>
          <w:szCs w:val="20"/>
        </w:rPr>
        <w:t>Your strategy should specify your target clients, social goals, and a description of how your institution will use products and services to achieve its social goals. It must also define indicators and targets to measure your progress toward your social goals. Each social goal needs to be broken down by at least one target to make it more operational. Each target needs to be measurable by at least one smart indicator. The reason for defining specifically in your strategy whom you are trying to reach and what you are trying to achieve is that all other decisions that you make, including what expenses to approve in the budget, how to define job responsibilities, whom to hire or promote, and what products and services to offer, all build from the strategy. This guide discusses each element of the strategy below.</w:t>
      </w:r>
    </w:p>
    <w:p w14:paraId="3181BE2D" w14:textId="15CA6EBB" w:rsidR="000418DE" w:rsidRPr="00A608EE" w:rsidRDefault="009D29B2" w:rsidP="00A27AAA">
      <w:pPr>
        <w:pStyle w:val="paragraph"/>
        <w:spacing w:before="120" w:beforeAutospacing="0" w:after="120" w:afterAutospacing="0"/>
        <w:jc w:val="both"/>
        <w:textAlignment w:val="baseline"/>
        <w:rPr>
          <w:rFonts w:asciiTheme="majorHAnsi" w:hAnsiTheme="majorHAnsi"/>
          <w:sz w:val="20"/>
          <w:szCs w:val="20"/>
        </w:rPr>
      </w:pPr>
      <w:r w:rsidRPr="00A608EE">
        <w:rPr>
          <w:rStyle w:val="eop"/>
          <w:rFonts w:asciiTheme="majorHAnsi" w:hAnsiTheme="majorHAnsi"/>
          <w:b/>
          <w:bCs/>
          <w:sz w:val="20"/>
          <w:szCs w:val="20"/>
        </w:rPr>
        <w:t>Resources for Standard 1A</w:t>
      </w:r>
    </w:p>
    <w:p w14:paraId="4F244F8D" w14:textId="77777777" w:rsidR="00DB384E" w:rsidRPr="00A608EE" w:rsidRDefault="00DB384E" w:rsidP="00EE208A">
      <w:pPr>
        <w:shd w:val="clear" w:color="auto" w:fill="FFFFFF"/>
        <w:jc w:val="both"/>
        <w:rPr>
          <w:rFonts w:asciiTheme="majorHAnsi" w:hAnsiTheme="majorHAnsi"/>
          <w:szCs w:val="20"/>
        </w:rPr>
      </w:pPr>
      <w:r w:rsidRPr="00A608EE">
        <w:rPr>
          <w:rFonts w:asciiTheme="majorHAnsi" w:hAnsiTheme="majorHAnsi"/>
          <w:szCs w:val="20"/>
        </w:rPr>
        <w:t>This standard has 2 essential practices:</w:t>
      </w:r>
    </w:p>
    <w:p w14:paraId="3F0CAE10" w14:textId="77777777" w:rsidR="00DB384E" w:rsidRPr="00A608EE" w:rsidRDefault="00DB384E" w:rsidP="00A27AAA">
      <w:pPr>
        <w:pStyle w:val="ListParagraph"/>
        <w:numPr>
          <w:ilvl w:val="0"/>
          <w:numId w:val="75"/>
        </w:numPr>
        <w:shd w:val="clear" w:color="auto" w:fill="FFFFFF"/>
        <w:spacing w:after="0" w:line="240" w:lineRule="auto"/>
        <w:jc w:val="both"/>
        <w:rPr>
          <w:rFonts w:asciiTheme="majorHAnsi" w:eastAsia="Times New Roman" w:hAnsiTheme="majorHAnsi" w:cs="Times New Roman"/>
          <w:szCs w:val="20"/>
        </w:rPr>
      </w:pPr>
      <w:r w:rsidRPr="00A608EE">
        <w:rPr>
          <w:rFonts w:asciiTheme="majorHAnsi" w:eastAsia="Times New Roman" w:hAnsiTheme="majorHAnsi" w:cs="Times New Roman"/>
          <w:szCs w:val="20"/>
        </w:rPr>
        <w:t>Essential Practice 1.A.1: The strategy specifies the provider's target clients, social goals, and how the provider will achieve those goals.</w:t>
      </w:r>
    </w:p>
    <w:p w14:paraId="647E6D7C" w14:textId="77777777" w:rsidR="00DB384E" w:rsidRPr="00A608EE" w:rsidRDefault="00DB384E" w:rsidP="00A27AAA">
      <w:pPr>
        <w:pStyle w:val="ListParagraph"/>
        <w:numPr>
          <w:ilvl w:val="0"/>
          <w:numId w:val="75"/>
        </w:numPr>
        <w:shd w:val="clear" w:color="auto" w:fill="FFFFFF"/>
        <w:spacing w:after="0" w:line="240" w:lineRule="auto"/>
        <w:jc w:val="both"/>
        <w:rPr>
          <w:rFonts w:asciiTheme="majorHAnsi" w:eastAsia="Times New Roman" w:hAnsiTheme="majorHAnsi" w:cs="Times New Roman"/>
          <w:szCs w:val="20"/>
        </w:rPr>
      </w:pPr>
      <w:r w:rsidRPr="00A608EE">
        <w:rPr>
          <w:rFonts w:asciiTheme="majorHAnsi" w:eastAsia="Times New Roman" w:hAnsiTheme="majorHAnsi" w:cs="Times New Roman"/>
          <w:szCs w:val="20"/>
        </w:rPr>
        <w:t>Essential Practice 1.A.2: The strategy defines indicators and targets to measure the provider's progress toward social goals.</w:t>
      </w:r>
    </w:p>
    <w:p w14:paraId="6261415D" w14:textId="77777777" w:rsidR="00DB384E" w:rsidRPr="00A608EE" w:rsidRDefault="00DB384E" w:rsidP="00EE208A">
      <w:pPr>
        <w:shd w:val="clear" w:color="auto" w:fill="FFFFFF"/>
        <w:jc w:val="both"/>
        <w:rPr>
          <w:rFonts w:asciiTheme="majorHAnsi" w:hAnsiTheme="majorHAnsi"/>
          <w:szCs w:val="20"/>
        </w:rPr>
      </w:pPr>
    </w:p>
    <w:p w14:paraId="747F4CC5" w14:textId="77777777" w:rsidR="003A0F74" w:rsidRPr="00A608EE" w:rsidRDefault="003A0F74" w:rsidP="00EE208A">
      <w:pPr>
        <w:shd w:val="clear" w:color="auto" w:fill="FFFFFF"/>
        <w:jc w:val="both"/>
        <w:rPr>
          <w:rFonts w:asciiTheme="majorHAnsi" w:hAnsiTheme="majorHAnsi"/>
          <w:szCs w:val="20"/>
          <w:lang w:eastAsia="fr-FR"/>
        </w:rPr>
      </w:pPr>
    </w:p>
    <w:p w14:paraId="53E13064" w14:textId="77777777" w:rsidR="003B5795" w:rsidRPr="00A608EE" w:rsidRDefault="003B5795" w:rsidP="00EE208A">
      <w:pPr>
        <w:shd w:val="clear" w:color="auto" w:fill="FFFFFF"/>
        <w:jc w:val="both"/>
        <w:rPr>
          <w:rFonts w:asciiTheme="majorHAnsi" w:hAnsiTheme="majorHAnsi"/>
          <w:szCs w:val="20"/>
          <w:lang w:eastAsia="fr-FR"/>
        </w:rPr>
      </w:pPr>
    </w:p>
    <w:p w14:paraId="4F2E7873" w14:textId="5F1817D4" w:rsidR="00AB493F" w:rsidRPr="00A608EE" w:rsidRDefault="00D379C7" w:rsidP="00EE208A">
      <w:pPr>
        <w:pStyle w:val="Heading3"/>
        <w:spacing w:before="0" w:line="240" w:lineRule="auto"/>
        <w:jc w:val="both"/>
        <w:rPr>
          <w:rStyle w:val="normaltextrun"/>
        </w:rPr>
      </w:pPr>
      <w:bookmarkStart w:id="9" w:name="_Toc230938770"/>
      <w:r w:rsidRPr="00A608EE">
        <w:rPr>
          <w:rStyle w:val="normaltextrun"/>
        </w:rPr>
        <w:lastRenderedPageBreak/>
        <w:t xml:space="preserve">1.A.1 </w:t>
      </w:r>
      <w:r w:rsidR="00DB384E" w:rsidRPr="00A608EE">
        <w:rPr>
          <w:rFonts w:eastAsia="Times New Roman" w:cs="Times New Roman"/>
          <w:szCs w:val="20"/>
        </w:rPr>
        <w:t>The strategy specifies the provider's target clients, social goals, and how the provider will achieve those goals.</w:t>
      </w:r>
      <w:bookmarkEnd w:id="9"/>
    </w:p>
    <w:p w14:paraId="1848C8E9" w14:textId="77777777" w:rsidR="00F608DD" w:rsidRPr="00A608EE" w:rsidRDefault="00F608DD" w:rsidP="00EE208A">
      <w:pPr>
        <w:jc w:val="both"/>
        <w:rPr>
          <w:rFonts w:asciiTheme="majorHAnsi" w:hAnsiTheme="majorHAnsi"/>
          <w:szCs w:val="20"/>
        </w:rPr>
      </w:pPr>
    </w:p>
    <w:p w14:paraId="50CCAA44" w14:textId="1206B615" w:rsidR="00A4589A" w:rsidRPr="00A608EE" w:rsidRDefault="00F608DD" w:rsidP="00A27AAA">
      <w:pPr>
        <w:pStyle w:val="Heading4"/>
        <w:spacing w:before="0" w:line="240" w:lineRule="auto"/>
        <w:jc w:val="both"/>
      </w:pPr>
      <w:r w:rsidRPr="00A608EE">
        <w:t xml:space="preserve">1.A.1.1 </w:t>
      </w:r>
      <w:r w:rsidR="00DB384E" w:rsidRPr="00A608EE">
        <w:t>The strategy defines the demographic and socioeconomic characteristics of target clients</w:t>
      </w:r>
      <w:r w:rsidR="00190DA8" w:rsidRPr="00A608EE">
        <w:t>.</w:t>
      </w:r>
      <w:r w:rsidR="00E80BF4" w:rsidRPr="00A608EE">
        <w:t xml:space="preserve"> </w:t>
      </w:r>
    </w:p>
    <w:p w14:paraId="7446DE43" w14:textId="2683F54F" w:rsidR="00E80BF4" w:rsidRPr="00A608EE" w:rsidRDefault="004921CE" w:rsidP="00A27AAA">
      <w:pPr>
        <w:pStyle w:val="paragraph"/>
        <w:spacing w:before="240" w:beforeAutospacing="0" w:after="240" w:afterAutospacing="0"/>
        <w:jc w:val="both"/>
        <w:textAlignment w:val="baseline"/>
        <w:rPr>
          <w:rFonts w:asciiTheme="majorHAnsi" w:hAnsiTheme="majorHAnsi"/>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DB384E" w:rsidRPr="00A608EE">
        <w:rPr>
          <w:rFonts w:asciiTheme="majorHAnsi" w:hAnsiTheme="majorHAnsi"/>
          <w:b/>
          <w:bCs/>
          <w:color w:val="2145CC" w:themeColor="accent5" w:themeShade="BF"/>
          <w:sz w:val="20"/>
          <w:szCs w:val="20"/>
        </w:rPr>
        <w:t xml:space="preserve">Indicator in </w:t>
      </w:r>
      <w:r w:rsidR="00E80BF4" w:rsidRPr="00A608EE">
        <w:rPr>
          <w:rFonts w:asciiTheme="majorHAnsi" w:hAnsiTheme="majorHAnsi"/>
          <w:b/>
          <w:bCs/>
          <w:color w:val="2145CC" w:themeColor="accent5" w:themeShade="BF"/>
          <w:sz w:val="20"/>
          <w:szCs w:val="20"/>
        </w:rPr>
        <w:t>ALINUS</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E80BF4"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E80BF4" w:rsidRPr="00A608EE">
        <w:rPr>
          <w:rFonts w:asciiTheme="majorHAnsi" w:hAnsiTheme="majorHAnsi"/>
          <w:b/>
          <w:bCs/>
          <w:color w:val="2145CC" w:themeColor="accent5" w:themeShade="BF"/>
          <w:sz w:val="20"/>
          <w:szCs w:val="20"/>
        </w:rPr>
        <w:t>SPI5 Full </w:t>
      </w:r>
      <w:r w:rsidR="009A58DF" w:rsidRPr="00A608EE">
        <w:rPr>
          <w:rFonts w:asciiTheme="majorHAnsi" w:hAnsiTheme="majorHAnsi"/>
          <w:b/>
          <w:bCs/>
          <w:color w:val="2145CC" w:themeColor="accent5" w:themeShade="BF"/>
          <w:sz w:val="20"/>
          <w:szCs w:val="20"/>
        </w:rPr>
        <w:t>| DI Focus</w:t>
      </w:r>
    </w:p>
    <w:p w14:paraId="302684B2" w14:textId="008ABC6B" w:rsidR="00AC53CA" w:rsidRPr="00A608EE" w:rsidRDefault="00B05EDE" w:rsidP="00EE208A">
      <w:pPr>
        <w:pStyle w:val="paragraph"/>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Different segments of clients face different obstacles and have different needs. For example, income levels, gender, location (rural/urban), and literacy, all affect the types of products, services, and delivery channels that are best suited to a client.</w:t>
      </w:r>
    </w:p>
    <w:p w14:paraId="6457940E" w14:textId="0F114046" w:rsidR="00C678B0" w:rsidRPr="00A608EE" w:rsidRDefault="00C678B0" w:rsidP="00C678B0">
      <w:pPr>
        <w:rPr>
          <w:rFonts w:asciiTheme="majorHAnsi" w:hAnsiTheme="majorHAnsi"/>
          <w:noProof/>
          <w:sz w:val="20"/>
          <w:szCs w:val="20"/>
        </w:rPr>
      </w:pPr>
    </w:p>
    <w:p w14:paraId="32B59AE8" w14:textId="61DC9112" w:rsidR="00C678B0" w:rsidRPr="00A608EE" w:rsidRDefault="00C678B0" w:rsidP="00C678B0">
      <w:pPr>
        <w:pStyle w:val="paragraph"/>
        <w:spacing w:before="120" w:beforeAutospacing="0" w:after="120" w:afterAutospacing="0"/>
        <w:jc w:val="both"/>
        <w:textAlignment w:val="baseline"/>
        <w:rPr>
          <w:rFonts w:asciiTheme="majorHAnsi" w:hAnsiTheme="majorHAnsi"/>
          <w:b/>
          <w:bCs/>
          <w:sz w:val="20"/>
          <w:szCs w:val="20"/>
        </w:rPr>
      </w:pPr>
      <w:bookmarkStart w:id="10" w:name="_Hlk230893543"/>
      <w:r w:rsidRPr="00A608EE">
        <w:rPr>
          <w:rFonts w:asciiTheme="majorHAnsi" w:hAnsiTheme="majorHAnsi"/>
          <w:noProof/>
          <w:sz w:val="20"/>
          <w:szCs w:val="20"/>
        </w:rPr>
        <w:drawing>
          <wp:anchor distT="0" distB="0" distL="114300" distR="114300" simplePos="0" relativeHeight="251785216" behindDoc="1" locked="0" layoutInCell="1" allowOverlap="1" wp14:anchorId="3748EB31" wp14:editId="5AF65CFE">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79500045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bookmarkEnd w:id="10"/>
    </w:p>
    <w:p w14:paraId="08713E29" w14:textId="77777777" w:rsidR="00C678B0" w:rsidRPr="00A608EE" w:rsidRDefault="00C678B0" w:rsidP="00EE208A">
      <w:pPr>
        <w:pStyle w:val="paragraph"/>
        <w:spacing w:before="0" w:beforeAutospacing="0" w:after="0" w:afterAutospacing="0"/>
        <w:jc w:val="both"/>
        <w:textAlignment w:val="baseline"/>
        <w:rPr>
          <w:rFonts w:ascii="Work Sans" w:hAnsi="Work Sans"/>
          <w:b/>
          <w:bCs/>
          <w:sz w:val="20"/>
          <w:szCs w:val="20"/>
        </w:rPr>
      </w:pPr>
    </w:p>
    <w:p w14:paraId="2311735A" w14:textId="0ED7D0C8" w:rsidR="008A55F0" w:rsidRPr="00A608EE" w:rsidRDefault="004876A2" w:rsidP="00EE208A">
      <w:pPr>
        <w:pStyle w:val="paragraph"/>
        <w:spacing w:before="0" w:beforeAutospacing="0" w:after="0" w:afterAutospacing="0"/>
        <w:jc w:val="both"/>
        <w:textAlignment w:val="baseline"/>
        <w:rPr>
          <w:rStyle w:val="normaltextrun"/>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5B3409" w:rsidRPr="00A608EE">
        <w:rPr>
          <w:rStyle w:val="normaltextrun"/>
          <w:rFonts w:asciiTheme="majorHAnsi" w:hAnsiTheme="majorHAnsi"/>
          <w:sz w:val="20"/>
          <w:szCs w:val="20"/>
        </w:rPr>
        <w:t>Social strategy and goals should specifically mention equitable inclusion of persons with disabilities, either as target clients, or as a subset within its target client groups.</w:t>
      </w:r>
    </w:p>
    <w:p w14:paraId="6C10FCA8" w14:textId="77777777" w:rsidR="00584032" w:rsidRPr="00A608EE" w:rsidRDefault="00584032" w:rsidP="00EE208A">
      <w:pPr>
        <w:pStyle w:val="paragraph"/>
        <w:spacing w:before="0" w:beforeAutospacing="0" w:after="0" w:afterAutospacing="0"/>
        <w:jc w:val="both"/>
        <w:textAlignment w:val="baseline"/>
        <w:rPr>
          <w:rStyle w:val="normaltextrun"/>
          <w:rFonts w:asciiTheme="majorHAnsi" w:hAnsiTheme="majorHAnsi"/>
          <w:sz w:val="20"/>
          <w:szCs w:val="20"/>
        </w:rPr>
      </w:pPr>
    </w:p>
    <w:tbl>
      <w:tblPr>
        <w:tblStyle w:val="TableGrid"/>
        <w:tblW w:w="0" w:type="auto"/>
        <w:tblLook w:val="04A0" w:firstRow="1" w:lastRow="0" w:firstColumn="1" w:lastColumn="0" w:noHBand="0" w:noVBand="1"/>
      </w:tblPr>
      <w:tblGrid>
        <w:gridCol w:w="9062"/>
      </w:tblGrid>
      <w:tr w:rsidR="00584032" w:rsidRPr="00A608EE" w14:paraId="0F8B8A3C" w14:textId="77777777" w:rsidTr="00DF66DE">
        <w:trPr>
          <w:trHeight w:val="1687"/>
        </w:trPr>
        <w:tc>
          <w:tcPr>
            <w:tcW w:w="9062" w:type="dxa"/>
          </w:tcPr>
          <w:p w14:paraId="207722D3" w14:textId="753ACC9D" w:rsidR="00584032" w:rsidRPr="00A608EE" w:rsidRDefault="00EB123D" w:rsidP="00373807">
            <w:pPr>
              <w:pStyle w:val="paragraph"/>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 Info Box</w:t>
            </w:r>
            <w:r w:rsidR="00584032" w:rsidRPr="00A608EE">
              <w:rPr>
                <w:rStyle w:val="normaltextrun"/>
                <w:rFonts w:asciiTheme="majorHAnsi" w:hAnsiTheme="majorHAnsi"/>
                <w:b/>
                <w:bCs/>
                <w:sz w:val="20"/>
                <w:szCs w:val="20"/>
              </w:rPr>
              <w:t xml:space="preserve"> 1.A.1.1</w:t>
            </w:r>
          </w:p>
          <w:p w14:paraId="2BA76CD6" w14:textId="399AC761" w:rsidR="00E4740A" w:rsidRPr="00A608EE" w:rsidRDefault="00E4740A" w:rsidP="00584032">
            <w:pPr>
              <w:pStyle w:val="paragraph"/>
              <w:spacing w:after="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 xml:space="preserve">Equitable inclusion of persons with disabilities, as well as other excluded groups, is an integral part of social performance, supporting a more just and inclusive society. The UN Convention on the Rights of Persons with Disabilities (UNCRPD) articulates the </w:t>
            </w:r>
            <w:r w:rsidR="0048329F" w:rsidRPr="00A608EE">
              <w:rPr>
                <w:rStyle w:val="normaltextrun"/>
                <w:rFonts w:asciiTheme="majorHAnsi" w:hAnsiTheme="majorHAnsi"/>
                <w:sz w:val="20"/>
                <w:szCs w:val="20"/>
              </w:rPr>
              <w:t xml:space="preserve">rights of persons with disabilities </w:t>
            </w:r>
            <w:r w:rsidR="00FD444C" w:rsidRPr="00A608EE">
              <w:rPr>
                <w:rStyle w:val="normaltextrun"/>
                <w:rFonts w:asciiTheme="majorHAnsi" w:hAnsiTheme="majorHAnsi"/>
                <w:sz w:val="20"/>
                <w:szCs w:val="20"/>
              </w:rPr>
              <w:t xml:space="preserve">to live independently and participate in all areas of life, including social, economic, cultural and political, on an equal basis with others. </w:t>
            </w:r>
          </w:p>
          <w:p w14:paraId="069C22B9" w14:textId="6BC8A615" w:rsidR="00362528" w:rsidRPr="00A608EE" w:rsidRDefault="003C30C1" w:rsidP="00584032">
            <w:pPr>
              <w:pStyle w:val="paragraph"/>
              <w:spacing w:after="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 xml:space="preserve">Approximately 16% of the global population are living with a disability, according to the World Health Organization (WHO), with 80% of living in developing countries. Persons with disabilities are more likely to experience poverty than persons without disabilities, as a result of systemic exclusion from access to education, employment and basic services, and are one of the most financially excluded groups worldwide. </w:t>
            </w:r>
          </w:p>
          <w:p w14:paraId="49494287" w14:textId="0E6B92B3" w:rsidR="00584032" w:rsidRPr="00A608EE" w:rsidRDefault="007A0D97" w:rsidP="008D042D">
            <w:pPr>
              <w:pStyle w:val="paragraph"/>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Persons with disabilities are represented in every population demographic and sub-group, and are often amongst the most marginalized members within these groups. Disability inclusion is therefore a cross-cutting priority within social strategy. E</w:t>
            </w:r>
            <w:r w:rsidR="00153B0A" w:rsidRPr="00A608EE">
              <w:rPr>
                <w:rStyle w:val="normaltextrun"/>
                <w:rFonts w:asciiTheme="majorHAnsi" w:hAnsiTheme="majorHAnsi"/>
                <w:sz w:val="20"/>
                <w:szCs w:val="20"/>
              </w:rPr>
              <w:t xml:space="preserve">ven if </w:t>
            </w:r>
            <w:r w:rsidRPr="00A608EE">
              <w:rPr>
                <w:rStyle w:val="normaltextrun"/>
                <w:rFonts w:asciiTheme="majorHAnsi" w:hAnsiTheme="majorHAnsi"/>
                <w:sz w:val="20"/>
                <w:szCs w:val="20"/>
              </w:rPr>
              <w:t>a</w:t>
            </w:r>
            <w:r w:rsidR="00584032" w:rsidRPr="00A608EE">
              <w:rPr>
                <w:rStyle w:val="normaltextrun"/>
                <w:rFonts w:asciiTheme="majorHAnsi" w:hAnsiTheme="majorHAnsi"/>
                <w:sz w:val="20"/>
                <w:szCs w:val="20"/>
              </w:rPr>
              <w:t xml:space="preserve"> provider </w:t>
            </w:r>
            <w:r w:rsidR="00153B0A" w:rsidRPr="00A608EE">
              <w:rPr>
                <w:rStyle w:val="normaltextrun"/>
                <w:rFonts w:asciiTheme="majorHAnsi" w:hAnsiTheme="majorHAnsi"/>
                <w:sz w:val="20"/>
                <w:szCs w:val="20"/>
              </w:rPr>
              <w:t>does</w:t>
            </w:r>
            <w:r w:rsidR="00584032" w:rsidRPr="00A608EE">
              <w:rPr>
                <w:rStyle w:val="normaltextrun"/>
                <w:rFonts w:asciiTheme="majorHAnsi" w:hAnsiTheme="majorHAnsi"/>
                <w:sz w:val="20"/>
                <w:szCs w:val="20"/>
              </w:rPr>
              <w:t xml:space="preserve"> not specifically target persons with </w:t>
            </w:r>
            <w:r w:rsidR="003F24DE" w:rsidRPr="00A608EE">
              <w:rPr>
                <w:rStyle w:val="normaltextrun"/>
                <w:rFonts w:asciiTheme="majorHAnsi" w:hAnsiTheme="majorHAnsi"/>
                <w:sz w:val="20"/>
                <w:szCs w:val="20"/>
              </w:rPr>
              <w:t>disabilities, its</w:t>
            </w:r>
            <w:r w:rsidR="00584032" w:rsidRPr="00A608EE">
              <w:rPr>
                <w:rStyle w:val="normaltextrun"/>
                <w:rFonts w:asciiTheme="majorHAnsi" w:hAnsiTheme="majorHAnsi"/>
                <w:sz w:val="20"/>
                <w:szCs w:val="20"/>
              </w:rPr>
              <w:t xml:space="preserve"> strategy should ensur</w:t>
            </w:r>
            <w:r w:rsidR="003C30C1" w:rsidRPr="00A608EE">
              <w:rPr>
                <w:rStyle w:val="normaltextrun"/>
                <w:rFonts w:asciiTheme="majorHAnsi" w:hAnsiTheme="majorHAnsi"/>
                <w:sz w:val="20"/>
                <w:szCs w:val="20"/>
              </w:rPr>
              <w:t>e</w:t>
            </w:r>
            <w:r w:rsidR="00584032" w:rsidRPr="00A608EE">
              <w:rPr>
                <w:rStyle w:val="normaltextrun"/>
                <w:rFonts w:asciiTheme="majorHAnsi" w:hAnsiTheme="majorHAnsi"/>
                <w:sz w:val="20"/>
                <w:szCs w:val="20"/>
              </w:rPr>
              <w:t xml:space="preserve"> persons with disabilities within </w:t>
            </w:r>
            <w:r w:rsidR="00902E86" w:rsidRPr="00A608EE">
              <w:rPr>
                <w:rStyle w:val="normaltextrun"/>
                <w:rFonts w:asciiTheme="majorHAnsi" w:hAnsiTheme="majorHAnsi"/>
                <w:sz w:val="20"/>
                <w:szCs w:val="20"/>
              </w:rPr>
              <w:t>its</w:t>
            </w:r>
            <w:r w:rsidR="00584032" w:rsidRPr="00A608EE">
              <w:rPr>
                <w:rStyle w:val="normaltextrun"/>
                <w:rFonts w:asciiTheme="majorHAnsi" w:hAnsiTheme="majorHAnsi"/>
                <w:sz w:val="20"/>
                <w:szCs w:val="20"/>
              </w:rPr>
              <w:t xml:space="preserve"> target </w:t>
            </w:r>
            <w:r w:rsidR="00902E86" w:rsidRPr="00A608EE">
              <w:rPr>
                <w:rStyle w:val="normaltextrun"/>
                <w:rFonts w:asciiTheme="majorHAnsi" w:hAnsiTheme="majorHAnsi"/>
                <w:sz w:val="20"/>
                <w:szCs w:val="20"/>
              </w:rPr>
              <w:t xml:space="preserve">client </w:t>
            </w:r>
            <w:r w:rsidR="00584032" w:rsidRPr="00A608EE">
              <w:rPr>
                <w:rStyle w:val="normaltextrun"/>
                <w:rFonts w:asciiTheme="majorHAnsi" w:hAnsiTheme="majorHAnsi"/>
                <w:sz w:val="20"/>
                <w:szCs w:val="20"/>
              </w:rPr>
              <w:t>segment</w:t>
            </w:r>
            <w:r w:rsidR="00902E86" w:rsidRPr="00A608EE">
              <w:rPr>
                <w:rStyle w:val="normaltextrun"/>
                <w:rFonts w:asciiTheme="majorHAnsi" w:hAnsiTheme="majorHAnsi"/>
                <w:sz w:val="20"/>
                <w:szCs w:val="20"/>
              </w:rPr>
              <w:t>s</w:t>
            </w:r>
            <w:r w:rsidR="00584032" w:rsidRPr="00A608EE">
              <w:rPr>
                <w:rStyle w:val="normaltextrun"/>
                <w:rFonts w:asciiTheme="majorHAnsi" w:hAnsiTheme="majorHAnsi"/>
                <w:sz w:val="20"/>
                <w:szCs w:val="20"/>
              </w:rPr>
              <w:t xml:space="preserve"> are not excluded</w:t>
            </w:r>
            <w:r w:rsidRPr="00A608EE">
              <w:rPr>
                <w:rStyle w:val="normaltextrun"/>
                <w:rFonts w:asciiTheme="majorHAnsi" w:hAnsiTheme="majorHAnsi"/>
                <w:sz w:val="20"/>
                <w:szCs w:val="20"/>
              </w:rPr>
              <w:t xml:space="preserve"> from its products and services,</w:t>
            </w:r>
            <w:r w:rsidR="00584032" w:rsidRPr="00A608EE">
              <w:rPr>
                <w:rStyle w:val="normaltextrun"/>
                <w:rFonts w:asciiTheme="majorHAnsi" w:hAnsiTheme="majorHAnsi"/>
                <w:sz w:val="20"/>
                <w:szCs w:val="20"/>
              </w:rPr>
              <w:t xml:space="preserve"> </w:t>
            </w:r>
            <w:r w:rsidR="00902E86" w:rsidRPr="00A608EE">
              <w:rPr>
                <w:rStyle w:val="normaltextrun"/>
                <w:rFonts w:asciiTheme="majorHAnsi" w:hAnsiTheme="majorHAnsi"/>
                <w:sz w:val="20"/>
                <w:szCs w:val="20"/>
              </w:rPr>
              <w:t xml:space="preserve">and have equal opportunities to access </w:t>
            </w:r>
            <w:r w:rsidRPr="00A608EE">
              <w:rPr>
                <w:rStyle w:val="normaltextrun"/>
                <w:rFonts w:asciiTheme="majorHAnsi" w:hAnsiTheme="majorHAnsi"/>
                <w:sz w:val="20"/>
                <w:szCs w:val="20"/>
              </w:rPr>
              <w:t>these</w:t>
            </w:r>
            <w:r w:rsidR="00584032" w:rsidRPr="00A608EE">
              <w:rPr>
                <w:rStyle w:val="normaltextrun"/>
                <w:rFonts w:asciiTheme="majorHAnsi" w:hAnsiTheme="majorHAnsi"/>
                <w:sz w:val="20"/>
                <w:szCs w:val="20"/>
              </w:rPr>
              <w:t>.</w:t>
            </w:r>
          </w:p>
          <w:p w14:paraId="163D79FE" w14:textId="77777777" w:rsidR="005876AB" w:rsidRPr="00A608EE" w:rsidRDefault="005876AB" w:rsidP="005876AB">
            <w:pPr>
              <w:pStyle w:val="paragraph"/>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To operationalize this inclusion, providers should consider different types of impairments when identifying and segmenting clients with disabilities. This can be based on data collected from clients on self-reported difficulties in everyday activities, such as:</w:t>
            </w:r>
          </w:p>
          <w:p w14:paraId="4F7DB3CE" w14:textId="77777777" w:rsidR="005876AB" w:rsidRPr="00A608EE" w:rsidRDefault="005876AB" w:rsidP="005876AB">
            <w:pPr>
              <w:pStyle w:val="paragraph"/>
              <w:spacing w:before="0" w:beforeAutospacing="0" w:after="0" w:afterAutospacing="0"/>
              <w:jc w:val="both"/>
              <w:textAlignment w:val="baseline"/>
              <w:rPr>
                <w:rStyle w:val="normaltextrun"/>
                <w:rFonts w:asciiTheme="majorHAnsi" w:hAnsiTheme="majorHAnsi"/>
                <w:sz w:val="20"/>
                <w:szCs w:val="20"/>
              </w:rPr>
            </w:pPr>
          </w:p>
          <w:tbl>
            <w:tblPr>
              <w:tblStyle w:val="TableGrid"/>
              <w:tblW w:w="0" w:type="auto"/>
              <w:tblLook w:val="04A0" w:firstRow="1" w:lastRow="0" w:firstColumn="1" w:lastColumn="0" w:noHBand="0" w:noVBand="1"/>
            </w:tblPr>
            <w:tblGrid>
              <w:gridCol w:w="2107"/>
              <w:gridCol w:w="6729"/>
            </w:tblGrid>
            <w:tr w:rsidR="0084416A" w:rsidRPr="00A608EE" w14:paraId="1DE07EB1" w14:textId="77777777" w:rsidTr="003D1F87">
              <w:tc>
                <w:tcPr>
                  <w:tcW w:w="2122" w:type="dxa"/>
                  <w:vAlign w:val="center"/>
                </w:tcPr>
                <w:p w14:paraId="2467B7F6" w14:textId="77777777" w:rsidR="005876AB" w:rsidRPr="00A608EE" w:rsidRDefault="005876AB" w:rsidP="005876AB">
                  <w:pPr>
                    <w:rPr>
                      <w:rStyle w:val="normaltextrun"/>
                      <w:rFonts w:asciiTheme="majorHAnsi" w:hAnsiTheme="majorHAnsi"/>
                      <w:b/>
                      <w:bCs/>
                      <w:sz w:val="20"/>
                      <w:szCs w:val="20"/>
                    </w:rPr>
                  </w:pPr>
                  <w:r w:rsidRPr="00A608EE">
                    <w:rPr>
                      <w:rFonts w:asciiTheme="majorHAnsi" w:hAnsiTheme="majorHAnsi"/>
                      <w:b/>
                      <w:bCs/>
                      <w:sz w:val="20"/>
                      <w:szCs w:val="20"/>
                    </w:rPr>
                    <w:t>Domain</w:t>
                  </w:r>
                </w:p>
              </w:tc>
              <w:tc>
                <w:tcPr>
                  <w:tcW w:w="6940" w:type="dxa"/>
                  <w:vAlign w:val="center"/>
                </w:tcPr>
                <w:p w14:paraId="3A090ED7" w14:textId="77777777" w:rsidR="005876AB" w:rsidRPr="00A608EE" w:rsidRDefault="005876AB" w:rsidP="005876AB">
                  <w:pPr>
                    <w:rPr>
                      <w:rFonts w:asciiTheme="majorHAnsi" w:hAnsiTheme="majorHAnsi"/>
                      <w:b/>
                      <w:bCs/>
                      <w:vanish/>
                      <w:sz w:val="20"/>
                      <w:szCs w:val="20"/>
                    </w:rPr>
                  </w:pPr>
                </w:p>
                <w:p w14:paraId="088B29F9" w14:textId="77777777" w:rsidR="005876AB" w:rsidRPr="00A608EE" w:rsidRDefault="005876AB" w:rsidP="005876AB">
                  <w:pPr>
                    <w:pStyle w:val="paragraph"/>
                    <w:spacing w:before="0" w:beforeAutospacing="0" w:after="0" w:afterAutospacing="0"/>
                    <w:textAlignment w:val="baseline"/>
                    <w:rPr>
                      <w:rStyle w:val="normaltextrun"/>
                      <w:rFonts w:asciiTheme="majorHAnsi" w:hAnsiTheme="majorHAnsi"/>
                      <w:sz w:val="20"/>
                      <w:szCs w:val="20"/>
                    </w:rPr>
                  </w:pPr>
                  <w:r w:rsidRPr="00A608EE">
                    <w:rPr>
                      <w:rFonts w:asciiTheme="majorHAnsi" w:hAnsiTheme="majorHAnsi"/>
                      <w:b/>
                      <w:bCs/>
                      <w:sz w:val="20"/>
                      <w:szCs w:val="20"/>
                    </w:rPr>
                    <w:t>Functional difficulty</w:t>
                  </w:r>
                </w:p>
              </w:tc>
            </w:tr>
            <w:tr w:rsidR="0084416A" w:rsidRPr="00A608EE" w14:paraId="55A99464" w14:textId="77777777" w:rsidTr="003D1F87">
              <w:tc>
                <w:tcPr>
                  <w:tcW w:w="2122" w:type="dxa"/>
                  <w:vAlign w:val="center"/>
                </w:tcPr>
                <w:p w14:paraId="708FBEED"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Vision</w:t>
                  </w:r>
                </w:p>
              </w:tc>
              <w:tc>
                <w:tcPr>
                  <w:tcW w:w="6940" w:type="dxa"/>
                  <w:vAlign w:val="center"/>
                </w:tcPr>
                <w:p w14:paraId="559C88CD"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Seeing, even when wearing glasses</w:t>
                  </w:r>
                </w:p>
              </w:tc>
            </w:tr>
            <w:tr w:rsidR="0084416A" w:rsidRPr="00A608EE" w14:paraId="297EAD23" w14:textId="77777777" w:rsidTr="003D1F87">
              <w:tc>
                <w:tcPr>
                  <w:tcW w:w="2122" w:type="dxa"/>
                  <w:vAlign w:val="center"/>
                </w:tcPr>
                <w:p w14:paraId="32CD9664"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Hearing</w:t>
                  </w:r>
                </w:p>
              </w:tc>
              <w:tc>
                <w:tcPr>
                  <w:tcW w:w="6940" w:type="dxa"/>
                  <w:vAlign w:val="center"/>
                </w:tcPr>
                <w:p w14:paraId="140F3D18"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Hearing, even when using a hearing aid(s)</w:t>
                  </w:r>
                </w:p>
              </w:tc>
            </w:tr>
            <w:tr w:rsidR="0084416A" w:rsidRPr="00A608EE" w14:paraId="1AB89741" w14:textId="77777777" w:rsidTr="003D1F87">
              <w:tc>
                <w:tcPr>
                  <w:tcW w:w="2122" w:type="dxa"/>
                  <w:vAlign w:val="center"/>
                </w:tcPr>
                <w:p w14:paraId="5D5EFB4F"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Mobility</w:t>
                  </w:r>
                </w:p>
              </w:tc>
              <w:tc>
                <w:tcPr>
                  <w:tcW w:w="6940" w:type="dxa"/>
                  <w:vAlign w:val="center"/>
                </w:tcPr>
                <w:p w14:paraId="1FDBF9FD"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Walking or climbing steps</w:t>
                  </w:r>
                </w:p>
              </w:tc>
            </w:tr>
            <w:tr w:rsidR="0084416A" w:rsidRPr="00A608EE" w14:paraId="3767F34C" w14:textId="77777777" w:rsidTr="003D1F87">
              <w:tc>
                <w:tcPr>
                  <w:tcW w:w="2122" w:type="dxa"/>
                  <w:vAlign w:val="center"/>
                </w:tcPr>
                <w:p w14:paraId="368DF5A1"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Cognitive</w:t>
                  </w:r>
                </w:p>
              </w:tc>
              <w:tc>
                <w:tcPr>
                  <w:tcW w:w="6940" w:type="dxa"/>
                  <w:vAlign w:val="center"/>
                </w:tcPr>
                <w:p w14:paraId="7F1500DE"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Remembering or concentrating</w:t>
                  </w:r>
                </w:p>
              </w:tc>
            </w:tr>
            <w:tr w:rsidR="0084416A" w:rsidRPr="00A608EE" w14:paraId="0216EFE9" w14:textId="77777777" w:rsidTr="003D1F87">
              <w:tc>
                <w:tcPr>
                  <w:tcW w:w="2122" w:type="dxa"/>
                  <w:vAlign w:val="center"/>
                </w:tcPr>
                <w:p w14:paraId="22E181BD"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Self-care</w:t>
                  </w:r>
                </w:p>
              </w:tc>
              <w:tc>
                <w:tcPr>
                  <w:tcW w:w="6940" w:type="dxa"/>
                  <w:vAlign w:val="center"/>
                </w:tcPr>
                <w:p w14:paraId="403AF33F"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Self-care, such as washing or dressing</w:t>
                  </w:r>
                </w:p>
              </w:tc>
            </w:tr>
            <w:tr w:rsidR="0084416A" w:rsidRPr="00A608EE" w14:paraId="680707EB" w14:textId="77777777" w:rsidTr="003D1F87">
              <w:tc>
                <w:tcPr>
                  <w:tcW w:w="2122" w:type="dxa"/>
                  <w:vAlign w:val="center"/>
                </w:tcPr>
                <w:p w14:paraId="0101A8DA"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Communication</w:t>
                  </w:r>
                </w:p>
              </w:tc>
              <w:tc>
                <w:tcPr>
                  <w:tcW w:w="6940" w:type="dxa"/>
                  <w:vAlign w:val="center"/>
                </w:tcPr>
                <w:p w14:paraId="37B75EE1" w14:textId="77777777" w:rsidR="005876AB" w:rsidRPr="00A608EE" w:rsidRDefault="005876AB" w:rsidP="005876AB">
                  <w:pPr>
                    <w:pStyle w:val="paragraph"/>
                    <w:spacing w:before="0" w:beforeAutospacing="0" w:after="0" w:afterAutospacing="0"/>
                    <w:textAlignment w:val="baseline"/>
                    <w:rPr>
                      <w:rStyle w:val="normaltextrun"/>
                      <w:rFonts w:asciiTheme="minorHAnsi" w:hAnsiTheme="minorHAnsi"/>
                      <w:sz w:val="20"/>
                      <w:szCs w:val="20"/>
                    </w:rPr>
                  </w:pPr>
                  <w:r w:rsidRPr="00A608EE">
                    <w:rPr>
                      <w:rFonts w:asciiTheme="minorHAnsi" w:hAnsiTheme="minorHAnsi"/>
                      <w:sz w:val="20"/>
                      <w:szCs w:val="20"/>
                    </w:rPr>
                    <w:t>Communicating, for example understanding or being understood</w:t>
                  </w:r>
                </w:p>
              </w:tc>
            </w:tr>
          </w:tbl>
          <w:p w14:paraId="255A2CC2" w14:textId="77777777" w:rsidR="005876AB" w:rsidRPr="00A608EE" w:rsidRDefault="005876AB" w:rsidP="005876AB">
            <w:pPr>
              <w:pStyle w:val="paragraph"/>
              <w:spacing w:before="0" w:beforeAutospacing="0" w:after="0" w:afterAutospacing="0"/>
              <w:jc w:val="both"/>
              <w:textAlignment w:val="baseline"/>
              <w:rPr>
                <w:rStyle w:val="normaltextrun"/>
                <w:rFonts w:asciiTheme="majorHAnsi" w:hAnsiTheme="majorHAnsi"/>
                <w:sz w:val="20"/>
                <w:szCs w:val="20"/>
              </w:rPr>
            </w:pPr>
          </w:p>
          <w:p w14:paraId="0F73D417" w14:textId="22265A9E" w:rsidR="005876AB" w:rsidRPr="00A608EE" w:rsidRDefault="005876AB" w:rsidP="005876AB">
            <w:pPr>
              <w:pStyle w:val="paragraph"/>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 xml:space="preserve">This approach helps identify people who may face </w:t>
            </w:r>
            <w:r w:rsidR="00FD444C" w:rsidRPr="00A608EE">
              <w:rPr>
                <w:rStyle w:val="normaltextrun"/>
                <w:rFonts w:asciiTheme="majorHAnsi" w:hAnsiTheme="majorHAnsi"/>
                <w:sz w:val="20"/>
                <w:szCs w:val="20"/>
              </w:rPr>
              <w:t xml:space="preserve">different </w:t>
            </w:r>
            <w:r w:rsidRPr="00A608EE">
              <w:rPr>
                <w:rStyle w:val="normaltextrun"/>
                <w:rFonts w:asciiTheme="majorHAnsi" w:hAnsiTheme="majorHAnsi"/>
                <w:sz w:val="20"/>
                <w:szCs w:val="20"/>
              </w:rPr>
              <w:t>barriers to access financial services and ensures that persons with disabilities are appropriately considered within the provider’s target client definition.</w:t>
            </w:r>
          </w:p>
          <w:p w14:paraId="7B344F05" w14:textId="77777777" w:rsidR="005876AB" w:rsidRPr="00A608EE" w:rsidRDefault="005876AB" w:rsidP="005876AB">
            <w:pPr>
              <w:pStyle w:val="paragraph"/>
              <w:spacing w:before="0" w:beforeAutospacing="0" w:after="0" w:afterAutospacing="0"/>
              <w:jc w:val="both"/>
              <w:textAlignment w:val="baseline"/>
              <w:rPr>
                <w:rStyle w:val="normaltextrun"/>
                <w:rFonts w:asciiTheme="majorHAnsi" w:hAnsiTheme="majorHAnsi"/>
                <w:sz w:val="20"/>
                <w:szCs w:val="20"/>
              </w:rPr>
            </w:pPr>
          </w:p>
          <w:p w14:paraId="71DB0D2A" w14:textId="4FE7A243" w:rsidR="005876AB" w:rsidRPr="00A608EE" w:rsidRDefault="005876AB" w:rsidP="005876AB">
            <w:pPr>
              <w:pStyle w:val="paragraph"/>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lastRenderedPageBreak/>
              <w:t xml:space="preserve">Intersectionality also provides a lens for the provider to understand the root causes of disadvantage, to identify target client segments and design appropriate responses. Persons with disabilities experience different and often compounded forms of exclusion, depending on factors such as their gender, age, socio-economic status, ethnicity, migration or displacement status, and geographic location. For </w:t>
            </w:r>
            <w:r w:rsidR="003F24DE" w:rsidRPr="00A608EE">
              <w:rPr>
                <w:rStyle w:val="normaltextrun"/>
                <w:rFonts w:asciiTheme="majorHAnsi" w:hAnsiTheme="majorHAnsi"/>
                <w:sz w:val="20"/>
                <w:szCs w:val="20"/>
              </w:rPr>
              <w:t>example,</w:t>
            </w:r>
            <w:r w:rsidRPr="00A608EE">
              <w:rPr>
                <w:rStyle w:val="normaltextrun"/>
                <w:rFonts w:asciiTheme="majorHAnsi" w:hAnsiTheme="majorHAnsi"/>
                <w:sz w:val="20"/>
                <w:szCs w:val="20"/>
              </w:rPr>
              <w:t xml:space="preserve"> women with disabilities experience intersectional disadvantages and marginalization, arising from both their gender and their disability.  They encounter greater barriers to accessing education, employment and services than women without disabilities, or men with or without disabilities, and are often expected to perform unpaid care and domestic work in the home, reducing opportunities for economic participation. Older persons with disabilities and youth with disabilities also experience particular forms of disadvantage based on their age and their disability.</w:t>
            </w:r>
          </w:p>
          <w:p w14:paraId="6478F63E" w14:textId="4C57039C" w:rsidR="00584032" w:rsidRPr="00A608EE" w:rsidRDefault="00584032" w:rsidP="00584032">
            <w:pPr>
              <w:pStyle w:val="paragraph"/>
              <w:spacing w:before="0" w:beforeAutospacing="0" w:after="0" w:afterAutospacing="0"/>
              <w:jc w:val="both"/>
              <w:textAlignment w:val="baseline"/>
              <w:rPr>
                <w:rStyle w:val="normaltextrun"/>
                <w:rFonts w:asciiTheme="majorHAnsi" w:hAnsiTheme="majorHAnsi"/>
                <w:sz w:val="18"/>
                <w:szCs w:val="18"/>
              </w:rPr>
            </w:pPr>
          </w:p>
        </w:tc>
      </w:tr>
    </w:tbl>
    <w:p w14:paraId="435E83B2" w14:textId="19AD6F87" w:rsidR="00E80BF4" w:rsidRPr="00A608EE" w:rsidRDefault="00B05EDE" w:rsidP="00A27AAA">
      <w:pPr>
        <w:pStyle w:val="paragraph"/>
        <w:spacing w:before="120" w:beforeAutospacing="0" w:after="120" w:afterAutospacing="0"/>
        <w:jc w:val="both"/>
        <w:rPr>
          <w:rFonts w:asciiTheme="majorHAnsi" w:hAnsiTheme="majorHAnsi"/>
          <w:sz w:val="20"/>
          <w:szCs w:val="16"/>
        </w:rPr>
      </w:pPr>
      <w:r w:rsidRPr="00A608EE">
        <w:rPr>
          <w:rFonts w:asciiTheme="majorHAnsi" w:hAnsiTheme="majorHAnsi"/>
          <w:b/>
          <w:bCs/>
          <w:sz w:val="20"/>
          <w:szCs w:val="16"/>
        </w:rPr>
        <w:lastRenderedPageBreak/>
        <w:t>Scoring guidance</w:t>
      </w:r>
      <w:r w:rsidR="00E80BF4" w:rsidRPr="00A608EE">
        <w:rPr>
          <w:rFonts w:asciiTheme="majorHAnsi" w:hAnsiTheme="majorHAnsi"/>
          <w:sz w:val="20"/>
          <w:szCs w:val="16"/>
        </w:rPr>
        <w:t> </w:t>
      </w:r>
    </w:p>
    <w:p w14:paraId="3C96C130" w14:textId="77777777" w:rsidR="00B05EDE" w:rsidRPr="00A608EE" w:rsidRDefault="00B05EDE" w:rsidP="00A27AAA">
      <w:pPr>
        <w:pStyle w:val="paragraph"/>
        <w:numPr>
          <w:ilvl w:val="0"/>
          <w:numId w:val="76"/>
        </w:numPr>
        <w:spacing w:before="0" w:beforeAutospacing="0" w:after="0"/>
        <w:jc w:val="both"/>
        <w:rPr>
          <w:rFonts w:asciiTheme="majorHAnsi" w:hAnsiTheme="majorHAnsi"/>
          <w:sz w:val="20"/>
          <w:szCs w:val="16"/>
        </w:rPr>
      </w:pPr>
      <w:r w:rsidRPr="00A608EE">
        <w:rPr>
          <w:rFonts w:asciiTheme="majorHAnsi" w:hAnsiTheme="majorHAnsi"/>
          <w:sz w:val="20"/>
          <w:szCs w:val="16"/>
        </w:rPr>
        <w:t>Score “yes” if the provider’s strategy mentions its client segmentation approach with specific demographic and/or socioeconomic characteristics of the client segments it wants to serve and if the board and senior management have a clear and consistent understanding of this.</w:t>
      </w:r>
    </w:p>
    <w:p w14:paraId="7E7E1983" w14:textId="3D15C23D" w:rsidR="00B05EDE" w:rsidRPr="00A608EE" w:rsidRDefault="00B05EDE" w:rsidP="00A27AAA">
      <w:pPr>
        <w:pStyle w:val="paragraph"/>
        <w:numPr>
          <w:ilvl w:val="0"/>
          <w:numId w:val="76"/>
        </w:numPr>
        <w:spacing w:before="0" w:beforeAutospacing="0" w:after="0"/>
        <w:jc w:val="both"/>
        <w:rPr>
          <w:rFonts w:asciiTheme="majorHAnsi" w:hAnsiTheme="majorHAnsi"/>
          <w:sz w:val="20"/>
          <w:szCs w:val="16"/>
        </w:rPr>
      </w:pPr>
      <w:r w:rsidRPr="00A608EE">
        <w:rPr>
          <w:rFonts w:asciiTheme="majorHAnsi" w:hAnsiTheme="majorHAnsi"/>
          <w:sz w:val="20"/>
          <w:szCs w:val="16"/>
        </w:rPr>
        <w:t>Score “partially” if the strategy mentions at least basic elements of client segmentation with at least one characteristic of each client segment the provider wishes to serve (e.g., “economically-active”), but does not detail fully its target client segments. Also score “partially” if the provider has a clear mission statement that mentions target client segments with basic characteristics, but the strategy itself does NOT mention them.</w:t>
      </w:r>
    </w:p>
    <w:p w14:paraId="46A5B6F1" w14:textId="77777777" w:rsidR="00B05EDE" w:rsidRPr="00A608EE" w:rsidRDefault="00B05EDE" w:rsidP="00A27AAA">
      <w:pPr>
        <w:pStyle w:val="paragraph"/>
        <w:numPr>
          <w:ilvl w:val="0"/>
          <w:numId w:val="76"/>
        </w:numPr>
        <w:spacing w:before="0" w:beforeAutospacing="0" w:after="0"/>
        <w:jc w:val="both"/>
        <w:rPr>
          <w:rFonts w:asciiTheme="majorHAnsi" w:hAnsiTheme="majorHAnsi"/>
          <w:sz w:val="20"/>
          <w:szCs w:val="16"/>
        </w:rPr>
      </w:pPr>
      <w:r w:rsidRPr="00A608EE">
        <w:rPr>
          <w:rFonts w:asciiTheme="majorHAnsi" w:hAnsiTheme="majorHAnsi"/>
          <w:sz w:val="20"/>
          <w:szCs w:val="16"/>
        </w:rPr>
        <w:t>Score “no” if the strategy lacks basic elements of client segmentation with no or unclear demographic and/or socioeconomic characteristics of the clients the provider seeks to serve or if board / senior management cannot share their view on this.</w:t>
      </w:r>
    </w:p>
    <w:p w14:paraId="50686FDC" w14:textId="0448B7E4" w:rsidR="00B05EDE" w:rsidRPr="00A608EE" w:rsidRDefault="00B05EDE" w:rsidP="00A27AAA">
      <w:pPr>
        <w:pStyle w:val="paragraph"/>
        <w:numPr>
          <w:ilvl w:val="0"/>
          <w:numId w:val="76"/>
        </w:numPr>
        <w:spacing w:before="0" w:beforeAutospacing="0" w:after="0" w:afterAutospacing="0"/>
        <w:jc w:val="both"/>
        <w:rPr>
          <w:rFonts w:asciiTheme="majorHAnsi" w:hAnsiTheme="majorHAnsi" w:cs="Segoe UI"/>
          <w:sz w:val="20"/>
          <w:szCs w:val="20"/>
        </w:rPr>
      </w:pPr>
      <w:r w:rsidRPr="00A608EE">
        <w:rPr>
          <w:rFonts w:asciiTheme="majorHAnsi" w:hAnsiTheme="majorHAnsi"/>
          <w:sz w:val="20"/>
          <w:szCs w:val="16"/>
        </w:rPr>
        <w:t>To verify consistency among answers to this social audit, compare the scoring here to the scores and comments for the Essential Practice 2B1 (“The provider includes social goals in its operational plan and the CEO/Managing Director holds senior managers accountable for achieving social targets.”)</w:t>
      </w:r>
      <w:r w:rsidR="00A4589A" w:rsidRPr="00A608EE">
        <w:rPr>
          <w:rStyle w:val="eop"/>
          <w:rFonts w:asciiTheme="majorHAnsi" w:hAnsiTheme="majorHAnsi" w:cs="Segoe UI"/>
          <w:sz w:val="20"/>
          <w:szCs w:val="20"/>
        </w:rPr>
        <w:t> </w:t>
      </w:r>
    </w:p>
    <w:p w14:paraId="2F1F571D" w14:textId="7DD923F8" w:rsidR="003B5795" w:rsidRPr="00A608EE" w:rsidRDefault="00A4589A" w:rsidP="00A27AAA">
      <w:pPr>
        <w:pStyle w:val="paragraph"/>
        <w:spacing w:before="120" w:beforeAutospacing="0" w:after="120" w:afterAutospacing="0"/>
        <w:jc w:val="both"/>
        <w:rPr>
          <w:rStyle w:val="normaltextrun"/>
          <w:rFonts w:asciiTheme="majorHAnsi" w:hAnsiTheme="majorHAnsi"/>
          <w:b/>
          <w:bCs/>
          <w:sz w:val="20"/>
          <w:szCs w:val="16"/>
        </w:rPr>
      </w:pPr>
      <w:r w:rsidRPr="00A608EE">
        <w:rPr>
          <w:bCs/>
          <w:szCs w:val="16"/>
        </w:rPr>
        <w:t xml:space="preserve">Sources </w:t>
      </w:r>
      <w:r w:rsidR="006512C5" w:rsidRPr="00A608EE">
        <w:rPr>
          <w:bCs/>
          <w:szCs w:val="16"/>
        </w:rPr>
        <w:t xml:space="preserve">of </w:t>
      </w:r>
      <w:r w:rsidRPr="00A608EE">
        <w:rPr>
          <w:bCs/>
          <w:szCs w:val="16"/>
        </w:rPr>
        <w:t>information</w:t>
      </w:r>
    </w:p>
    <w:p w14:paraId="022C567A" w14:textId="19918933" w:rsidR="006512C5" w:rsidRPr="00A608EE" w:rsidRDefault="006512C5" w:rsidP="00A27AAA">
      <w:pPr>
        <w:pStyle w:val="paragraph"/>
        <w:numPr>
          <w:ilvl w:val="0"/>
          <w:numId w:val="7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Strategic plan / Business plan / provider’s website / board member/ CEO interviews</w:t>
      </w:r>
    </w:p>
    <w:p w14:paraId="5B37F48B" w14:textId="7ADCF494" w:rsidR="00A4589A" w:rsidRPr="00A608EE" w:rsidRDefault="006512C5" w:rsidP="00A27AAA">
      <w:pPr>
        <w:pStyle w:val="paragraph"/>
        <w:spacing w:before="120" w:beforeAutospacing="0" w:after="120" w:afterAutospacing="0"/>
        <w:jc w:val="both"/>
        <w:textAlignment w:val="baseline"/>
        <w:rPr>
          <w:rStyle w:val="normaltextrun"/>
          <w:b/>
          <w:bCs/>
        </w:rPr>
      </w:pPr>
      <w:r w:rsidRPr="00A608EE">
        <w:rPr>
          <w:rStyle w:val="normaltextrun"/>
          <w:rFonts w:asciiTheme="majorHAnsi" w:hAnsiTheme="majorHAnsi"/>
          <w:b/>
          <w:sz w:val="20"/>
          <w:szCs w:val="20"/>
        </w:rPr>
        <w:t>Evidence to provide</w:t>
      </w:r>
    </w:p>
    <w:p w14:paraId="79927920" w14:textId="77777777" w:rsidR="006512C5" w:rsidRPr="00A608EE" w:rsidRDefault="006512C5" w:rsidP="00EE208A">
      <w:pPr>
        <w:pStyle w:val="paragraph"/>
        <w:spacing w:before="0" w:beforeAutospacing="0" w:after="0" w:afterAutospacing="0"/>
        <w:jc w:val="both"/>
        <w:textAlignment w:val="baseline"/>
        <w:rPr>
          <w:rFonts w:asciiTheme="majorHAnsi" w:hAnsiTheme="majorHAnsi"/>
          <w:sz w:val="20"/>
          <w:szCs w:val="20"/>
        </w:rPr>
      </w:pPr>
    </w:p>
    <w:p w14:paraId="340AF7EC" w14:textId="4FE0AE7B" w:rsidR="006512C5" w:rsidRPr="00A608EE" w:rsidRDefault="006512C5"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Search in the strategic plan and/or the business plan and the provider’s website for any mention of target clients or client segments and how they are described and identified. If not, a mission statement, if available, may offer some information about the type of clients to be served. Cross-check the information identified with the understanding by a board member and the CEO.</w:t>
      </w:r>
    </w:p>
    <w:p w14:paraId="6F55F68F" w14:textId="77777777" w:rsidR="006512C5" w:rsidRPr="00A608EE" w:rsidRDefault="006512C5" w:rsidP="00EE208A">
      <w:pPr>
        <w:pStyle w:val="paragraph"/>
        <w:spacing w:before="0" w:beforeAutospacing="0" w:after="0" w:afterAutospacing="0"/>
        <w:jc w:val="both"/>
        <w:textAlignment w:val="baseline"/>
        <w:rPr>
          <w:rFonts w:asciiTheme="majorHAnsi" w:hAnsiTheme="majorHAnsi"/>
          <w:sz w:val="20"/>
          <w:szCs w:val="20"/>
        </w:rPr>
      </w:pPr>
    </w:p>
    <w:p w14:paraId="23D5D847" w14:textId="77777777" w:rsidR="006512C5" w:rsidRPr="00A608EE" w:rsidRDefault="006512C5"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If the provider intends to serve all residents (i.e. both men and women, of all income and formal education levels and ages, including ethnic and religious minorities) and/or businesses in terms of size (micro, small, medium or large), maturity (established, new, start-ups), and formality (informal or legal entities) in some or all regions (i.e. in urban, semi-urban, and rural areas) of the country, the strategy must define clearly whom and how the provider wishes to serve (e.g.; offering deposit products to all residents, incl. youth savings accounts, but loans only to established informal and formal micro, small and medium-sized businesses in all sectors, except in agriculture, fisheries and forestry).</w:t>
      </w:r>
    </w:p>
    <w:p w14:paraId="716F0A1B" w14:textId="77777777" w:rsidR="006512C5" w:rsidRPr="00A608EE" w:rsidRDefault="006512C5" w:rsidP="00EE208A">
      <w:pPr>
        <w:pStyle w:val="paragraph"/>
        <w:spacing w:before="0" w:beforeAutospacing="0" w:after="0" w:afterAutospacing="0"/>
        <w:jc w:val="both"/>
        <w:textAlignment w:val="baseline"/>
        <w:rPr>
          <w:rFonts w:asciiTheme="majorHAnsi" w:hAnsiTheme="majorHAnsi"/>
          <w:sz w:val="20"/>
          <w:szCs w:val="20"/>
        </w:rPr>
      </w:pPr>
    </w:p>
    <w:p w14:paraId="7C64D94C" w14:textId="74C3473E" w:rsidR="006512C5" w:rsidRPr="00A608EE" w:rsidRDefault="006512C5"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If the definition of target clients includes terms such as “marginalized,” “excluded,” or “poor,” use the strategy to clarify what is meant by these labels. For example, “exclusion” can be political, social, geographic, ethnic/racial, religious or economic. The definition of “poverty” may refer to low and/or unstable income, limited assets and limited or no access to healthcare, education, sanitation, or other basic needs.</w:t>
      </w:r>
    </w:p>
    <w:p w14:paraId="3A604118" w14:textId="77777777" w:rsidR="008F5D30" w:rsidRPr="00A608EE" w:rsidRDefault="008F5D30" w:rsidP="00EE208A">
      <w:pPr>
        <w:pStyle w:val="paragraph"/>
        <w:spacing w:before="0" w:beforeAutospacing="0" w:after="0" w:afterAutospacing="0"/>
        <w:jc w:val="both"/>
        <w:textAlignment w:val="baseline"/>
        <w:rPr>
          <w:rFonts w:asciiTheme="majorHAnsi" w:hAnsiTheme="majorHAnsi"/>
          <w:sz w:val="20"/>
          <w:szCs w:val="20"/>
        </w:rPr>
      </w:pPr>
    </w:p>
    <w:p w14:paraId="44869EE8" w14:textId="77777777" w:rsidR="008F5D30" w:rsidRPr="00A608EE" w:rsidRDefault="008F5D30" w:rsidP="00EE208A">
      <w:pPr>
        <w:pStyle w:val="paragraph"/>
        <w:spacing w:before="0" w:beforeAutospacing="0" w:after="0" w:afterAutospacing="0"/>
        <w:jc w:val="both"/>
        <w:textAlignment w:val="baseline"/>
        <w:rPr>
          <w:rFonts w:asciiTheme="majorHAnsi" w:hAnsiTheme="majorHAnsi"/>
          <w:sz w:val="20"/>
          <w:szCs w:val="20"/>
        </w:rPr>
      </w:pPr>
    </w:p>
    <w:p w14:paraId="20467E22" w14:textId="77777777" w:rsidR="008F5D30" w:rsidRPr="00A608EE" w:rsidRDefault="008F5D30" w:rsidP="00EE208A">
      <w:pPr>
        <w:pStyle w:val="paragraph"/>
        <w:spacing w:before="0" w:beforeAutospacing="0" w:after="0" w:afterAutospacing="0"/>
        <w:jc w:val="both"/>
        <w:textAlignment w:val="baseline"/>
        <w:rPr>
          <w:sz w:val="20"/>
          <w:szCs w:val="20"/>
        </w:rPr>
      </w:pPr>
    </w:p>
    <w:p w14:paraId="4A7BE89F" w14:textId="5D5BF651" w:rsidR="00A4589A" w:rsidRPr="00A608EE" w:rsidRDefault="00931AF8" w:rsidP="00A27AAA">
      <w:pPr>
        <w:pStyle w:val="paragraph"/>
        <w:spacing w:before="120" w:beforeAutospacing="0" w:after="120" w:afterAutospacing="0"/>
        <w:jc w:val="both"/>
        <w:textAlignment w:val="baseline"/>
        <w:rPr>
          <w:rFonts w:asciiTheme="majorHAnsi" w:hAnsiTheme="majorHAnsi"/>
          <w:b/>
          <w:bCs/>
          <w:sz w:val="20"/>
          <w:szCs w:val="20"/>
        </w:rPr>
      </w:pPr>
      <w:r w:rsidRPr="00A608EE">
        <w:rPr>
          <w:rStyle w:val="normaltextrun"/>
          <w:rFonts w:asciiTheme="majorHAnsi" w:hAnsiTheme="majorHAnsi"/>
          <w:b/>
          <w:sz w:val="20"/>
          <w:szCs w:val="20"/>
        </w:rPr>
        <w:t>Field examples / Guidance for implementation</w:t>
      </w:r>
    </w:p>
    <w:p w14:paraId="402EA245" w14:textId="77777777" w:rsidR="00931AF8" w:rsidRPr="00A608EE" w:rsidRDefault="00931AF8"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Your strategy should define the characteristics of the people you want to reach. Defining your target market will make it easier for your institution to tailor products and services to client needs and preferences and to set realistic targets for client-level change. Define for example these characteristics:</w:t>
      </w:r>
    </w:p>
    <w:p w14:paraId="5813FF37" w14:textId="77777777" w:rsidR="00931AF8" w:rsidRPr="00A608EE" w:rsidRDefault="00931AF8" w:rsidP="00A27AAA">
      <w:pPr>
        <w:pStyle w:val="paragraph"/>
        <w:numPr>
          <w:ilvl w:val="0"/>
          <w:numId w:val="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Demographics (e.g., male/female, urban/rural, age)</w:t>
      </w:r>
    </w:p>
    <w:p w14:paraId="1232CC22" w14:textId="77777777" w:rsidR="00931AF8" w:rsidRPr="00A608EE" w:rsidRDefault="00931AF8" w:rsidP="00A27AAA">
      <w:pPr>
        <w:pStyle w:val="paragraph"/>
        <w:numPr>
          <w:ilvl w:val="0"/>
          <w:numId w:val="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Socio-economic status (e.g., income level, level of education)</w:t>
      </w:r>
    </w:p>
    <w:p w14:paraId="41CDDE16" w14:textId="77777777" w:rsidR="00931AF8" w:rsidRPr="00A608EE" w:rsidRDefault="00931AF8" w:rsidP="00A27AAA">
      <w:pPr>
        <w:pStyle w:val="paragraph"/>
        <w:numPr>
          <w:ilvl w:val="0"/>
          <w:numId w:val="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Access to financial services (e.g., banked/unbanked)</w:t>
      </w:r>
    </w:p>
    <w:p w14:paraId="640245EA" w14:textId="130C918B" w:rsidR="00A4589A" w:rsidRPr="00A608EE" w:rsidRDefault="00931AF8" w:rsidP="00A27AAA">
      <w:pPr>
        <w:pStyle w:val="paragraph"/>
        <w:numPr>
          <w:ilvl w:val="0"/>
          <w:numId w:val="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Business activity (e.g., agriculture/trade, new businesses/existing businesses)</w:t>
      </w:r>
    </w:p>
    <w:p w14:paraId="46411F37" w14:textId="40E00200" w:rsidR="00A4589A" w:rsidRPr="00A608EE" w:rsidRDefault="00931AF8" w:rsidP="00A27AAA">
      <w:pPr>
        <w:pStyle w:val="paragraph"/>
        <w:spacing w:before="120" w:beforeAutospacing="0" w:after="120" w:afterAutospacing="0"/>
        <w:jc w:val="both"/>
        <w:textAlignment w:val="baseline"/>
        <w:rPr>
          <w:rFonts w:asciiTheme="majorHAnsi" w:hAnsiTheme="majorHAnsi"/>
          <w:b/>
          <w:bCs/>
          <w:sz w:val="20"/>
          <w:szCs w:val="20"/>
        </w:rPr>
      </w:pPr>
      <w:r w:rsidRPr="00A608EE">
        <w:rPr>
          <w:rStyle w:val="normaltextrun"/>
          <w:rFonts w:asciiTheme="majorHAnsi" w:hAnsiTheme="majorHAnsi"/>
          <w:b/>
          <w:sz w:val="20"/>
          <w:szCs w:val="20"/>
        </w:rPr>
        <w:t xml:space="preserve">Resources for indicator </w:t>
      </w:r>
      <w:r w:rsidR="2382C158" w:rsidRPr="00A608EE">
        <w:rPr>
          <w:rStyle w:val="normaltextrun"/>
          <w:rFonts w:asciiTheme="majorHAnsi" w:hAnsiTheme="majorHAnsi"/>
          <w:b/>
          <w:sz w:val="20"/>
          <w:szCs w:val="20"/>
        </w:rPr>
        <w:t>1.A.1.1</w:t>
      </w:r>
    </w:p>
    <w:p w14:paraId="091EA654" w14:textId="77777777" w:rsidR="00931AF8" w:rsidRPr="00A608EE" w:rsidRDefault="00931AF8" w:rsidP="00A27AAA">
      <w:pPr>
        <w:pStyle w:val="paragraph"/>
        <w:numPr>
          <w:ilvl w:val="0"/>
          <w:numId w:val="79"/>
        </w:numPr>
        <w:spacing w:before="0" w:beforeAutospacing="0" w:after="0" w:afterAutospacing="0"/>
        <w:jc w:val="both"/>
        <w:rPr>
          <w:rFonts w:asciiTheme="majorHAnsi" w:hAnsiTheme="majorHAnsi"/>
          <w:sz w:val="20"/>
          <w:szCs w:val="20"/>
        </w:rPr>
      </w:pPr>
      <w:hyperlink r:id="rId20" w:history="1">
        <w:r w:rsidRPr="00A608EE">
          <w:rPr>
            <w:rStyle w:val="Hyperlink"/>
            <w:rFonts w:asciiTheme="majorHAnsi" w:hAnsiTheme="majorHAnsi"/>
            <w:sz w:val="20"/>
            <w:szCs w:val="20"/>
          </w:rPr>
          <w:t>Opportunity Bank Uganda's Social Goals, Strategic Activities and Indicators</w:t>
        </w:r>
      </w:hyperlink>
    </w:p>
    <w:p w14:paraId="77DF9D4F" w14:textId="77777777" w:rsidR="00931AF8" w:rsidRPr="00A608EE" w:rsidRDefault="00931AF8" w:rsidP="00A27AAA">
      <w:pPr>
        <w:pStyle w:val="paragraph"/>
        <w:numPr>
          <w:ilvl w:val="0"/>
          <w:numId w:val="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Strategic planning: </w:t>
      </w:r>
      <w:hyperlink r:id="rId21" w:history="1">
        <w:r w:rsidRPr="00A608EE">
          <w:rPr>
            <w:rStyle w:val="Hyperlink"/>
            <w:rFonts w:asciiTheme="majorHAnsi" w:hAnsiTheme="majorHAnsi"/>
            <w:sz w:val="20"/>
            <w:szCs w:val="20"/>
          </w:rPr>
          <w:t>Integrating SPM into microfinance capacity building (MSC and Imp-Act Guidance Note)</w:t>
        </w:r>
      </w:hyperlink>
    </w:p>
    <w:p w14:paraId="58A2D3C3" w14:textId="77777777" w:rsidR="00931AF8" w:rsidRPr="00A608EE" w:rsidRDefault="00931AF8" w:rsidP="00A27AAA">
      <w:pPr>
        <w:pStyle w:val="paragraph"/>
        <w:numPr>
          <w:ilvl w:val="0"/>
          <w:numId w:val="79"/>
        </w:numPr>
        <w:spacing w:before="0" w:beforeAutospacing="0" w:after="0" w:afterAutospacing="0"/>
        <w:jc w:val="both"/>
        <w:rPr>
          <w:rFonts w:asciiTheme="majorHAnsi" w:hAnsiTheme="majorHAnsi"/>
          <w:sz w:val="20"/>
          <w:szCs w:val="20"/>
        </w:rPr>
      </w:pPr>
      <w:hyperlink r:id="rId22" w:history="1">
        <w:r w:rsidRPr="00A608EE">
          <w:rPr>
            <w:rStyle w:val="Hyperlink"/>
            <w:rFonts w:asciiTheme="majorHAnsi" w:hAnsiTheme="majorHAnsi"/>
            <w:sz w:val="20"/>
            <w:szCs w:val="20"/>
          </w:rPr>
          <w:t>Fonkoze (Haiti) Defines Target Clients</w:t>
        </w:r>
      </w:hyperlink>
    </w:p>
    <w:p w14:paraId="74EC7E08" w14:textId="73060426" w:rsidR="2382C158" w:rsidRPr="00A608EE" w:rsidRDefault="00060DD2" w:rsidP="00A27AAA">
      <w:pPr>
        <w:pStyle w:val="ListParagraph"/>
        <w:numPr>
          <w:ilvl w:val="0"/>
          <w:numId w:val="79"/>
        </w:numPr>
        <w:rPr>
          <w:rStyle w:val="eop"/>
          <w:rFonts w:asciiTheme="majorHAnsi" w:eastAsia="Work Sans" w:hAnsiTheme="majorHAnsi" w:cs="Work Sans"/>
          <w:szCs w:val="20"/>
          <w:lang w:eastAsia="es-ES_tradnl"/>
        </w:rPr>
      </w:pPr>
      <w:r w:rsidRPr="00A608EE">
        <w:rPr>
          <w:rFonts w:asciiTheme="majorHAnsi" w:eastAsia="Work Sans" w:hAnsiTheme="majorHAnsi" w:cs="Work Sans"/>
          <w:b/>
          <w:bCs/>
          <w:szCs w:val="20"/>
          <w:lang w:eastAsia="es-ES_tradnl"/>
        </w:rPr>
        <w:t>[DI Focus]:</w:t>
      </w:r>
      <w:r w:rsidRPr="00A608EE">
        <w:rPr>
          <w:rFonts w:asciiTheme="majorHAnsi" w:eastAsia="Work Sans" w:hAnsiTheme="majorHAnsi" w:cs="Work Sans"/>
          <w:szCs w:val="20"/>
          <w:lang w:eastAsia="es-ES_tradnl"/>
        </w:rPr>
        <w:t xml:space="preserve"> </w:t>
      </w:r>
      <w:hyperlink r:id="rId23" w:history="1">
        <w:r w:rsidRPr="00A608EE">
          <w:rPr>
            <w:rStyle w:val="Hyperlink"/>
            <w:rFonts w:asciiTheme="majorHAnsi" w:eastAsia="Work Sans" w:hAnsiTheme="majorHAnsi" w:cs="Work Sans"/>
            <w:szCs w:val="20"/>
            <w:lang w:eastAsia="es-ES_tradnl"/>
          </w:rPr>
          <w:t>Case Study: Fundación Paraguaya, has embedded disability inclusion is an integral part of its organizational culture and operations, consistent with its mission broader mission to empower low income and marginalized families to overcome poverty</w:t>
        </w:r>
      </w:hyperlink>
    </w:p>
    <w:p w14:paraId="0F266F27" w14:textId="77777777" w:rsidR="00A0507F" w:rsidRPr="00A608EE" w:rsidRDefault="00A0507F" w:rsidP="00EE208A">
      <w:pPr>
        <w:pStyle w:val="paragraph"/>
        <w:spacing w:before="0" w:beforeAutospacing="0" w:after="0" w:afterAutospacing="0"/>
        <w:jc w:val="both"/>
        <w:textAlignment w:val="baseline"/>
        <w:rPr>
          <w:rFonts w:asciiTheme="majorHAnsi" w:hAnsiTheme="majorHAnsi" w:cstheme="majorHAnsi"/>
          <w:sz w:val="20"/>
          <w:szCs w:val="20"/>
        </w:rPr>
      </w:pPr>
    </w:p>
    <w:p w14:paraId="6F5249E3" w14:textId="3EBFB23C" w:rsidR="00C62780" w:rsidRPr="00A608EE" w:rsidRDefault="00A0507F" w:rsidP="00EE208A">
      <w:pPr>
        <w:pStyle w:val="Heading4"/>
        <w:spacing w:before="0" w:line="240" w:lineRule="auto"/>
        <w:jc w:val="both"/>
        <w:rPr>
          <w:rStyle w:val="normaltextrun"/>
        </w:rPr>
      </w:pPr>
      <w:r w:rsidRPr="00A608EE">
        <w:rPr>
          <w:rStyle w:val="normaltextrun"/>
        </w:rPr>
        <w:t>1.A.1.</w:t>
      </w:r>
      <w:r w:rsidR="00D85EE8" w:rsidRPr="00A608EE">
        <w:rPr>
          <w:rStyle w:val="normaltextrun"/>
        </w:rPr>
        <w:t>2</w:t>
      </w:r>
      <w:r w:rsidR="00931AF8" w:rsidRPr="00A608EE">
        <w:t xml:space="preserve"> </w:t>
      </w:r>
      <w:r w:rsidR="00931AF8" w:rsidRPr="00A608EE">
        <w:rPr>
          <w:rStyle w:val="normaltextrun"/>
        </w:rPr>
        <w:t>The strategy identifies the benefits that the provider seeks to create for clients, such as</w:t>
      </w:r>
      <w:r w:rsidR="00C62780" w:rsidRPr="00A608EE">
        <w:rPr>
          <w:rStyle w:val="normaltextrun"/>
        </w:rPr>
        <w:t>:</w:t>
      </w:r>
    </w:p>
    <w:p w14:paraId="5F816B38" w14:textId="5051B4F9" w:rsidR="00931AF8" w:rsidRPr="00A608EE" w:rsidRDefault="00931AF8" w:rsidP="00A27AAA">
      <w:pPr>
        <w:pStyle w:val="Heading4"/>
        <w:numPr>
          <w:ilvl w:val="1"/>
          <w:numId w:val="79"/>
        </w:numPr>
        <w:spacing w:before="0" w:line="240" w:lineRule="auto"/>
        <w:jc w:val="both"/>
        <w:rPr>
          <w:rStyle w:val="normaltextrun"/>
          <w:sz w:val="21"/>
          <w:szCs w:val="20"/>
        </w:rPr>
      </w:pPr>
      <w:r w:rsidRPr="00A608EE">
        <w:rPr>
          <w:rStyle w:val="normaltextrun"/>
          <w:sz w:val="21"/>
          <w:szCs w:val="20"/>
        </w:rPr>
        <w:t>providing access to the previously excluded</w:t>
      </w:r>
    </w:p>
    <w:p w14:paraId="3948FF65" w14:textId="41ADB34B" w:rsidR="00931AF8" w:rsidRPr="00A608EE" w:rsidRDefault="00931AF8" w:rsidP="00A27AAA">
      <w:pPr>
        <w:pStyle w:val="Heading4"/>
        <w:numPr>
          <w:ilvl w:val="1"/>
          <w:numId w:val="79"/>
        </w:numPr>
        <w:spacing w:line="240" w:lineRule="auto"/>
        <w:jc w:val="both"/>
        <w:rPr>
          <w:rStyle w:val="normaltextrun"/>
          <w:sz w:val="21"/>
          <w:szCs w:val="20"/>
        </w:rPr>
      </w:pPr>
      <w:r w:rsidRPr="00A608EE">
        <w:rPr>
          <w:rStyle w:val="normaltextrun"/>
          <w:sz w:val="21"/>
          <w:szCs w:val="20"/>
        </w:rPr>
        <w:t>reducing vulnerability to shocks</w:t>
      </w:r>
    </w:p>
    <w:p w14:paraId="407AA021" w14:textId="3FC42AAC" w:rsidR="00931AF8" w:rsidRPr="00A608EE" w:rsidRDefault="00931AF8" w:rsidP="00A27AAA">
      <w:pPr>
        <w:pStyle w:val="Heading4"/>
        <w:numPr>
          <w:ilvl w:val="1"/>
          <w:numId w:val="79"/>
        </w:numPr>
        <w:spacing w:line="240" w:lineRule="auto"/>
        <w:jc w:val="both"/>
        <w:rPr>
          <w:rStyle w:val="normaltextrun"/>
          <w:sz w:val="21"/>
          <w:szCs w:val="20"/>
        </w:rPr>
      </w:pPr>
      <w:r w:rsidRPr="00A608EE">
        <w:rPr>
          <w:rStyle w:val="normaltextrun"/>
          <w:sz w:val="21"/>
          <w:szCs w:val="20"/>
        </w:rPr>
        <w:t>building assets / Investing in economic opportunities</w:t>
      </w:r>
    </w:p>
    <w:p w14:paraId="3B5DF50B" w14:textId="63A5EDEF" w:rsidR="00931AF8" w:rsidRPr="00A608EE" w:rsidRDefault="00931AF8" w:rsidP="00A27AAA">
      <w:pPr>
        <w:pStyle w:val="Heading4"/>
        <w:numPr>
          <w:ilvl w:val="1"/>
          <w:numId w:val="79"/>
        </w:numPr>
        <w:spacing w:line="240" w:lineRule="auto"/>
        <w:jc w:val="both"/>
        <w:rPr>
          <w:rStyle w:val="normaltextrun"/>
          <w:sz w:val="21"/>
          <w:szCs w:val="20"/>
        </w:rPr>
      </w:pPr>
      <w:r w:rsidRPr="00A608EE">
        <w:rPr>
          <w:rStyle w:val="normaltextrun"/>
          <w:sz w:val="21"/>
          <w:szCs w:val="20"/>
        </w:rPr>
        <w:t>creating jobs</w:t>
      </w:r>
    </w:p>
    <w:p w14:paraId="66F4927A" w14:textId="64384921" w:rsidR="003A0F74" w:rsidRPr="00A608EE" w:rsidRDefault="00931AF8" w:rsidP="00A27AAA">
      <w:pPr>
        <w:pStyle w:val="Heading4"/>
        <w:numPr>
          <w:ilvl w:val="1"/>
          <w:numId w:val="79"/>
        </w:numPr>
        <w:spacing w:before="0" w:line="240" w:lineRule="auto"/>
        <w:jc w:val="both"/>
        <w:rPr>
          <w:rStyle w:val="normaltextrun"/>
          <w:sz w:val="20"/>
          <w:szCs w:val="20"/>
          <w:lang w:eastAsia="es-ES_tradnl"/>
        </w:rPr>
      </w:pPr>
      <w:r w:rsidRPr="00A608EE">
        <w:rPr>
          <w:rStyle w:val="normaltextrun"/>
          <w:sz w:val="21"/>
          <w:szCs w:val="20"/>
        </w:rPr>
        <w:t>strengthening the roles of women in their household and their local community</w:t>
      </w:r>
    </w:p>
    <w:p w14:paraId="2F2A8191" w14:textId="5E5A5A57" w:rsidR="00060DD2" w:rsidRPr="00A608EE" w:rsidRDefault="004921CE" w:rsidP="00A27AAA">
      <w:pPr>
        <w:pStyle w:val="paragraph"/>
        <w:spacing w:before="240" w:beforeAutospacing="0" w:after="240" w:afterAutospacing="0"/>
        <w:jc w:val="both"/>
        <w:textAlignment w:val="baseline"/>
      </w:pPr>
      <w:r w:rsidRPr="00A608EE">
        <w:rPr>
          <w:rFonts w:ascii="Segoe UI Emoji" w:hAnsi="Segoe UI Emoji" w:cs="Segoe UI Emoji"/>
          <w:b/>
          <w:bCs/>
          <w:sz w:val="20"/>
          <w:szCs w:val="20"/>
        </w:rPr>
        <w:t>🔎</w:t>
      </w:r>
      <w:r w:rsidRPr="00A608EE">
        <w:rPr>
          <w:rStyle w:val="normaltextrun"/>
          <w:rFonts w:asciiTheme="majorHAnsi" w:hAnsiTheme="majorHAnsi"/>
          <w:b/>
          <w:bCs/>
          <w:color w:val="2145CC" w:themeColor="accent5" w:themeShade="BF"/>
          <w:sz w:val="20"/>
          <w:szCs w:val="20"/>
        </w:rPr>
        <w:t xml:space="preserve"> </w:t>
      </w:r>
      <w:r w:rsidR="00C62780" w:rsidRPr="00A608EE">
        <w:rPr>
          <w:rStyle w:val="normaltextrun"/>
          <w:rFonts w:asciiTheme="majorHAnsi" w:hAnsiTheme="majorHAnsi"/>
          <w:b/>
          <w:bCs/>
          <w:color w:val="2145CC" w:themeColor="accent5" w:themeShade="BF"/>
          <w:sz w:val="20"/>
          <w:szCs w:val="20"/>
        </w:rPr>
        <w:t>I</w:t>
      </w:r>
      <w:r w:rsidR="00C62780" w:rsidRPr="00A608EE">
        <w:rPr>
          <w:rFonts w:asciiTheme="majorHAnsi" w:hAnsiTheme="majorHAnsi"/>
          <w:b/>
          <w:bCs/>
          <w:color w:val="2145CC" w:themeColor="accent5" w:themeShade="BF"/>
          <w:sz w:val="20"/>
          <w:szCs w:val="20"/>
        </w:rPr>
        <w:t>ndicat</w:t>
      </w:r>
      <w:r w:rsidR="00075C4A" w:rsidRPr="00A608EE">
        <w:rPr>
          <w:rFonts w:asciiTheme="majorHAnsi" w:hAnsiTheme="majorHAnsi"/>
          <w:b/>
          <w:bCs/>
          <w:color w:val="2145CC" w:themeColor="accent5" w:themeShade="BF"/>
          <w:sz w:val="20"/>
          <w:szCs w:val="20"/>
        </w:rPr>
        <w:t>or in</w:t>
      </w:r>
      <w:r w:rsidR="00C62780" w:rsidRPr="00A608EE">
        <w:rPr>
          <w:rFonts w:asciiTheme="majorHAnsi" w:hAnsiTheme="majorHAnsi"/>
          <w:b/>
          <w:bCs/>
          <w:color w:val="2145CC" w:themeColor="accent5" w:themeShade="BF"/>
          <w:sz w:val="20"/>
          <w:szCs w:val="20"/>
        </w:rPr>
        <w:t xml:space="preserve"> SPI5 Entry </w:t>
      </w:r>
      <w:r w:rsidR="00440024" w:rsidRPr="00A608EE">
        <w:rPr>
          <w:rFonts w:asciiTheme="majorHAnsi" w:hAnsiTheme="majorHAnsi"/>
          <w:b/>
          <w:bCs/>
          <w:color w:val="2145CC" w:themeColor="accent5" w:themeShade="BF"/>
          <w:sz w:val="20"/>
          <w:szCs w:val="20"/>
        </w:rPr>
        <w:t xml:space="preserve">| </w:t>
      </w:r>
      <w:r w:rsidR="00C62780"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0CBFC5C7" w14:textId="7BF3BDF2" w:rsidR="00FF685E" w:rsidRPr="00A608EE" w:rsidRDefault="00A91024" w:rsidP="0048604A">
      <w:pPr>
        <w:jc w:val="both"/>
        <w:rPr>
          <w:rFonts w:asciiTheme="majorHAnsi" w:hAnsiTheme="majorHAnsi"/>
          <w:sz w:val="20"/>
          <w:szCs w:val="20"/>
          <w:lang w:eastAsia="fr-FR"/>
        </w:rPr>
      </w:pPr>
      <w:r w:rsidRPr="00A608EE">
        <w:rPr>
          <w:rFonts w:asciiTheme="majorHAnsi" w:hAnsiTheme="majorHAnsi"/>
          <w:sz w:val="20"/>
          <w:szCs w:val="20"/>
          <w:lang w:eastAsia="fr-FR"/>
        </w:rPr>
        <w:t>The Universal Standards are relevant to every financial service provider that is interested not only in profitability but also in creating benefits for clients. However, not every provider will focus on the same type of benefits. This indicator simply requires the provider to be clear about the type of benefits it is seeking to create as each type of benefit will require its own specific strategy and set of activities.</w:t>
      </w:r>
    </w:p>
    <w:p w14:paraId="682BD9CB" w14:textId="77777777" w:rsidR="00C678B0" w:rsidRPr="00A608EE" w:rsidRDefault="00C678B0" w:rsidP="0048604A">
      <w:pPr>
        <w:jc w:val="both"/>
        <w:rPr>
          <w:rFonts w:asciiTheme="majorHAnsi" w:hAnsiTheme="majorHAnsi"/>
          <w:sz w:val="20"/>
          <w:szCs w:val="20"/>
          <w:lang w:eastAsia="fr-FR"/>
        </w:rPr>
      </w:pPr>
    </w:p>
    <w:p w14:paraId="34AD7EAC" w14:textId="77777777" w:rsidR="00C678B0" w:rsidRPr="00A608EE" w:rsidRDefault="00C678B0" w:rsidP="00C678B0">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787264" behindDoc="1" locked="0" layoutInCell="1" allowOverlap="1" wp14:anchorId="7EE16ABE" wp14:editId="482BFF85">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19117475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36C4BDAE" w14:textId="77777777" w:rsidR="00C678B0" w:rsidRPr="00A608EE" w:rsidRDefault="00C678B0" w:rsidP="0048604A">
      <w:pPr>
        <w:jc w:val="both"/>
        <w:rPr>
          <w:rFonts w:asciiTheme="majorHAnsi" w:hAnsiTheme="majorHAnsi"/>
          <w:sz w:val="20"/>
          <w:szCs w:val="20"/>
          <w:lang w:eastAsia="fr-FR"/>
        </w:rPr>
      </w:pPr>
    </w:p>
    <w:p w14:paraId="39D5EA4E" w14:textId="4E901F59" w:rsidR="00C62780" w:rsidRPr="00A608EE" w:rsidRDefault="004876A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EE3122" w:rsidRPr="00A608EE">
        <w:rPr>
          <w:rFonts w:asciiTheme="majorHAnsi" w:hAnsiTheme="majorHAnsi"/>
          <w:sz w:val="20"/>
          <w:szCs w:val="20"/>
        </w:rPr>
        <w:t>The strategy identifies the benefits that the provider seeks to create for clients with disabilities, and describes how its products and services contribute to creating positive change for these clients, aligned with its social goals.</w:t>
      </w:r>
    </w:p>
    <w:p w14:paraId="09850DFD" w14:textId="3B2DA7E9" w:rsidR="00C62780" w:rsidRPr="00A608EE" w:rsidRDefault="003B5795" w:rsidP="00A27AAA">
      <w:pPr>
        <w:pStyle w:val="paragraph"/>
        <w:spacing w:before="120" w:beforeAutospacing="0" w:after="120" w:afterAutospacing="0"/>
        <w:jc w:val="both"/>
        <w:rPr>
          <w:rFonts w:asciiTheme="majorHAnsi" w:hAnsiTheme="majorHAnsi"/>
          <w:sz w:val="20"/>
          <w:szCs w:val="20"/>
        </w:rPr>
      </w:pPr>
      <w:r w:rsidRPr="00A608EE">
        <w:rPr>
          <w:rFonts w:asciiTheme="majorHAnsi" w:hAnsiTheme="majorHAnsi"/>
          <w:b/>
          <w:bCs/>
          <w:noProof/>
          <w:color w:val="5B78E4" w:themeColor="accent5"/>
          <w:sz w:val="20"/>
          <w:szCs w:val="20"/>
        </w:rPr>
        <w:lastRenderedPageBreak/>
        <mc:AlternateContent>
          <mc:Choice Requires="wps">
            <w:drawing>
              <wp:anchor distT="0" distB="0" distL="114300" distR="114300" simplePos="0" relativeHeight="251780096" behindDoc="0" locked="0" layoutInCell="1" allowOverlap="1" wp14:anchorId="351E2CEA" wp14:editId="2872AC7E">
                <wp:simplePos x="0" y="0"/>
                <wp:positionH relativeFrom="margin">
                  <wp:posOffset>1270</wp:posOffset>
                </wp:positionH>
                <wp:positionV relativeFrom="paragraph">
                  <wp:posOffset>62</wp:posOffset>
                </wp:positionV>
                <wp:extent cx="5763802" cy="3713356"/>
                <wp:effectExtent l="0" t="0" r="15240" b="8255"/>
                <wp:wrapTopAndBottom/>
                <wp:docPr id="1181203088" name="Cuadro de texto 1"/>
                <wp:cNvGraphicFramePr/>
                <a:graphic xmlns:a="http://schemas.openxmlformats.org/drawingml/2006/main">
                  <a:graphicData uri="http://schemas.microsoft.com/office/word/2010/wordprocessingShape">
                    <wps:wsp>
                      <wps:cNvSpPr txBox="1"/>
                      <wps:spPr>
                        <a:xfrm>
                          <a:off x="0" y="0"/>
                          <a:ext cx="5763802" cy="3713356"/>
                        </a:xfrm>
                        <a:prstGeom prst="rect">
                          <a:avLst/>
                        </a:prstGeom>
                        <a:noFill/>
                        <a:ln w="6350">
                          <a:solidFill>
                            <a:prstClr val="black"/>
                          </a:solidFill>
                        </a:ln>
                      </wps:spPr>
                      <wps:txbx>
                        <w:txbxContent>
                          <w:p w14:paraId="73E193CC" w14:textId="48F3AB5B" w:rsidR="00A310BA" w:rsidRPr="00820B09" w:rsidRDefault="0084416A" w:rsidP="00A310BA">
                            <w:pPr>
                              <w:pStyle w:val="paragraph"/>
                              <w:spacing w:after="0"/>
                              <w:jc w:val="both"/>
                              <w:textAlignment w:val="baseline"/>
                              <w:rPr>
                                <w:rFonts w:asciiTheme="majorHAnsi" w:hAnsiTheme="majorHAnsi"/>
                                <w:b/>
                                <w:bCs/>
                                <w:sz w:val="18"/>
                                <w:szCs w:val="18"/>
                              </w:rPr>
                            </w:pPr>
                            <w:r w:rsidRPr="00820B09">
                              <w:rPr>
                                <w:rStyle w:val="normaltextrun"/>
                                <w:rFonts w:asciiTheme="majorHAnsi" w:hAnsiTheme="majorHAnsi"/>
                                <w:b/>
                                <w:bCs/>
                                <w:sz w:val="18"/>
                                <w:szCs w:val="18"/>
                              </w:rPr>
                              <w:t xml:space="preserve">Disability Inclusion - Info Box </w:t>
                            </w:r>
                            <w:r w:rsidR="00A310BA" w:rsidRPr="00820B09">
                              <w:rPr>
                                <w:rStyle w:val="normaltextrun"/>
                                <w:rFonts w:asciiTheme="majorHAnsi" w:hAnsiTheme="majorHAnsi"/>
                                <w:b/>
                                <w:bCs/>
                                <w:sz w:val="18"/>
                                <w:szCs w:val="18"/>
                              </w:rPr>
                              <w:t xml:space="preserve">1.A.1.2 </w:t>
                            </w:r>
                          </w:p>
                          <w:p w14:paraId="2FEFEC80" w14:textId="6CF1079D" w:rsidR="00A310BA" w:rsidRPr="00820B09" w:rsidRDefault="00A310BA" w:rsidP="00A310BA">
                            <w:pPr>
                              <w:pStyle w:val="NormalWeb"/>
                              <w:rPr>
                                <w:rFonts w:asciiTheme="minorHAnsi" w:hAnsiTheme="minorHAnsi"/>
                                <w:sz w:val="20"/>
                                <w:szCs w:val="20"/>
                              </w:rPr>
                            </w:pPr>
                            <w:r w:rsidRPr="00820B09">
                              <w:rPr>
                                <w:rFonts w:asciiTheme="minorHAnsi" w:hAnsiTheme="minorHAnsi"/>
                                <w:sz w:val="20"/>
                                <w:szCs w:val="20"/>
                              </w:rPr>
                              <w:t>The disability inclusion goals that the provider adopts may reflect different levels of focus, consistent with its overall strategy:</w:t>
                            </w:r>
                          </w:p>
                          <w:p w14:paraId="2250B9DA" w14:textId="1C735742" w:rsidR="00A310BA" w:rsidRPr="00820B09" w:rsidRDefault="00A310BA" w:rsidP="00A27AAA">
                            <w:pPr>
                              <w:pStyle w:val="NormalWeb"/>
                              <w:numPr>
                                <w:ilvl w:val="0"/>
                                <w:numId w:val="417"/>
                              </w:numPr>
                              <w:rPr>
                                <w:rFonts w:asciiTheme="minorHAnsi" w:hAnsiTheme="minorHAnsi"/>
                                <w:sz w:val="20"/>
                                <w:szCs w:val="20"/>
                              </w:rPr>
                            </w:pPr>
                            <w:r w:rsidRPr="00820B09">
                              <w:rPr>
                                <w:rFonts w:asciiTheme="minorHAnsi" w:hAnsiTheme="minorHAnsi"/>
                                <w:sz w:val="20"/>
                                <w:szCs w:val="20"/>
                              </w:rPr>
                              <w:t>All providers should seek to prevent exclusion or discrimination against persons with disabilities, both as clients and as employees, ensure fair and respectful treatment of persons with disabilities, and mitigate risks associated with use of their products and services by persons with disabilities.</w:t>
                            </w:r>
                          </w:p>
                          <w:p w14:paraId="0DF6A163" w14:textId="42264CB3" w:rsidR="00A310BA" w:rsidRPr="00820B09" w:rsidRDefault="00A310BA" w:rsidP="00A27AAA">
                            <w:pPr>
                              <w:pStyle w:val="NormalWeb"/>
                              <w:numPr>
                                <w:ilvl w:val="0"/>
                                <w:numId w:val="417"/>
                              </w:numPr>
                              <w:rPr>
                                <w:rFonts w:asciiTheme="minorHAnsi" w:hAnsiTheme="minorHAnsi"/>
                                <w:sz w:val="20"/>
                                <w:szCs w:val="20"/>
                              </w:rPr>
                            </w:pPr>
                            <w:r w:rsidRPr="00820B09">
                              <w:rPr>
                                <w:rFonts w:asciiTheme="minorHAnsi" w:hAnsiTheme="minorHAnsi"/>
                                <w:sz w:val="20"/>
                                <w:szCs w:val="20"/>
                              </w:rPr>
                              <w:t>To align with human rights and social inclusion principles, providers should aim to enable equal access to their products and services for persons with disabilities within their target segments.</w:t>
                            </w:r>
                          </w:p>
                          <w:p w14:paraId="6A3BDDE3" w14:textId="1A04600E" w:rsidR="00A310BA" w:rsidRPr="00820B09" w:rsidRDefault="00A310BA" w:rsidP="00A27AAA">
                            <w:pPr>
                              <w:pStyle w:val="NormalWeb"/>
                              <w:numPr>
                                <w:ilvl w:val="0"/>
                                <w:numId w:val="417"/>
                              </w:numPr>
                              <w:rPr>
                                <w:rFonts w:asciiTheme="minorHAnsi" w:hAnsiTheme="minorHAnsi"/>
                                <w:sz w:val="20"/>
                                <w:szCs w:val="20"/>
                              </w:rPr>
                            </w:pPr>
                            <w:r w:rsidRPr="00820B09">
                              <w:rPr>
                                <w:rFonts w:asciiTheme="minorHAnsi" w:hAnsiTheme="minorHAnsi"/>
                                <w:sz w:val="20"/>
                                <w:szCs w:val="20"/>
                              </w:rPr>
                              <w:t>Providers who identify persons with disabilities as a target segment may identify specific outcomes they aim to deliver for persons with disabilities, for example:</w:t>
                            </w:r>
                          </w:p>
                          <w:p w14:paraId="4E1116C8" w14:textId="77777777" w:rsidR="00A310BA" w:rsidRPr="00820B09" w:rsidRDefault="00A310BA" w:rsidP="00A27AAA">
                            <w:pPr>
                              <w:pStyle w:val="NormalWeb"/>
                              <w:numPr>
                                <w:ilvl w:val="1"/>
                                <w:numId w:val="417"/>
                              </w:numPr>
                              <w:rPr>
                                <w:rFonts w:asciiTheme="minorHAnsi" w:hAnsiTheme="minorHAnsi"/>
                                <w:sz w:val="20"/>
                                <w:szCs w:val="20"/>
                              </w:rPr>
                            </w:pPr>
                            <w:r w:rsidRPr="00820B09">
                              <w:rPr>
                                <w:rFonts w:asciiTheme="minorHAnsi" w:hAnsiTheme="minorHAnsi"/>
                                <w:sz w:val="20"/>
                                <w:szCs w:val="20"/>
                              </w:rPr>
                              <w:t>Empowering persons with disabilities and their caregivers to overcome barriers to economic participation;</w:t>
                            </w:r>
                          </w:p>
                          <w:p w14:paraId="00A3DDD6" w14:textId="77777777" w:rsidR="00A310BA" w:rsidRPr="00820B09" w:rsidRDefault="00A310BA" w:rsidP="00A27AAA">
                            <w:pPr>
                              <w:pStyle w:val="NormalWeb"/>
                              <w:numPr>
                                <w:ilvl w:val="1"/>
                                <w:numId w:val="417"/>
                              </w:numPr>
                              <w:rPr>
                                <w:rFonts w:asciiTheme="minorHAnsi" w:hAnsiTheme="minorHAnsi"/>
                                <w:sz w:val="20"/>
                                <w:szCs w:val="20"/>
                              </w:rPr>
                            </w:pPr>
                            <w:r w:rsidRPr="00820B09">
                              <w:rPr>
                                <w:rFonts w:asciiTheme="minorHAnsi" w:hAnsiTheme="minorHAnsi"/>
                                <w:sz w:val="20"/>
                                <w:szCs w:val="20"/>
                              </w:rPr>
                              <w:t>Enhancing their financial autonomy, capabilities and wellbeing;</w:t>
                            </w:r>
                          </w:p>
                          <w:p w14:paraId="3B1DD1D7" w14:textId="126A9556" w:rsidR="00A310BA" w:rsidRPr="00820B09" w:rsidRDefault="00A310BA" w:rsidP="00A27AAA">
                            <w:pPr>
                              <w:pStyle w:val="NormalWeb"/>
                              <w:numPr>
                                <w:ilvl w:val="1"/>
                                <w:numId w:val="417"/>
                              </w:numPr>
                              <w:rPr>
                                <w:rFonts w:asciiTheme="minorHAnsi" w:hAnsiTheme="minorHAnsi"/>
                                <w:sz w:val="20"/>
                                <w:szCs w:val="20"/>
                              </w:rPr>
                            </w:pPr>
                            <w:r w:rsidRPr="00820B09">
                              <w:rPr>
                                <w:rFonts w:asciiTheme="minorHAnsi" w:hAnsiTheme="minorHAnsi"/>
                                <w:sz w:val="20"/>
                                <w:szCs w:val="20"/>
                              </w:rPr>
                              <w:t>Reducing their vulnerability to health shocks or adverse climate-related impacts.</w:t>
                            </w:r>
                          </w:p>
                          <w:p w14:paraId="0B26E7D5" w14:textId="450BF59F" w:rsidR="00754A28" w:rsidRPr="00820B09" w:rsidRDefault="00754A28" w:rsidP="00754A28">
                            <w:pPr>
                              <w:pStyle w:val="NormalWeb"/>
                              <w:rPr>
                                <w:rFonts w:asciiTheme="minorHAnsi" w:hAnsiTheme="minorHAnsi"/>
                                <w:sz w:val="20"/>
                                <w:szCs w:val="20"/>
                              </w:rPr>
                            </w:pPr>
                            <w:r w:rsidRPr="00820B09">
                              <w:rPr>
                                <w:rFonts w:asciiTheme="minorHAnsi" w:hAnsiTheme="minorHAnsi"/>
                                <w:sz w:val="20"/>
                                <w:szCs w:val="20"/>
                              </w:rPr>
                              <w:t>As part of their social strategy, FSPs may commit to a goal to advance broader social inclusion, which may be articulated in a diversity, equality and inclusion (DEI) or gender equality, disability and social inclusion (GEDSI) statement and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51E2CEA" id="_x0000_t202" coordsize="21600,21600" o:spt="202" path="m,l,21600r21600,l21600,xe">
                <v:stroke joinstyle="miter"/>
                <v:path gradientshapeok="t" o:connecttype="rect"/>
              </v:shapetype>
              <v:shape id="_x0000_s1026" type="#_x0000_t202" style="position:absolute;left:0;text-align:left;margin-left:.1pt;margin-top:0;width:453.85pt;height:292.4pt;z-index:2517800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" filled="f" strokeweight=".5pt">
                <v:textbox>
                  <w:txbxContent>
                    <w:p w14:paraId="73E193CC" w14:textId="48F3AB5B" w:rsidR="00A310BA" w:rsidRPr="00820B09" w:rsidRDefault="0084416A" w:rsidP="00A310BA">
                      <w:pPr>
                        <w:pStyle w:val="paragraph"/>
                        <w:spacing w:after="0"/>
                        <w:jc w:val="both"/>
                        <w:textAlignment w:val="baseline"/>
                        <w:rPr>
                          <w:rFonts w:asciiTheme="majorHAnsi" w:hAnsiTheme="majorHAnsi"/>
                          <w:b/>
                          <w:bCs/>
                          <w:sz w:val="18"/>
                          <w:szCs w:val="18"/>
                        </w:rPr>
                      </w:pPr>
                      <w:r w:rsidRPr="00820B09">
                        <w:rPr>
                          <w:rStyle w:val="normaltextrun"/>
                          <w:rFonts w:asciiTheme="majorHAnsi" w:hAnsiTheme="majorHAnsi"/>
                          <w:b/>
                          <w:bCs/>
                          <w:sz w:val="18"/>
                          <w:szCs w:val="18"/>
                        </w:rPr>
                        <w:t xml:space="preserve">Disability Inclusion - Info Box </w:t>
                      </w:r>
                      <w:r w:rsidR="00A310BA" w:rsidRPr="00820B09">
                        <w:rPr>
                          <w:rStyle w:val="normaltextrun"/>
                          <w:rFonts w:asciiTheme="majorHAnsi" w:hAnsiTheme="majorHAnsi"/>
                          <w:b/>
                          <w:bCs/>
                          <w:sz w:val="18"/>
                          <w:szCs w:val="18"/>
                        </w:rPr>
                        <w:t xml:space="preserve">1.A.1.2 </w:t>
                      </w:r>
                    </w:p>
                    <w:p w14:paraId="2FEFEC80" w14:textId="6CF1079D" w:rsidR="00A310BA" w:rsidRPr="00820B09" w:rsidRDefault="00A310BA" w:rsidP="00A310BA">
                      <w:pPr>
                        <w:pStyle w:val="NormalWeb"/>
                        <w:rPr>
                          <w:rFonts w:asciiTheme="minorHAnsi" w:hAnsiTheme="minorHAnsi"/>
                          <w:sz w:val="20"/>
                          <w:szCs w:val="20"/>
                        </w:rPr>
                      </w:pPr>
                      <w:r w:rsidRPr="00820B09">
                        <w:rPr>
                          <w:rFonts w:asciiTheme="minorHAnsi" w:hAnsiTheme="minorHAnsi"/>
                          <w:sz w:val="20"/>
                          <w:szCs w:val="20"/>
                        </w:rPr>
                        <w:t>The disability inclusion goals that the provider adopts may reflect different levels of focus, consistent with its overall strategy:</w:t>
                      </w:r>
                    </w:p>
                    <w:p w14:paraId="2250B9DA" w14:textId="1C735742" w:rsidR="00A310BA" w:rsidRPr="00820B09" w:rsidRDefault="00A310BA" w:rsidP="00A27AAA">
                      <w:pPr>
                        <w:pStyle w:val="NormalWeb"/>
                        <w:numPr>
                          <w:ilvl w:val="0"/>
                          <w:numId w:val="417"/>
                        </w:numPr>
                        <w:rPr>
                          <w:rFonts w:asciiTheme="minorHAnsi" w:hAnsiTheme="minorHAnsi"/>
                          <w:sz w:val="20"/>
                          <w:szCs w:val="20"/>
                        </w:rPr>
                      </w:pPr>
                      <w:r w:rsidRPr="00820B09">
                        <w:rPr>
                          <w:rFonts w:asciiTheme="minorHAnsi" w:hAnsiTheme="minorHAnsi"/>
                          <w:sz w:val="20"/>
                          <w:szCs w:val="20"/>
                        </w:rPr>
                        <w:t>All providers should seek to prevent exclusion or discrimination against persons with disabilities, both as clients and as employees, ensure fair and respectful treatment of persons with disabilities, and mitigate risks associated with use of their products and services by persons with disabilities.</w:t>
                      </w:r>
                    </w:p>
                    <w:p w14:paraId="0DF6A163" w14:textId="42264CB3" w:rsidR="00A310BA" w:rsidRPr="00820B09" w:rsidRDefault="00A310BA" w:rsidP="00A27AAA">
                      <w:pPr>
                        <w:pStyle w:val="NormalWeb"/>
                        <w:numPr>
                          <w:ilvl w:val="0"/>
                          <w:numId w:val="417"/>
                        </w:numPr>
                        <w:rPr>
                          <w:rFonts w:asciiTheme="minorHAnsi" w:hAnsiTheme="minorHAnsi"/>
                          <w:sz w:val="20"/>
                          <w:szCs w:val="20"/>
                        </w:rPr>
                      </w:pPr>
                      <w:r w:rsidRPr="00820B09">
                        <w:rPr>
                          <w:rFonts w:asciiTheme="minorHAnsi" w:hAnsiTheme="minorHAnsi"/>
                          <w:sz w:val="20"/>
                          <w:szCs w:val="20"/>
                        </w:rPr>
                        <w:t>To align with human rights and social inclusion principles, providers should aim to enable equal access to their products and services for persons with disabilities within their target segments.</w:t>
                      </w:r>
                    </w:p>
                    <w:p w14:paraId="6A3BDDE3" w14:textId="1A04600E" w:rsidR="00A310BA" w:rsidRPr="00820B09" w:rsidRDefault="00A310BA" w:rsidP="00A27AAA">
                      <w:pPr>
                        <w:pStyle w:val="NormalWeb"/>
                        <w:numPr>
                          <w:ilvl w:val="0"/>
                          <w:numId w:val="417"/>
                        </w:numPr>
                        <w:rPr>
                          <w:rFonts w:asciiTheme="minorHAnsi" w:hAnsiTheme="minorHAnsi"/>
                          <w:sz w:val="20"/>
                          <w:szCs w:val="20"/>
                        </w:rPr>
                      </w:pPr>
                      <w:r w:rsidRPr="00820B09">
                        <w:rPr>
                          <w:rFonts w:asciiTheme="minorHAnsi" w:hAnsiTheme="minorHAnsi"/>
                          <w:sz w:val="20"/>
                          <w:szCs w:val="20"/>
                        </w:rPr>
                        <w:t>Providers who identify persons with disabilities as a target segment may identify specific outcomes they aim to deliver for persons with disabilities, for example:</w:t>
                      </w:r>
                    </w:p>
                    <w:p w14:paraId="4E1116C8" w14:textId="77777777" w:rsidR="00A310BA" w:rsidRPr="00820B09" w:rsidRDefault="00A310BA" w:rsidP="00A27AAA">
                      <w:pPr>
                        <w:pStyle w:val="NormalWeb"/>
                        <w:numPr>
                          <w:ilvl w:val="1"/>
                          <w:numId w:val="417"/>
                        </w:numPr>
                        <w:rPr>
                          <w:rFonts w:asciiTheme="minorHAnsi" w:hAnsiTheme="minorHAnsi"/>
                          <w:sz w:val="20"/>
                          <w:szCs w:val="20"/>
                        </w:rPr>
                      </w:pPr>
                      <w:r w:rsidRPr="00820B09">
                        <w:rPr>
                          <w:rFonts w:asciiTheme="minorHAnsi" w:hAnsiTheme="minorHAnsi"/>
                          <w:sz w:val="20"/>
                          <w:szCs w:val="20"/>
                        </w:rPr>
                        <w:t>Empowering persons with disabilities and their caregivers to overcome barriers to economic participation;</w:t>
                      </w:r>
                    </w:p>
                    <w:p w14:paraId="00A3DDD6" w14:textId="77777777" w:rsidR="00A310BA" w:rsidRPr="00820B09" w:rsidRDefault="00A310BA" w:rsidP="00A27AAA">
                      <w:pPr>
                        <w:pStyle w:val="NormalWeb"/>
                        <w:numPr>
                          <w:ilvl w:val="1"/>
                          <w:numId w:val="417"/>
                        </w:numPr>
                        <w:rPr>
                          <w:rFonts w:asciiTheme="minorHAnsi" w:hAnsiTheme="minorHAnsi"/>
                          <w:sz w:val="20"/>
                          <w:szCs w:val="20"/>
                        </w:rPr>
                      </w:pPr>
                      <w:r w:rsidRPr="00820B09">
                        <w:rPr>
                          <w:rFonts w:asciiTheme="minorHAnsi" w:hAnsiTheme="minorHAnsi"/>
                          <w:sz w:val="20"/>
                          <w:szCs w:val="20"/>
                        </w:rPr>
                        <w:t>Enhancing their financial autonomy, capabilities and wellbeing;</w:t>
                      </w:r>
                    </w:p>
                    <w:p w14:paraId="3B1DD1D7" w14:textId="126A9556" w:rsidR="00A310BA" w:rsidRPr="00820B09" w:rsidRDefault="00A310BA" w:rsidP="00A27AAA">
                      <w:pPr>
                        <w:pStyle w:val="NormalWeb"/>
                        <w:numPr>
                          <w:ilvl w:val="1"/>
                          <w:numId w:val="417"/>
                        </w:numPr>
                        <w:rPr>
                          <w:rFonts w:asciiTheme="minorHAnsi" w:hAnsiTheme="minorHAnsi"/>
                          <w:sz w:val="20"/>
                          <w:szCs w:val="20"/>
                        </w:rPr>
                      </w:pPr>
                      <w:r w:rsidRPr="00820B09">
                        <w:rPr>
                          <w:rFonts w:asciiTheme="minorHAnsi" w:hAnsiTheme="minorHAnsi"/>
                          <w:sz w:val="20"/>
                          <w:szCs w:val="20"/>
                        </w:rPr>
                        <w:t>Reducing their vulnerability to health shocks or adverse climate-related impacts.</w:t>
                      </w:r>
                    </w:p>
                    <w:p w14:paraId="0B26E7D5" w14:textId="450BF59F" w:rsidR="00754A28" w:rsidRPr="00820B09" w:rsidRDefault="00754A28" w:rsidP="00754A28">
                      <w:pPr>
                        <w:pStyle w:val="NormalWeb"/>
                        <w:rPr>
                          <w:rFonts w:asciiTheme="minorHAnsi" w:hAnsiTheme="minorHAnsi"/>
                          <w:sz w:val="20"/>
                          <w:szCs w:val="20"/>
                        </w:rPr>
                      </w:pPr>
                      <w:r w:rsidRPr="00820B09">
                        <w:rPr>
                          <w:rFonts w:asciiTheme="minorHAnsi" w:hAnsiTheme="minorHAnsi"/>
                          <w:sz w:val="20"/>
                          <w:szCs w:val="20"/>
                        </w:rPr>
                        <w:t>As part of their social strategy, FSPs may commit to a goal to advance broader social inclusion, which may be articulated in a diversity, equality and inclusion (DEI) or gender equality, disability and social inclusion (GEDSI) statement and policy.</w:t>
                      </w:r>
                    </w:p>
                  </w:txbxContent>
                </v:textbox>
                <w10:wrap type="topAndBottom" anchorx="margin"/>
              </v:shape>
            </w:pict>
          </mc:Fallback>
        </mc:AlternateContent>
      </w:r>
      <w:r w:rsidR="00075C4A" w:rsidRPr="00A608EE">
        <w:rPr>
          <w:rFonts w:asciiTheme="majorHAnsi" w:hAnsiTheme="majorHAnsi"/>
          <w:b/>
          <w:bCs/>
          <w:sz w:val="20"/>
          <w:szCs w:val="20"/>
        </w:rPr>
        <w:t>Scoring guidance</w:t>
      </w:r>
    </w:p>
    <w:p w14:paraId="7549EAE2" w14:textId="112D77FE" w:rsidR="0063718D" w:rsidRPr="00A608EE" w:rsidRDefault="0063718D" w:rsidP="00A27AAA">
      <w:pPr>
        <w:pStyle w:val="ListParagraph"/>
        <w:numPr>
          <w:ilvl w:val="0"/>
          <w:numId w:val="43"/>
        </w:numPr>
        <w:spacing w:after="0" w:line="240" w:lineRule="auto"/>
        <w:jc w:val="both"/>
        <w:rPr>
          <w:rFonts w:eastAsia="Times New Roman" w:cs="Times New Roman"/>
          <w:szCs w:val="20"/>
          <w:lang w:eastAsia="fr-FR"/>
        </w:rPr>
      </w:pPr>
      <w:r w:rsidRPr="00A608EE">
        <w:rPr>
          <w:rFonts w:ascii="Work Sans" w:eastAsia="Times New Roman" w:hAnsi="Work Sans" w:cs="Times New Roman"/>
          <w:szCs w:val="20"/>
          <w:shd w:val="clear" w:color="auto" w:fill="FFFFFF"/>
          <w:lang w:eastAsia="fr-FR"/>
        </w:rPr>
        <w:t>Score “yes” if the provider’s strategy mentions specific types of benefits that it wishes to create for specific client segments and if the board and senior management have a clear and consistent understanding of this.</w:t>
      </w:r>
    </w:p>
    <w:p w14:paraId="0041A1FA" w14:textId="1E626D22" w:rsidR="0063718D" w:rsidRPr="00A608EE" w:rsidRDefault="0063718D" w:rsidP="00A27AAA">
      <w:pPr>
        <w:numPr>
          <w:ilvl w:val="1"/>
          <w:numId w:val="43"/>
        </w:numPr>
        <w:shd w:val="clear" w:color="auto" w:fill="FFFFFF"/>
        <w:spacing w:before="100" w:beforeAutospacing="1"/>
        <w:jc w:val="both"/>
        <w:rPr>
          <w:rFonts w:ascii="Work Sans" w:hAnsi="Work Sans"/>
          <w:sz w:val="20"/>
          <w:szCs w:val="20"/>
          <w:lang w:eastAsia="fr-FR"/>
        </w:rPr>
      </w:pPr>
      <w:r w:rsidRPr="00A608EE">
        <w:rPr>
          <w:rFonts w:ascii="Work Sans" w:hAnsi="Work Sans"/>
          <w:sz w:val="20"/>
          <w:szCs w:val="20"/>
          <w:lang w:eastAsia="fr-FR"/>
        </w:rPr>
        <w:t>Note: “Providing products and services” is not sufficient. The strategy must answer “for what?” For example: to invest in economic opportunities, to provide a safe place to save, etc.</w:t>
      </w:r>
    </w:p>
    <w:p w14:paraId="19C49136" w14:textId="2A6B5F2C" w:rsidR="0063718D" w:rsidRPr="00A608EE" w:rsidRDefault="0063718D" w:rsidP="00A27AAA">
      <w:pPr>
        <w:numPr>
          <w:ilvl w:val="0"/>
          <w:numId w:val="43"/>
        </w:numPr>
        <w:shd w:val="clear" w:color="auto" w:fill="FFFFFF"/>
        <w:spacing w:before="100" w:beforeAutospacing="1"/>
        <w:jc w:val="both"/>
        <w:rPr>
          <w:rFonts w:ascii="Work Sans" w:hAnsi="Work Sans"/>
          <w:sz w:val="20"/>
          <w:szCs w:val="20"/>
          <w:lang w:eastAsia="fr-FR"/>
        </w:rPr>
      </w:pPr>
      <w:r w:rsidRPr="00A608EE">
        <w:rPr>
          <w:rFonts w:ascii="Work Sans" w:hAnsi="Work Sans"/>
          <w:sz w:val="20"/>
          <w:szCs w:val="20"/>
          <w:lang w:eastAsia="fr-FR"/>
        </w:rPr>
        <w:t>Score “partially” if the strategy mentions some specific elements but with no reference to specific client segments and/or vague client benefits, such as “improve the quality of life” that do not specify what will improve for specific client segments.  </w:t>
      </w:r>
    </w:p>
    <w:p w14:paraId="4336B0BD" w14:textId="6CED3A94" w:rsidR="00C62780" w:rsidRPr="00A608EE" w:rsidRDefault="0063718D" w:rsidP="00A27AAA">
      <w:pPr>
        <w:numPr>
          <w:ilvl w:val="0"/>
          <w:numId w:val="43"/>
        </w:numPr>
        <w:shd w:val="clear" w:color="auto" w:fill="FFFFFF"/>
        <w:jc w:val="both"/>
        <w:rPr>
          <w:rFonts w:asciiTheme="majorHAnsi" w:hAnsiTheme="majorHAnsi"/>
          <w:sz w:val="20"/>
          <w:szCs w:val="20"/>
        </w:rPr>
      </w:pPr>
      <w:r w:rsidRPr="00A608EE">
        <w:rPr>
          <w:rFonts w:ascii="Work Sans" w:hAnsi="Work Sans"/>
          <w:sz w:val="20"/>
          <w:szCs w:val="20"/>
          <w:lang w:eastAsia="fr-FR"/>
        </w:rPr>
        <w:t>Score “no” if the strategy contains only vague benefits the provider wishes to create without reference to specific client segments or if board / senior management cannot share their view on this.</w:t>
      </w:r>
    </w:p>
    <w:p w14:paraId="11F48907" w14:textId="4D408C22" w:rsidR="00C62780" w:rsidRPr="00A608EE" w:rsidRDefault="0063718D" w:rsidP="00A27AAA">
      <w:pPr>
        <w:pStyle w:val="paragraph"/>
        <w:spacing w:before="120" w:beforeAutospacing="0" w:after="120" w:afterAutospacing="0"/>
        <w:jc w:val="both"/>
        <w:rPr>
          <w:rFonts w:asciiTheme="majorHAnsi" w:hAnsiTheme="majorHAnsi"/>
          <w:sz w:val="20"/>
          <w:szCs w:val="20"/>
        </w:rPr>
      </w:pPr>
      <w:r w:rsidRPr="00A608EE">
        <w:rPr>
          <w:rFonts w:asciiTheme="majorHAnsi" w:hAnsiTheme="majorHAnsi"/>
          <w:b/>
          <w:bCs/>
          <w:sz w:val="20"/>
          <w:szCs w:val="20"/>
        </w:rPr>
        <w:t>Sources of information</w:t>
      </w:r>
      <w:r w:rsidRPr="00A608EE">
        <w:rPr>
          <w:b/>
          <w:bCs/>
          <w:sz w:val="20"/>
          <w:szCs w:val="20"/>
        </w:rPr>
        <w:t> </w:t>
      </w:r>
      <w:r w:rsidR="00C62780" w:rsidRPr="00A608EE">
        <w:rPr>
          <w:rFonts w:asciiTheme="majorHAnsi" w:hAnsiTheme="majorHAnsi"/>
          <w:sz w:val="20"/>
          <w:szCs w:val="20"/>
        </w:rPr>
        <w:t> </w:t>
      </w:r>
    </w:p>
    <w:p w14:paraId="6EF128CF" w14:textId="0AF7AA35" w:rsidR="003B5795" w:rsidRPr="00A608EE" w:rsidRDefault="0063718D" w:rsidP="00A27AAA">
      <w:pPr>
        <w:pStyle w:val="paragraph"/>
        <w:numPr>
          <w:ilvl w:val="0"/>
          <w:numId w:val="4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Strategic plan / Business plan / provider’s website / board member/CEO interviews</w:t>
      </w:r>
    </w:p>
    <w:p w14:paraId="33A7D09D" w14:textId="53CF00FB" w:rsidR="00C62780" w:rsidRPr="00A608EE" w:rsidRDefault="0063718D" w:rsidP="00A27AAA">
      <w:pPr>
        <w:pStyle w:val="paragraph"/>
        <w:spacing w:before="120" w:beforeAutospacing="0" w:after="12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665CE95A" w14:textId="5A4956D8" w:rsidR="0063718D" w:rsidRPr="00A608EE" w:rsidRDefault="0063718D"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Search in the strategic plan and/or the business plan and the provider’s website for any mention of target clients or client segments and how they are described and identified. If not, a mission statement, if available, may offer some information about the type of clients to be served Note any mention of social goals, outcomes, impact, or benefits for clients described in the strategy. Cross-check the information identified with the understanding by a board member and the CEO.</w:t>
      </w:r>
    </w:p>
    <w:p w14:paraId="54FF47B5" w14:textId="77777777" w:rsidR="00A4513A" w:rsidRPr="00A608EE" w:rsidRDefault="00A4513A" w:rsidP="00A27AAA">
      <w:pPr>
        <w:pStyle w:val="paragraph"/>
        <w:spacing w:before="120" w:beforeAutospacing="0" w:after="120" w:afterAutospacing="0"/>
        <w:jc w:val="both"/>
        <w:rPr>
          <w:rFonts w:asciiTheme="majorHAnsi" w:hAnsiTheme="majorHAnsi"/>
          <w:b/>
          <w:bCs/>
          <w:sz w:val="20"/>
          <w:szCs w:val="20"/>
        </w:rPr>
      </w:pPr>
      <w:r w:rsidRPr="00A608EE">
        <w:rPr>
          <w:rFonts w:asciiTheme="majorHAnsi" w:hAnsiTheme="majorHAnsi"/>
          <w:b/>
          <w:bCs/>
          <w:sz w:val="20"/>
          <w:szCs w:val="20"/>
        </w:rPr>
        <w:t>Field examples / Guidance for implementation</w:t>
      </w:r>
    </w:p>
    <w:p w14:paraId="606EBE4C" w14:textId="474300F7" w:rsidR="00A4513A" w:rsidRPr="00A608EE" w:rsidRDefault="00A4513A"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The benefits you wish to provide for clients, also called your “social goals,” describe what positive changes you expect to happen with your chosen target group thanks to the use of your particular products and services. Broadly, there are two types of social goals to consider—outputs and outcomes. Your institution’s output goals describe the actions you will take to improve client well-being (e.g., trainings provided, loans made, savings products proposed). Your institution’s outcome goals describe how your clients, community, or </w:t>
      </w:r>
      <w:r w:rsidRPr="00A608EE">
        <w:rPr>
          <w:rFonts w:asciiTheme="majorHAnsi" w:hAnsiTheme="majorHAnsi"/>
          <w:sz w:val="20"/>
          <w:szCs w:val="20"/>
        </w:rPr>
        <w:lastRenderedPageBreak/>
        <w:t>environment will benefit from your products and services (e.g., improvement in business skills, increase in household assets).</w:t>
      </w:r>
    </w:p>
    <w:p w14:paraId="4D895D22" w14:textId="77777777" w:rsidR="00A4513A" w:rsidRPr="00A608EE" w:rsidRDefault="00A4513A" w:rsidP="00EE208A">
      <w:pPr>
        <w:pStyle w:val="paragraph"/>
        <w:spacing w:before="0" w:beforeAutospacing="0" w:after="0" w:afterAutospacing="0"/>
        <w:jc w:val="both"/>
        <w:rPr>
          <w:rFonts w:asciiTheme="majorHAnsi" w:hAnsiTheme="majorHAnsi"/>
          <w:sz w:val="20"/>
          <w:szCs w:val="20"/>
        </w:rPr>
      </w:pPr>
    </w:p>
    <w:p w14:paraId="138757C2" w14:textId="77777777" w:rsidR="00A4513A" w:rsidRPr="00A608EE" w:rsidRDefault="00A4513A"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It is important to be clear on whether your goals are output goals or outcome goals. Output goals are typically much easier to measure, but they provide little or no information about changes in clients’ lives. Mostly, they describe access or outreach—the number of clients who are being served with financial and non-financial services. And it is possible for clients to have increased access and also be worse off, for example, if greater access to loans leads to over-indebtedness. Measuring outcomes is more complex, because it requires the use of harder-to-measure indicators related to change, such as empowerment or increased income. However, if your social goals include creating positive change for clients or at least not harming them, then your organization should measure client outcomes too.</w:t>
      </w:r>
    </w:p>
    <w:p w14:paraId="726E57DA" w14:textId="77777777" w:rsidR="00A4513A" w:rsidRPr="00A608EE" w:rsidRDefault="00A4513A" w:rsidP="00A27AAA">
      <w:pPr>
        <w:pStyle w:val="paragraph"/>
        <w:spacing w:before="120" w:beforeAutospacing="0" w:after="120" w:afterAutospacing="0"/>
        <w:jc w:val="both"/>
        <w:textAlignment w:val="baseline"/>
        <w:rPr>
          <w:rStyle w:val="normaltextrun"/>
          <w:rFonts w:asciiTheme="majorHAnsi" w:hAnsiTheme="majorHAnsi"/>
          <w:b/>
          <w:sz w:val="20"/>
          <w:lang w:eastAsia="es-ES_tradnl"/>
        </w:rPr>
      </w:pPr>
      <w:r w:rsidRPr="00A608EE">
        <w:rPr>
          <w:rStyle w:val="normaltextrun"/>
          <w:rFonts w:asciiTheme="majorHAnsi" w:hAnsiTheme="majorHAnsi"/>
          <w:b/>
          <w:sz w:val="20"/>
        </w:rPr>
        <w:t>Resources for indicator 1.A.1.2</w:t>
      </w:r>
    </w:p>
    <w:p w14:paraId="0E2D285B" w14:textId="77777777" w:rsidR="00A4513A" w:rsidRPr="00A608EE" w:rsidRDefault="00A4513A" w:rsidP="00A27AAA">
      <w:pPr>
        <w:numPr>
          <w:ilvl w:val="0"/>
          <w:numId w:val="80"/>
        </w:numPr>
        <w:jc w:val="both"/>
        <w:rPr>
          <w:rFonts w:asciiTheme="majorHAnsi" w:eastAsia="Work Sans" w:hAnsiTheme="majorHAnsi" w:cs="Work Sans"/>
          <w:sz w:val="20"/>
          <w:szCs w:val="20"/>
        </w:rPr>
      </w:pPr>
      <w:hyperlink r:id="rId24" w:history="1">
        <w:r w:rsidRPr="00A608EE">
          <w:rPr>
            <w:rStyle w:val="Hyperlink"/>
            <w:rFonts w:asciiTheme="majorHAnsi" w:eastAsia="Work Sans" w:hAnsiTheme="majorHAnsi" w:cs="Work Sans"/>
            <w:sz w:val="20"/>
            <w:szCs w:val="20"/>
          </w:rPr>
          <w:t>Opportunity Bank Uganda example of integration of social goals into strategic activities</w:t>
        </w:r>
      </w:hyperlink>
    </w:p>
    <w:p w14:paraId="7571DCBC" w14:textId="77777777" w:rsidR="00A4513A" w:rsidRPr="00A608EE" w:rsidRDefault="00A4513A" w:rsidP="00A27AAA">
      <w:pPr>
        <w:numPr>
          <w:ilvl w:val="0"/>
          <w:numId w:val="80"/>
        </w:numPr>
        <w:jc w:val="both"/>
        <w:rPr>
          <w:rFonts w:asciiTheme="majorHAnsi" w:eastAsia="Work Sans" w:hAnsiTheme="majorHAnsi" w:cs="Work Sans"/>
          <w:sz w:val="20"/>
          <w:szCs w:val="20"/>
        </w:rPr>
      </w:pPr>
      <w:hyperlink r:id="rId25" w:history="1">
        <w:r w:rsidRPr="00A608EE">
          <w:rPr>
            <w:rStyle w:val="Hyperlink"/>
            <w:rFonts w:asciiTheme="majorHAnsi" w:eastAsia="Work Sans" w:hAnsiTheme="majorHAnsi" w:cs="Work Sans"/>
            <w:sz w:val="20"/>
            <w:szCs w:val="20"/>
          </w:rPr>
          <w:t>Strategic planning: Integrating SPM into microfinance capacity building (MSC and Imp-Act Guidance Note)</w:t>
        </w:r>
      </w:hyperlink>
    </w:p>
    <w:p w14:paraId="08D289E7" w14:textId="786295B9" w:rsidR="00060DD2" w:rsidRPr="00A608EE" w:rsidRDefault="00A4513A" w:rsidP="00A27AAA">
      <w:pPr>
        <w:numPr>
          <w:ilvl w:val="0"/>
          <w:numId w:val="80"/>
        </w:numPr>
        <w:jc w:val="both"/>
        <w:rPr>
          <w:rFonts w:asciiTheme="majorHAnsi" w:eastAsia="Work Sans" w:hAnsiTheme="majorHAnsi" w:cs="Work Sans"/>
          <w:sz w:val="20"/>
          <w:szCs w:val="20"/>
        </w:rPr>
      </w:pPr>
      <w:hyperlink r:id="rId26" w:history="1">
        <w:r w:rsidRPr="00A608EE">
          <w:rPr>
            <w:rStyle w:val="Hyperlink"/>
            <w:rFonts w:asciiTheme="majorHAnsi" w:eastAsia="Work Sans" w:hAnsiTheme="majorHAnsi" w:cs="Work Sans"/>
            <w:sz w:val="20"/>
            <w:szCs w:val="20"/>
          </w:rPr>
          <w:t>Defining Social Goals: Guidance and an Example From Komida</w:t>
        </w:r>
      </w:hyperlink>
    </w:p>
    <w:p w14:paraId="085DAC61" w14:textId="77777777" w:rsidR="00B6691F" w:rsidRPr="00A608EE" w:rsidRDefault="00B6691F" w:rsidP="00B6691F">
      <w:pPr>
        <w:jc w:val="both"/>
      </w:pPr>
    </w:p>
    <w:p w14:paraId="0E827EE1" w14:textId="77777777" w:rsidR="00B6691F" w:rsidRPr="00A608EE" w:rsidRDefault="00B6691F" w:rsidP="00B6691F">
      <w:pPr>
        <w:jc w:val="both"/>
        <w:rPr>
          <w:rFonts w:asciiTheme="majorHAnsi" w:eastAsia="Work Sans" w:hAnsiTheme="majorHAnsi" w:cs="Work Sans"/>
          <w:sz w:val="20"/>
          <w:szCs w:val="20"/>
        </w:rPr>
      </w:pPr>
    </w:p>
    <w:p w14:paraId="1606C4EB" w14:textId="77777777" w:rsidR="0074041B" w:rsidRPr="00A608EE" w:rsidRDefault="0074041B" w:rsidP="00EE208A">
      <w:pPr>
        <w:pStyle w:val="paragraph"/>
        <w:spacing w:before="0" w:beforeAutospacing="0" w:after="0" w:afterAutospacing="0"/>
        <w:jc w:val="both"/>
        <w:textAlignment w:val="baseline"/>
        <w:rPr>
          <w:rFonts w:asciiTheme="majorHAnsi" w:hAnsiTheme="majorHAnsi"/>
          <w:sz w:val="20"/>
          <w:szCs w:val="20"/>
        </w:rPr>
      </w:pPr>
    </w:p>
    <w:p w14:paraId="389B61B4" w14:textId="7E706B8D" w:rsidR="005B5953" w:rsidRPr="00A608EE" w:rsidRDefault="005B5953" w:rsidP="00EE208A">
      <w:pPr>
        <w:pStyle w:val="Heading4"/>
        <w:spacing w:before="0" w:line="240" w:lineRule="auto"/>
        <w:jc w:val="both"/>
      </w:pPr>
      <w:r w:rsidRPr="00A608EE">
        <w:t xml:space="preserve">1.A.1.4 </w:t>
      </w:r>
      <w:r w:rsidR="00B21602" w:rsidRPr="00A608EE">
        <w:t>The provider defines a “do no harm” strategy that articulates how it will mitigate the social risks connected to the use of its products and services</w:t>
      </w:r>
      <w:r w:rsidRPr="00A608EE">
        <w:t>:</w:t>
      </w:r>
    </w:p>
    <w:p w14:paraId="4759DD64" w14:textId="7D29895D" w:rsidR="005B5953" w:rsidRPr="00A608EE" w:rsidRDefault="005B5953" w:rsidP="00EE208A">
      <w:pPr>
        <w:pStyle w:val="Heading5"/>
        <w:spacing w:before="0" w:line="240" w:lineRule="auto"/>
        <w:ind w:left="708"/>
        <w:jc w:val="both"/>
        <w:rPr>
          <w:rFonts w:eastAsia="Times New Roman"/>
          <w:i/>
          <w:iCs/>
          <w:color w:val="auto"/>
          <w:szCs w:val="20"/>
          <w:lang w:eastAsia="fr-FR"/>
        </w:rPr>
      </w:pPr>
      <w:r w:rsidRPr="00A608EE">
        <w:rPr>
          <w:rFonts w:eastAsia="Times New Roman"/>
          <w:i/>
          <w:color w:val="auto"/>
          <w:szCs w:val="20"/>
        </w:rPr>
        <w:t xml:space="preserve">1.A.1.4.1 </w:t>
      </w:r>
      <w:r w:rsidR="00B21602" w:rsidRPr="00A608EE">
        <w:rPr>
          <w:rFonts w:eastAsia="Times New Roman"/>
          <w:i/>
          <w:color w:val="auto"/>
          <w:szCs w:val="20"/>
        </w:rPr>
        <w:t>Negative effects on clients and their households</w:t>
      </w:r>
    </w:p>
    <w:p w14:paraId="3657579C" w14:textId="371552DE" w:rsidR="00B42C54" w:rsidRPr="00A608EE" w:rsidRDefault="005B5953" w:rsidP="00EE208A">
      <w:pPr>
        <w:pStyle w:val="Heading5"/>
        <w:spacing w:before="0" w:line="240" w:lineRule="auto"/>
        <w:ind w:left="708"/>
        <w:jc w:val="both"/>
        <w:rPr>
          <w:rFonts w:eastAsia="Times New Roman"/>
          <w:i/>
          <w:iCs/>
          <w:color w:val="auto"/>
          <w:szCs w:val="20"/>
          <w:lang w:eastAsia="fr-FR"/>
        </w:rPr>
      </w:pPr>
      <w:r w:rsidRPr="00A608EE">
        <w:rPr>
          <w:rFonts w:eastAsia="Times New Roman"/>
          <w:i/>
          <w:color w:val="auto"/>
          <w:szCs w:val="20"/>
        </w:rPr>
        <w:t xml:space="preserve">1.A.1.4.2 </w:t>
      </w:r>
      <w:r w:rsidR="00B21602" w:rsidRPr="00A608EE">
        <w:rPr>
          <w:rFonts w:eastAsia="Times New Roman"/>
          <w:i/>
          <w:color w:val="auto"/>
          <w:szCs w:val="20"/>
        </w:rPr>
        <w:t>Human rights violations</w:t>
      </w:r>
    </w:p>
    <w:p w14:paraId="6E29DF6A" w14:textId="4A958106" w:rsidR="00844459" w:rsidRPr="00A608EE" w:rsidRDefault="005B5953" w:rsidP="00A27AAA">
      <w:pPr>
        <w:pStyle w:val="Heading5"/>
        <w:spacing w:before="0" w:line="240" w:lineRule="auto"/>
        <w:ind w:left="708"/>
        <w:jc w:val="both"/>
      </w:pPr>
      <w:r w:rsidRPr="00A608EE">
        <w:rPr>
          <w:rFonts w:eastAsia="Times New Roman"/>
          <w:i/>
          <w:color w:val="auto"/>
          <w:szCs w:val="20"/>
        </w:rPr>
        <w:t xml:space="preserve">1.A.1.4.3 </w:t>
      </w:r>
      <w:r w:rsidR="00B21602" w:rsidRPr="00A608EE">
        <w:rPr>
          <w:rFonts w:eastAsia="Times New Roman"/>
          <w:i/>
          <w:color w:val="auto"/>
          <w:szCs w:val="20"/>
        </w:rPr>
        <w:t>Corruption and bribery</w:t>
      </w:r>
    </w:p>
    <w:p w14:paraId="76FF6417" w14:textId="26CCEA45" w:rsidR="00FF685E" w:rsidRPr="00A608EE" w:rsidRDefault="004921CE" w:rsidP="00A27AAA">
      <w:pPr>
        <w:pStyle w:val="paragraph"/>
        <w:spacing w:before="240" w:beforeAutospacing="0" w:after="240" w:afterAutospacing="0"/>
        <w:ind w:right="692"/>
        <w:jc w:val="both"/>
        <w:rPr>
          <w:rFonts w:asciiTheme="majorHAnsi" w:hAnsiTheme="majorHAnsi"/>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E67E52" w:rsidRPr="00A608EE">
        <w:rPr>
          <w:rFonts w:asciiTheme="majorHAnsi" w:hAnsiTheme="majorHAnsi"/>
          <w:b/>
          <w:bCs/>
          <w:color w:val="2145CC" w:themeColor="accent5" w:themeShade="BF"/>
          <w:sz w:val="20"/>
          <w:szCs w:val="20"/>
        </w:rPr>
        <w:t>Indicat</w:t>
      </w:r>
      <w:r w:rsidR="00B21602" w:rsidRPr="00A608EE">
        <w:rPr>
          <w:rFonts w:asciiTheme="majorHAnsi" w:hAnsiTheme="majorHAnsi"/>
          <w:b/>
          <w:bCs/>
          <w:color w:val="2145CC" w:themeColor="accent5" w:themeShade="BF"/>
          <w:sz w:val="20"/>
          <w:szCs w:val="20"/>
        </w:rPr>
        <w:t>or in</w:t>
      </w:r>
      <w:r w:rsidR="00E67E52" w:rsidRPr="00A608EE">
        <w:rPr>
          <w:rFonts w:asciiTheme="majorHAnsi" w:hAnsiTheme="majorHAnsi"/>
          <w:b/>
          <w:bCs/>
          <w:color w:val="2145CC" w:themeColor="accent5" w:themeShade="BF"/>
          <w:sz w:val="20"/>
          <w:szCs w:val="20"/>
        </w:rPr>
        <w:t xml:space="preserve"> ESG Risk</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E67E52" w:rsidRPr="00A608EE">
        <w:rPr>
          <w:rFonts w:asciiTheme="majorHAnsi" w:hAnsiTheme="majorHAnsi"/>
          <w:b/>
          <w:bCs/>
          <w:color w:val="2145CC" w:themeColor="accent5" w:themeShade="BF"/>
          <w:sz w:val="20"/>
          <w:szCs w:val="20"/>
        </w:rPr>
        <w:t>ALINUS</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E67E52"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E67E52"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61886F7B" w14:textId="14CF028A" w:rsidR="00472546" w:rsidRPr="00A608EE" w:rsidRDefault="00B21602" w:rsidP="00571480">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Providing access to financial products and services - notably to credit, if the provider fails to assess loan repayment capacity adequately - can harm clients. This is especially true if providers care only about profit, but even providers who sincerely seek to create benefits for clients can create unintentional harm. To mitigate these risks, the provider should define in its strategy the protective measures it can implement to protect clients from negative outcomes related to their income/assets, stress level, well-being of themselves or other household members, human rights violations, corruption, etc.</w:t>
      </w:r>
    </w:p>
    <w:p w14:paraId="56302425" w14:textId="77777777" w:rsidR="00672763" w:rsidRPr="00A608EE" w:rsidRDefault="00672763" w:rsidP="00571480">
      <w:pPr>
        <w:pStyle w:val="paragraph"/>
        <w:spacing w:before="0" w:beforeAutospacing="0" w:after="0" w:afterAutospacing="0"/>
        <w:jc w:val="both"/>
        <w:rPr>
          <w:rFonts w:asciiTheme="majorHAnsi" w:hAnsiTheme="majorHAnsi"/>
          <w:sz w:val="20"/>
          <w:szCs w:val="20"/>
        </w:rPr>
      </w:pPr>
    </w:p>
    <w:p w14:paraId="5E51ED2E"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789312" behindDoc="1" locked="0" layoutInCell="1" allowOverlap="1" wp14:anchorId="0804DC80" wp14:editId="1D28FAD8">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13659786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0F050A0" w14:textId="77777777" w:rsidR="00672763" w:rsidRPr="00A608EE" w:rsidRDefault="00672763" w:rsidP="00571480">
      <w:pPr>
        <w:pStyle w:val="paragraph"/>
        <w:spacing w:before="0" w:beforeAutospacing="0" w:after="0" w:afterAutospacing="0"/>
        <w:jc w:val="both"/>
        <w:rPr>
          <w:rFonts w:asciiTheme="majorHAnsi" w:hAnsiTheme="majorHAnsi"/>
          <w:sz w:val="20"/>
          <w:szCs w:val="20"/>
        </w:rPr>
      </w:pPr>
    </w:p>
    <w:p w14:paraId="152A477A" w14:textId="06E635C0" w:rsidR="00FF685E" w:rsidRPr="00A608EE" w:rsidRDefault="004876A2" w:rsidP="00571480">
      <w:pPr>
        <w:pStyle w:val="paragraph"/>
        <w:spacing w:before="0" w:beforeAutospacing="0" w:after="0" w:afterAutospacing="0"/>
        <w:jc w:val="both"/>
        <w:rPr>
          <w:rStyle w:val="normaltextrun"/>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F685E" w:rsidRPr="00A608EE">
        <w:rPr>
          <w:rFonts w:asciiTheme="majorHAnsi" w:hAnsiTheme="majorHAnsi"/>
          <w:sz w:val="20"/>
          <w:szCs w:val="20"/>
        </w:rPr>
        <w:t>The provider defines a “do no harm” strategy that articulates how it will mitigate the social risks associated with the exclusion of persons with disabilities, and heightened risks experienced by persons with disabilities connected to the use of financial products and services.</w:t>
      </w:r>
      <w:r w:rsidR="00FF685E" w:rsidRPr="00A608EE">
        <w:t xml:space="preserve">  </w:t>
      </w:r>
    </w:p>
    <w:p w14:paraId="4335DA52" w14:textId="48A8AFE3" w:rsidR="00472546" w:rsidRPr="00A608EE" w:rsidRDefault="00A02AC4" w:rsidP="00EE208A">
      <w:pPr>
        <w:pStyle w:val="paragraph"/>
        <w:spacing w:before="0" w:beforeAutospacing="0" w:after="0" w:afterAutospacing="0"/>
        <w:ind w:right="690"/>
        <w:jc w:val="both"/>
        <w:rPr>
          <w:rStyle w:val="normaltextrun"/>
          <w:rFonts w:asciiTheme="majorHAnsi" w:hAnsiTheme="majorHAnsi"/>
          <w:sz w:val="20"/>
          <w:szCs w:val="20"/>
        </w:rPr>
      </w:pPr>
      <w:r w:rsidRPr="00A608EE">
        <w:rPr>
          <w:rFonts w:asciiTheme="majorHAnsi" w:hAnsiTheme="majorHAnsi"/>
          <w:noProof/>
          <w:sz w:val="20"/>
          <w:szCs w:val="20"/>
        </w:rPr>
        <w:lastRenderedPageBreak/>
        <mc:AlternateContent>
          <mc:Choice Requires="wps">
            <w:drawing>
              <wp:anchor distT="0" distB="0" distL="114300" distR="114300" simplePos="0" relativeHeight="251661312" behindDoc="1" locked="0" layoutInCell="1" allowOverlap="1" wp14:anchorId="0C1F98B0" wp14:editId="7ADC67C5">
                <wp:simplePos x="0" y="0"/>
                <wp:positionH relativeFrom="margin">
                  <wp:posOffset>3175</wp:posOffset>
                </wp:positionH>
                <wp:positionV relativeFrom="paragraph">
                  <wp:posOffset>181610</wp:posOffset>
                </wp:positionV>
                <wp:extent cx="5820410" cy="2997200"/>
                <wp:effectExtent l="0" t="0" r="8890" b="12700"/>
                <wp:wrapSquare wrapText="bothSides"/>
                <wp:docPr id="1781539682" name="Cuadro de texto 3"/>
                <wp:cNvGraphicFramePr/>
                <a:graphic xmlns:a="http://schemas.openxmlformats.org/drawingml/2006/main">
                  <a:graphicData uri="http://schemas.microsoft.com/office/word/2010/wordprocessingShape">
                    <wps:wsp>
                      <wps:cNvSpPr txBox="1"/>
                      <wps:spPr>
                        <a:xfrm>
                          <a:off x="0" y="0"/>
                          <a:ext cx="5820410" cy="2997200"/>
                        </a:xfrm>
                        <a:prstGeom prst="rect">
                          <a:avLst/>
                        </a:prstGeom>
                        <a:noFill/>
                        <a:ln w="6350">
                          <a:solidFill>
                            <a:prstClr val="black"/>
                          </a:solidFill>
                        </a:ln>
                      </wps:spPr>
                      <wps:txbx>
                        <w:txbxContent>
                          <w:p w14:paraId="34745CC3" w14:textId="02B330C4" w:rsidR="0048604A" w:rsidRPr="00820B09" w:rsidRDefault="00B53772" w:rsidP="00571480">
                            <w:pPr>
                              <w:pStyle w:val="paragraph"/>
                              <w:spacing w:after="0"/>
                              <w:ind w:right="-204"/>
                              <w:jc w:val="both"/>
                              <w:textAlignment w:val="baseline"/>
                              <w:rPr>
                                <w:rStyle w:val="normaltextrun"/>
                                <w:rFonts w:asciiTheme="majorHAnsi" w:hAnsiTheme="majorHAnsi"/>
                                <w:b/>
                                <w:bCs/>
                                <w:sz w:val="20"/>
                                <w:szCs w:val="20"/>
                              </w:rPr>
                            </w:pPr>
                            <w:r w:rsidRPr="00820B09">
                              <w:rPr>
                                <w:rFonts w:asciiTheme="majorHAnsi" w:hAnsiTheme="majorHAnsi"/>
                                <w:b/>
                                <w:bCs/>
                                <w:sz w:val="20"/>
                                <w:szCs w:val="20"/>
                              </w:rPr>
                              <w:t xml:space="preserve">Disability Inclusion – Info Box </w:t>
                            </w:r>
                            <w:r w:rsidR="00472546" w:rsidRPr="00820B09">
                              <w:rPr>
                                <w:rStyle w:val="normaltextrun"/>
                                <w:rFonts w:asciiTheme="majorHAnsi" w:hAnsiTheme="majorHAnsi"/>
                                <w:b/>
                                <w:bCs/>
                                <w:sz w:val="20"/>
                                <w:szCs w:val="20"/>
                              </w:rPr>
                              <w:t>1.A.1.4</w:t>
                            </w:r>
                          </w:p>
                          <w:p w14:paraId="6D592DF9" w14:textId="3394FA13" w:rsidR="00472546" w:rsidRPr="00820B09" w:rsidRDefault="00472546" w:rsidP="00571480">
                            <w:pPr>
                              <w:ind w:right="-204"/>
                              <w:rPr>
                                <w:rFonts w:asciiTheme="minorHAnsi" w:hAnsiTheme="minorHAnsi"/>
                                <w:sz w:val="20"/>
                                <w:szCs w:val="20"/>
                              </w:rPr>
                            </w:pPr>
                            <w:bookmarkStart w:id="11" w:name="_Hlk226823836"/>
                            <w:bookmarkStart w:id="12" w:name="_Hlk226822939"/>
                            <w:bookmarkStart w:id="13" w:name="_Hlk226822940"/>
                            <w:r w:rsidRPr="00820B09">
                              <w:rPr>
                                <w:rFonts w:asciiTheme="minorHAnsi" w:hAnsiTheme="minorHAnsi"/>
                                <w:sz w:val="20"/>
                                <w:szCs w:val="20"/>
                              </w:rPr>
                              <w:t xml:space="preserve">The provider </w:t>
                            </w:r>
                            <w:r w:rsidR="00F535A5" w:rsidRPr="00820B09">
                              <w:rPr>
                                <w:rFonts w:asciiTheme="minorHAnsi" w:hAnsiTheme="minorHAnsi"/>
                                <w:sz w:val="20"/>
                                <w:szCs w:val="20"/>
                              </w:rPr>
                              <w:t>should</w:t>
                            </w:r>
                            <w:r w:rsidRPr="00820B09">
                              <w:rPr>
                                <w:rFonts w:asciiTheme="minorHAnsi" w:hAnsiTheme="minorHAnsi"/>
                                <w:sz w:val="20"/>
                                <w:szCs w:val="20"/>
                              </w:rPr>
                              <w:t xml:space="preserve"> </w:t>
                            </w:r>
                            <w:r w:rsidR="00A91024" w:rsidRPr="00820B09">
                              <w:rPr>
                                <w:rFonts w:asciiTheme="minorHAnsi" w:hAnsiTheme="minorHAnsi"/>
                                <w:sz w:val="20"/>
                                <w:szCs w:val="20"/>
                              </w:rPr>
                              <w:t>recognize</w:t>
                            </w:r>
                            <w:r w:rsidRPr="00820B09">
                              <w:rPr>
                                <w:rFonts w:asciiTheme="minorHAnsi" w:hAnsiTheme="minorHAnsi"/>
                                <w:sz w:val="20"/>
                                <w:szCs w:val="20"/>
                              </w:rPr>
                              <w:t xml:space="preserve"> physical, digital and information inaccessibility as active exclusion, and articulate how it will ensure accessibility of its products and services to persons with disabilities. </w:t>
                            </w:r>
                            <w:r w:rsidR="00F535A5" w:rsidRPr="00820B09">
                              <w:rPr>
                                <w:rFonts w:asciiTheme="minorHAnsi" w:hAnsiTheme="minorHAnsi"/>
                                <w:sz w:val="20"/>
                                <w:szCs w:val="20"/>
                              </w:rPr>
                              <w:t>For example, t</w:t>
                            </w:r>
                            <w:r w:rsidRPr="00820B09">
                              <w:rPr>
                                <w:rFonts w:asciiTheme="minorHAnsi" w:hAnsiTheme="minorHAnsi"/>
                                <w:sz w:val="20"/>
                                <w:szCs w:val="20"/>
                              </w:rPr>
                              <w:t>he provider's 'Non-Discrimination Policy' should</w:t>
                            </w:r>
                            <w:r w:rsidR="00AF19F9" w:rsidRPr="00820B09">
                              <w:rPr>
                                <w:rFonts w:asciiTheme="minorHAnsi" w:hAnsiTheme="minorHAnsi"/>
                                <w:sz w:val="20"/>
                                <w:szCs w:val="20"/>
                              </w:rPr>
                              <w:t xml:space="preserve"> </w:t>
                            </w:r>
                            <w:r w:rsidR="007F4353" w:rsidRPr="00820B09">
                              <w:rPr>
                                <w:rFonts w:asciiTheme="minorHAnsi" w:hAnsiTheme="minorHAnsi"/>
                                <w:sz w:val="20"/>
                                <w:szCs w:val="20"/>
                              </w:rPr>
                              <w:t xml:space="preserve">prohibit discrimination against persons with disabilities, including through denial of </w:t>
                            </w:r>
                            <w:r w:rsidR="00F535A5" w:rsidRPr="00820B09">
                              <w:rPr>
                                <w:rFonts w:asciiTheme="minorHAnsi" w:hAnsiTheme="minorHAnsi"/>
                                <w:sz w:val="20"/>
                                <w:szCs w:val="20"/>
                              </w:rPr>
                              <w:t>reasonable accommodation</w:t>
                            </w:r>
                            <w:r w:rsidR="007F4353" w:rsidRPr="00820B09">
                              <w:rPr>
                                <w:rFonts w:asciiTheme="minorHAnsi" w:hAnsiTheme="minorHAnsi"/>
                                <w:sz w:val="20"/>
                                <w:szCs w:val="20"/>
                              </w:rPr>
                              <w:t xml:space="preserve">. This should </w:t>
                            </w:r>
                            <w:r w:rsidRPr="00820B09">
                              <w:rPr>
                                <w:rFonts w:asciiTheme="minorHAnsi" w:hAnsiTheme="minorHAnsi"/>
                                <w:sz w:val="20"/>
                                <w:szCs w:val="20"/>
                              </w:rPr>
                              <w:t xml:space="preserve">be reinforced by </w:t>
                            </w:r>
                            <w:r w:rsidR="007F4353" w:rsidRPr="00820B09">
                              <w:rPr>
                                <w:rFonts w:asciiTheme="minorHAnsi" w:hAnsiTheme="minorHAnsi"/>
                                <w:sz w:val="20"/>
                                <w:szCs w:val="20"/>
                              </w:rPr>
                              <w:t xml:space="preserve">processes to identify and address accessibility barriers and provide </w:t>
                            </w:r>
                            <w:r w:rsidR="00F535A5" w:rsidRPr="00820B09">
                              <w:rPr>
                                <w:rFonts w:asciiTheme="minorHAnsi" w:hAnsiTheme="minorHAnsi"/>
                                <w:sz w:val="20"/>
                                <w:szCs w:val="20"/>
                              </w:rPr>
                              <w:t>reasonable accommodation</w:t>
                            </w:r>
                            <w:r w:rsidRPr="00820B09">
                              <w:rPr>
                                <w:rFonts w:asciiTheme="minorHAnsi" w:hAnsiTheme="minorHAnsi"/>
                                <w:sz w:val="20"/>
                                <w:szCs w:val="20"/>
                              </w:rPr>
                              <w:t>.</w:t>
                            </w:r>
                            <w:r w:rsidR="00AF19F9" w:rsidRPr="00820B09">
                              <w:rPr>
                                <w:rFonts w:asciiTheme="minorHAnsi" w:hAnsiTheme="minorHAnsi"/>
                                <w:sz w:val="20"/>
                                <w:szCs w:val="20"/>
                              </w:rPr>
                              <w:t xml:space="preserve"> </w:t>
                            </w:r>
                          </w:p>
                          <w:p w14:paraId="53BD6445" w14:textId="77777777" w:rsidR="00AF19F9" w:rsidRPr="00820B09" w:rsidRDefault="00AF19F9" w:rsidP="00571480">
                            <w:pPr>
                              <w:ind w:right="-204"/>
                              <w:rPr>
                                <w:rFonts w:asciiTheme="minorHAnsi" w:hAnsiTheme="minorHAnsi"/>
                                <w:sz w:val="20"/>
                                <w:szCs w:val="20"/>
                              </w:rPr>
                            </w:pPr>
                          </w:p>
                          <w:p w14:paraId="6561D9FF" w14:textId="4A21140C" w:rsidR="00472546" w:rsidRPr="00820B09" w:rsidRDefault="00472546" w:rsidP="00571480">
                            <w:pPr>
                              <w:ind w:right="-204"/>
                              <w:jc w:val="both"/>
                              <w:rPr>
                                <w:rFonts w:asciiTheme="minorHAnsi" w:hAnsiTheme="minorHAnsi"/>
                                <w:sz w:val="20"/>
                                <w:szCs w:val="20"/>
                              </w:rPr>
                            </w:pPr>
                            <w:r w:rsidRPr="00820B09">
                              <w:rPr>
                                <w:rFonts w:asciiTheme="minorHAnsi" w:hAnsiTheme="minorHAnsi"/>
                                <w:sz w:val="20"/>
                                <w:szCs w:val="20"/>
                              </w:rPr>
                              <w:t>Persons with disabilities may be at greater risk of negative effects from using financial products</w:t>
                            </w:r>
                            <w:r w:rsidR="00EB7054" w:rsidRPr="00820B09">
                              <w:rPr>
                                <w:rFonts w:asciiTheme="minorHAnsi" w:hAnsiTheme="minorHAnsi"/>
                                <w:sz w:val="20"/>
                                <w:szCs w:val="20"/>
                              </w:rPr>
                              <w:t xml:space="preserve"> and services</w:t>
                            </w:r>
                            <w:r w:rsidRPr="00820B09">
                              <w:rPr>
                                <w:rFonts w:asciiTheme="minorHAnsi" w:hAnsiTheme="minorHAnsi"/>
                                <w:sz w:val="20"/>
                                <w:szCs w:val="20"/>
                              </w:rPr>
                              <w:t xml:space="preserve">, for example they may be more vulnerable to fraud or financial abuse, particularly if they are dependent on others to use financial products. The provider's "do no harm" </w:t>
                            </w:r>
                            <w:r w:rsidR="007F4353" w:rsidRPr="00820B09">
                              <w:rPr>
                                <w:rFonts w:asciiTheme="minorHAnsi" w:hAnsiTheme="minorHAnsi"/>
                                <w:sz w:val="20"/>
                                <w:szCs w:val="20"/>
                              </w:rPr>
                              <w:t xml:space="preserve">strategy </w:t>
                            </w:r>
                            <w:r w:rsidRPr="00820B09">
                              <w:rPr>
                                <w:rFonts w:asciiTheme="minorHAnsi" w:hAnsiTheme="minorHAnsi"/>
                                <w:sz w:val="20"/>
                                <w:szCs w:val="20"/>
                              </w:rPr>
                              <w:t xml:space="preserve">should articulate how it will </w:t>
                            </w:r>
                            <w:r w:rsidR="009A0D41" w:rsidRPr="00820B09">
                              <w:rPr>
                                <w:rFonts w:asciiTheme="minorHAnsi" w:hAnsiTheme="minorHAnsi"/>
                                <w:sz w:val="20"/>
                                <w:szCs w:val="20"/>
                              </w:rPr>
                              <w:t xml:space="preserve">identify and </w:t>
                            </w:r>
                            <w:r w:rsidRPr="00820B09">
                              <w:rPr>
                                <w:rFonts w:asciiTheme="minorHAnsi" w:hAnsiTheme="minorHAnsi"/>
                                <w:sz w:val="20"/>
                                <w:szCs w:val="20"/>
                              </w:rPr>
                              <w:t>mitigate these risks</w:t>
                            </w:r>
                            <w:r w:rsidR="009A0D41" w:rsidRPr="00820B09">
                              <w:rPr>
                                <w:rFonts w:asciiTheme="minorHAnsi" w:hAnsiTheme="minorHAnsi"/>
                                <w:sz w:val="20"/>
                                <w:szCs w:val="20"/>
                              </w:rPr>
                              <w:t xml:space="preserve"> (see indicator</w:t>
                            </w:r>
                            <w:r w:rsidR="00DF66DE" w:rsidRPr="00820B09">
                              <w:rPr>
                                <w:rFonts w:asciiTheme="minorHAnsi" w:hAnsiTheme="minorHAnsi"/>
                                <w:sz w:val="20"/>
                                <w:szCs w:val="20"/>
                              </w:rPr>
                              <w:t>s related to Dimension 4)</w:t>
                            </w:r>
                            <w:r w:rsidR="00EB7054" w:rsidRPr="00820B09">
                              <w:rPr>
                                <w:rFonts w:asciiTheme="minorHAnsi" w:hAnsiTheme="minorHAnsi"/>
                                <w:sz w:val="20"/>
                                <w:szCs w:val="20"/>
                              </w:rPr>
                              <w:t>i</w:t>
                            </w:r>
                            <w:r w:rsidRPr="00820B09">
                              <w:rPr>
                                <w:rFonts w:asciiTheme="minorHAnsi" w:hAnsiTheme="minorHAnsi"/>
                                <w:sz w:val="20"/>
                                <w:szCs w:val="20"/>
                              </w:rPr>
                              <w:t xml:space="preserve">nclude examples of measures to address </w:t>
                            </w:r>
                            <w:r w:rsidR="00EB7054" w:rsidRPr="00820B09">
                              <w:rPr>
                                <w:rFonts w:asciiTheme="minorHAnsi" w:hAnsiTheme="minorHAnsi"/>
                                <w:sz w:val="20"/>
                                <w:szCs w:val="20"/>
                              </w:rPr>
                              <w:t>them.</w:t>
                            </w:r>
                            <w:bookmarkEnd w:id="11"/>
                            <w:bookmarkEnd w:id="12"/>
                            <w:bookmarkEnd w:id="13"/>
                          </w:p>
                          <w:p w14:paraId="2D1DB5A9" w14:textId="77777777" w:rsidR="009C0DD2" w:rsidRPr="00820B09" w:rsidRDefault="009C0DD2" w:rsidP="00571480">
                            <w:pPr>
                              <w:ind w:right="-204"/>
                              <w:jc w:val="both"/>
                              <w:rPr>
                                <w:rFonts w:asciiTheme="minorHAnsi" w:hAnsiTheme="minorHAnsi"/>
                                <w:sz w:val="20"/>
                                <w:szCs w:val="20"/>
                              </w:rPr>
                            </w:pPr>
                          </w:p>
                          <w:p w14:paraId="0C85A713" w14:textId="16307388" w:rsidR="009C0DD2" w:rsidRPr="00820B09" w:rsidRDefault="009C0DD2" w:rsidP="00571480">
                            <w:pPr>
                              <w:ind w:right="-204"/>
                              <w:jc w:val="both"/>
                              <w:rPr>
                                <w:rFonts w:asciiTheme="minorHAnsi" w:hAnsiTheme="minorHAnsi"/>
                                <w:sz w:val="20"/>
                                <w:szCs w:val="20"/>
                              </w:rPr>
                            </w:pPr>
                            <w:r w:rsidRPr="00820B09">
                              <w:rPr>
                                <w:rFonts w:asciiTheme="minorHAnsi" w:hAnsiTheme="minorHAnsi"/>
                                <w:sz w:val="20"/>
                                <w:szCs w:val="20"/>
                              </w:rPr>
                              <w:t>See resources for this indicator for guidance on disability inclusion and non-discrimination 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F98B0" id="Cuadro de texto 3" o:spid="_x0000_s1027" type="#_x0000_t202" style="position:absolute;left:0;text-align:left;margin-left:.25pt;margin-top:14.3pt;width:458.3pt;height:236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" filled="f" strokeweight=".5pt">
                <v:textbox>
                  <w:txbxContent>
                    <w:p w14:paraId="34745CC3" w14:textId="02B330C4" w:rsidR="0048604A" w:rsidRPr="00820B09" w:rsidRDefault="00B53772" w:rsidP="00571480">
                      <w:pPr>
                        <w:pStyle w:val="paragraph"/>
                        <w:spacing w:after="0"/>
                        <w:ind w:right="-204"/>
                        <w:jc w:val="both"/>
                        <w:textAlignment w:val="baseline"/>
                        <w:rPr>
                          <w:rStyle w:val="normaltextrun"/>
                          <w:rFonts w:asciiTheme="majorHAnsi" w:hAnsiTheme="majorHAnsi"/>
                          <w:b/>
                          <w:bCs/>
                          <w:sz w:val="20"/>
                          <w:szCs w:val="20"/>
                        </w:rPr>
                      </w:pPr>
                      <w:r w:rsidRPr="00820B09">
                        <w:rPr>
                          <w:rFonts w:asciiTheme="majorHAnsi" w:hAnsiTheme="majorHAnsi"/>
                          <w:b/>
                          <w:bCs/>
                          <w:sz w:val="20"/>
                          <w:szCs w:val="20"/>
                        </w:rPr>
                        <w:t xml:space="preserve">Disability Inclusion – Info Box </w:t>
                      </w:r>
                      <w:r w:rsidR="00472546" w:rsidRPr="00820B09">
                        <w:rPr>
                          <w:rStyle w:val="normaltextrun"/>
                          <w:rFonts w:asciiTheme="majorHAnsi" w:hAnsiTheme="majorHAnsi"/>
                          <w:b/>
                          <w:bCs/>
                          <w:sz w:val="20"/>
                          <w:szCs w:val="20"/>
                        </w:rPr>
                        <w:t>1.A.1.4</w:t>
                      </w:r>
                    </w:p>
                    <w:p w14:paraId="6D592DF9" w14:textId="3394FA13" w:rsidR="00472546" w:rsidRPr="00820B09" w:rsidRDefault="00472546" w:rsidP="00571480">
                      <w:pPr>
                        <w:ind w:right="-204"/>
                        <w:rPr>
                          <w:rFonts w:asciiTheme="minorHAnsi" w:hAnsiTheme="minorHAnsi"/>
                          <w:sz w:val="20"/>
                          <w:szCs w:val="20"/>
                        </w:rPr>
                      </w:pPr>
                      <w:bookmarkStart w:id="14" w:name="_Hlk226823836"/>
                      <w:bookmarkStart w:id="15" w:name="_Hlk226822939"/>
                      <w:bookmarkStart w:id="16" w:name="_Hlk226822940"/>
                      <w:r w:rsidRPr="00820B09">
                        <w:rPr>
                          <w:rFonts w:asciiTheme="minorHAnsi" w:hAnsiTheme="minorHAnsi"/>
                          <w:sz w:val="20"/>
                          <w:szCs w:val="20"/>
                        </w:rPr>
                        <w:t xml:space="preserve">The provider </w:t>
                      </w:r>
                      <w:r w:rsidR="00F535A5" w:rsidRPr="00820B09">
                        <w:rPr>
                          <w:rFonts w:asciiTheme="minorHAnsi" w:hAnsiTheme="minorHAnsi"/>
                          <w:sz w:val="20"/>
                          <w:szCs w:val="20"/>
                        </w:rPr>
                        <w:t>should</w:t>
                      </w:r>
                      <w:r w:rsidRPr="00820B09">
                        <w:rPr>
                          <w:rFonts w:asciiTheme="minorHAnsi" w:hAnsiTheme="minorHAnsi"/>
                          <w:sz w:val="20"/>
                          <w:szCs w:val="20"/>
                        </w:rPr>
                        <w:t xml:space="preserve"> </w:t>
                      </w:r>
                      <w:r w:rsidR="00A91024" w:rsidRPr="00820B09">
                        <w:rPr>
                          <w:rFonts w:asciiTheme="minorHAnsi" w:hAnsiTheme="minorHAnsi"/>
                          <w:sz w:val="20"/>
                          <w:szCs w:val="20"/>
                        </w:rPr>
                        <w:t>recognize</w:t>
                      </w:r>
                      <w:r w:rsidRPr="00820B09">
                        <w:rPr>
                          <w:rFonts w:asciiTheme="minorHAnsi" w:hAnsiTheme="minorHAnsi"/>
                          <w:sz w:val="20"/>
                          <w:szCs w:val="20"/>
                        </w:rPr>
                        <w:t xml:space="preserve"> physical, digital and information inaccessibility as active exclusion, and articulate how it will ensure accessibility of its products and services to persons with disabilities. </w:t>
                      </w:r>
                      <w:r w:rsidR="00F535A5" w:rsidRPr="00820B09">
                        <w:rPr>
                          <w:rFonts w:asciiTheme="minorHAnsi" w:hAnsiTheme="minorHAnsi"/>
                          <w:sz w:val="20"/>
                          <w:szCs w:val="20"/>
                        </w:rPr>
                        <w:t>For example, t</w:t>
                      </w:r>
                      <w:r w:rsidRPr="00820B09">
                        <w:rPr>
                          <w:rFonts w:asciiTheme="minorHAnsi" w:hAnsiTheme="minorHAnsi"/>
                          <w:sz w:val="20"/>
                          <w:szCs w:val="20"/>
                        </w:rPr>
                        <w:t>he provider's 'Non-Discrimination Policy' should</w:t>
                      </w:r>
                      <w:r w:rsidR="00AF19F9" w:rsidRPr="00820B09">
                        <w:rPr>
                          <w:rFonts w:asciiTheme="minorHAnsi" w:hAnsiTheme="minorHAnsi"/>
                          <w:sz w:val="20"/>
                          <w:szCs w:val="20"/>
                        </w:rPr>
                        <w:t xml:space="preserve"> </w:t>
                      </w:r>
                      <w:r w:rsidR="007F4353" w:rsidRPr="00820B09">
                        <w:rPr>
                          <w:rFonts w:asciiTheme="minorHAnsi" w:hAnsiTheme="minorHAnsi"/>
                          <w:sz w:val="20"/>
                          <w:szCs w:val="20"/>
                        </w:rPr>
                        <w:t xml:space="preserve">prohibit discrimination against persons with disabilities, including through denial of </w:t>
                      </w:r>
                      <w:r w:rsidR="00F535A5" w:rsidRPr="00820B09">
                        <w:rPr>
                          <w:rFonts w:asciiTheme="minorHAnsi" w:hAnsiTheme="minorHAnsi"/>
                          <w:sz w:val="20"/>
                          <w:szCs w:val="20"/>
                        </w:rPr>
                        <w:t>reasonable accommodation</w:t>
                      </w:r>
                      <w:r w:rsidR="007F4353" w:rsidRPr="00820B09">
                        <w:rPr>
                          <w:rFonts w:asciiTheme="minorHAnsi" w:hAnsiTheme="minorHAnsi"/>
                          <w:sz w:val="20"/>
                          <w:szCs w:val="20"/>
                        </w:rPr>
                        <w:t xml:space="preserve">. This should </w:t>
                      </w:r>
                      <w:r w:rsidRPr="00820B09">
                        <w:rPr>
                          <w:rFonts w:asciiTheme="minorHAnsi" w:hAnsiTheme="minorHAnsi"/>
                          <w:sz w:val="20"/>
                          <w:szCs w:val="20"/>
                        </w:rPr>
                        <w:t xml:space="preserve">be reinforced by </w:t>
                      </w:r>
                      <w:r w:rsidR="007F4353" w:rsidRPr="00820B09">
                        <w:rPr>
                          <w:rFonts w:asciiTheme="minorHAnsi" w:hAnsiTheme="minorHAnsi"/>
                          <w:sz w:val="20"/>
                          <w:szCs w:val="20"/>
                        </w:rPr>
                        <w:t xml:space="preserve">processes to identify and address accessibility barriers and provide </w:t>
                      </w:r>
                      <w:r w:rsidR="00F535A5" w:rsidRPr="00820B09">
                        <w:rPr>
                          <w:rFonts w:asciiTheme="minorHAnsi" w:hAnsiTheme="minorHAnsi"/>
                          <w:sz w:val="20"/>
                          <w:szCs w:val="20"/>
                        </w:rPr>
                        <w:t>reasonable accommodation</w:t>
                      </w:r>
                      <w:r w:rsidRPr="00820B09">
                        <w:rPr>
                          <w:rFonts w:asciiTheme="minorHAnsi" w:hAnsiTheme="minorHAnsi"/>
                          <w:sz w:val="20"/>
                          <w:szCs w:val="20"/>
                        </w:rPr>
                        <w:t>.</w:t>
                      </w:r>
                      <w:r w:rsidR="00AF19F9" w:rsidRPr="00820B09">
                        <w:rPr>
                          <w:rFonts w:asciiTheme="minorHAnsi" w:hAnsiTheme="minorHAnsi"/>
                          <w:sz w:val="20"/>
                          <w:szCs w:val="20"/>
                        </w:rPr>
                        <w:t xml:space="preserve"> </w:t>
                      </w:r>
                    </w:p>
                    <w:p w14:paraId="53BD6445" w14:textId="77777777" w:rsidR="00AF19F9" w:rsidRPr="00820B09" w:rsidRDefault="00AF19F9" w:rsidP="00571480">
                      <w:pPr>
                        <w:ind w:right="-204"/>
                        <w:rPr>
                          <w:rFonts w:asciiTheme="minorHAnsi" w:hAnsiTheme="minorHAnsi"/>
                          <w:sz w:val="20"/>
                          <w:szCs w:val="20"/>
                        </w:rPr>
                      </w:pPr>
                    </w:p>
                    <w:p w14:paraId="6561D9FF" w14:textId="4A21140C" w:rsidR="00472546" w:rsidRPr="00820B09" w:rsidRDefault="00472546" w:rsidP="00571480">
                      <w:pPr>
                        <w:ind w:right="-204"/>
                        <w:jc w:val="both"/>
                        <w:rPr>
                          <w:rFonts w:asciiTheme="minorHAnsi" w:hAnsiTheme="minorHAnsi"/>
                          <w:sz w:val="20"/>
                          <w:szCs w:val="20"/>
                        </w:rPr>
                      </w:pPr>
                      <w:r w:rsidRPr="00820B09">
                        <w:rPr>
                          <w:rFonts w:asciiTheme="minorHAnsi" w:hAnsiTheme="minorHAnsi"/>
                          <w:sz w:val="20"/>
                          <w:szCs w:val="20"/>
                        </w:rPr>
                        <w:t>Persons with disabilities may be at greater risk of negative effects from using financial products</w:t>
                      </w:r>
                      <w:r w:rsidR="00EB7054" w:rsidRPr="00820B09">
                        <w:rPr>
                          <w:rFonts w:asciiTheme="minorHAnsi" w:hAnsiTheme="minorHAnsi"/>
                          <w:sz w:val="20"/>
                          <w:szCs w:val="20"/>
                        </w:rPr>
                        <w:t xml:space="preserve"> and services</w:t>
                      </w:r>
                      <w:r w:rsidRPr="00820B09">
                        <w:rPr>
                          <w:rFonts w:asciiTheme="minorHAnsi" w:hAnsiTheme="minorHAnsi"/>
                          <w:sz w:val="20"/>
                          <w:szCs w:val="20"/>
                        </w:rPr>
                        <w:t xml:space="preserve">, for example they may be more vulnerable to fraud or financial abuse, particularly if they are dependent on others to use financial products. The provider's "do no harm" </w:t>
                      </w:r>
                      <w:r w:rsidR="007F4353" w:rsidRPr="00820B09">
                        <w:rPr>
                          <w:rFonts w:asciiTheme="minorHAnsi" w:hAnsiTheme="minorHAnsi"/>
                          <w:sz w:val="20"/>
                          <w:szCs w:val="20"/>
                        </w:rPr>
                        <w:t xml:space="preserve">strategy </w:t>
                      </w:r>
                      <w:r w:rsidRPr="00820B09">
                        <w:rPr>
                          <w:rFonts w:asciiTheme="minorHAnsi" w:hAnsiTheme="minorHAnsi"/>
                          <w:sz w:val="20"/>
                          <w:szCs w:val="20"/>
                        </w:rPr>
                        <w:t xml:space="preserve">should articulate how it will </w:t>
                      </w:r>
                      <w:r w:rsidR="009A0D41" w:rsidRPr="00820B09">
                        <w:rPr>
                          <w:rFonts w:asciiTheme="minorHAnsi" w:hAnsiTheme="minorHAnsi"/>
                          <w:sz w:val="20"/>
                          <w:szCs w:val="20"/>
                        </w:rPr>
                        <w:t xml:space="preserve">identify and </w:t>
                      </w:r>
                      <w:r w:rsidRPr="00820B09">
                        <w:rPr>
                          <w:rFonts w:asciiTheme="minorHAnsi" w:hAnsiTheme="minorHAnsi"/>
                          <w:sz w:val="20"/>
                          <w:szCs w:val="20"/>
                        </w:rPr>
                        <w:t>mitigate these risks</w:t>
                      </w:r>
                      <w:r w:rsidR="009A0D41" w:rsidRPr="00820B09">
                        <w:rPr>
                          <w:rFonts w:asciiTheme="minorHAnsi" w:hAnsiTheme="minorHAnsi"/>
                          <w:sz w:val="20"/>
                          <w:szCs w:val="20"/>
                        </w:rPr>
                        <w:t xml:space="preserve"> (see indicator</w:t>
                      </w:r>
                      <w:r w:rsidR="00DF66DE" w:rsidRPr="00820B09">
                        <w:rPr>
                          <w:rFonts w:asciiTheme="minorHAnsi" w:hAnsiTheme="minorHAnsi"/>
                          <w:sz w:val="20"/>
                          <w:szCs w:val="20"/>
                        </w:rPr>
                        <w:t>s related to Dimension 4)</w:t>
                      </w:r>
                      <w:r w:rsidR="00EB7054" w:rsidRPr="00820B09">
                        <w:rPr>
                          <w:rFonts w:asciiTheme="minorHAnsi" w:hAnsiTheme="minorHAnsi"/>
                          <w:sz w:val="20"/>
                          <w:szCs w:val="20"/>
                        </w:rPr>
                        <w:t>i</w:t>
                      </w:r>
                      <w:r w:rsidRPr="00820B09">
                        <w:rPr>
                          <w:rFonts w:asciiTheme="minorHAnsi" w:hAnsiTheme="minorHAnsi"/>
                          <w:sz w:val="20"/>
                          <w:szCs w:val="20"/>
                        </w:rPr>
                        <w:t xml:space="preserve">nclude examples of measures to address </w:t>
                      </w:r>
                      <w:r w:rsidR="00EB7054" w:rsidRPr="00820B09">
                        <w:rPr>
                          <w:rFonts w:asciiTheme="minorHAnsi" w:hAnsiTheme="minorHAnsi"/>
                          <w:sz w:val="20"/>
                          <w:szCs w:val="20"/>
                        </w:rPr>
                        <w:t>them.</w:t>
                      </w:r>
                      <w:bookmarkEnd w:id="14"/>
                      <w:bookmarkEnd w:id="15"/>
                      <w:bookmarkEnd w:id="16"/>
                    </w:p>
                    <w:p w14:paraId="2D1DB5A9" w14:textId="77777777" w:rsidR="009C0DD2" w:rsidRPr="00820B09" w:rsidRDefault="009C0DD2" w:rsidP="00571480">
                      <w:pPr>
                        <w:ind w:right="-204"/>
                        <w:jc w:val="both"/>
                        <w:rPr>
                          <w:rFonts w:asciiTheme="minorHAnsi" w:hAnsiTheme="minorHAnsi"/>
                          <w:sz w:val="20"/>
                          <w:szCs w:val="20"/>
                        </w:rPr>
                      </w:pPr>
                    </w:p>
                    <w:p w14:paraId="0C85A713" w14:textId="16307388" w:rsidR="009C0DD2" w:rsidRPr="00820B09" w:rsidRDefault="009C0DD2" w:rsidP="00571480">
                      <w:pPr>
                        <w:ind w:right="-204"/>
                        <w:jc w:val="both"/>
                        <w:rPr>
                          <w:rFonts w:asciiTheme="minorHAnsi" w:hAnsiTheme="minorHAnsi"/>
                          <w:sz w:val="20"/>
                          <w:szCs w:val="20"/>
                        </w:rPr>
                      </w:pPr>
                      <w:r w:rsidRPr="00820B09">
                        <w:rPr>
                          <w:rFonts w:asciiTheme="minorHAnsi" w:hAnsiTheme="minorHAnsi"/>
                          <w:sz w:val="20"/>
                          <w:szCs w:val="20"/>
                        </w:rPr>
                        <w:t>See resources for this indicator for guidance on disability inclusion and non-discrimination policies.</w:t>
                      </w:r>
                    </w:p>
                  </w:txbxContent>
                </v:textbox>
                <w10:wrap type="square" anchorx="margin"/>
              </v:shape>
            </w:pict>
          </mc:Fallback>
        </mc:AlternateContent>
      </w:r>
    </w:p>
    <w:p w14:paraId="41A665D2" w14:textId="00809A4C" w:rsidR="00B21602" w:rsidRPr="00A608EE" w:rsidRDefault="00B21602" w:rsidP="00A27AAA">
      <w:pPr>
        <w:pStyle w:val="paragraph"/>
        <w:spacing w:before="120" w:beforeAutospacing="0" w:after="120" w:afterAutospacing="0"/>
        <w:ind w:right="692"/>
        <w:jc w:val="both"/>
        <w:rPr>
          <w:rFonts w:asciiTheme="majorHAnsi" w:hAnsiTheme="majorHAnsi"/>
          <w:b/>
          <w:bCs/>
          <w:sz w:val="20"/>
          <w:szCs w:val="20"/>
        </w:rPr>
      </w:pPr>
      <w:r w:rsidRPr="00A608EE">
        <w:rPr>
          <w:rFonts w:asciiTheme="majorHAnsi" w:hAnsiTheme="majorHAnsi"/>
          <w:b/>
          <w:bCs/>
          <w:sz w:val="20"/>
          <w:szCs w:val="20"/>
        </w:rPr>
        <w:t>Scoring guidance</w:t>
      </w:r>
      <w:r w:rsidRPr="00A608EE">
        <w:rPr>
          <w:b/>
          <w:bCs/>
          <w:sz w:val="20"/>
          <w:szCs w:val="20"/>
        </w:rPr>
        <w:t> </w:t>
      </w:r>
    </w:p>
    <w:p w14:paraId="279D0394" w14:textId="77777777" w:rsidR="00B21602" w:rsidRPr="00A608EE" w:rsidRDefault="00B21602" w:rsidP="00EE208A">
      <w:pPr>
        <w:pStyle w:val="paragraph"/>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For each subject in the details:</w:t>
      </w:r>
    </w:p>
    <w:p w14:paraId="4D9F19E2" w14:textId="0BDD67D0" w:rsidR="00B21602" w:rsidRPr="00A608EE" w:rsidRDefault="00B21602" w:rsidP="00571480">
      <w:pPr>
        <w:pStyle w:val="paragraph"/>
        <w:numPr>
          <w:ilvl w:val="0"/>
          <w:numId w:val="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strategy mentions clearly protecting the client or household from harm and how the provider is integrating these measures into its operations and if the board and senior management have a clear and consistent understanding of this. [nbsp]The provider should have a client protection policy and a conduct of conduct to that staff, managers, and board members have to abide to.</w:t>
      </w:r>
    </w:p>
    <w:p w14:paraId="6BB0DA20" w14:textId="1E85B5F3" w:rsidR="00B21602" w:rsidRPr="00A608EE" w:rsidRDefault="00B21602" w:rsidP="00571480">
      <w:pPr>
        <w:pStyle w:val="paragraph"/>
        <w:numPr>
          <w:ilvl w:val="0"/>
          <w:numId w:val="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strategy does not or not sufficiently define how it is avoiding harming clients in its strategy, but does implement activities that specifically either seek information from clients on harm they might have experienced or mitigate the risk of client harm (e.g., training staff on client protection, ethical behaviour and rules against corruption in the code of conduct, or seeking client feedback specifically on obstacles, abuse of human right or negative outcomes they have experienced) [nbsp]</w:t>
      </w:r>
    </w:p>
    <w:p w14:paraId="6EFCBF5C" w14:textId="02639BD4" w:rsidR="00B21602" w:rsidRPr="00A608EE" w:rsidRDefault="00B21602" w:rsidP="00571480">
      <w:pPr>
        <w:pStyle w:val="paragraph"/>
        <w:numPr>
          <w:ilvl w:val="0"/>
          <w:numId w:val="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strategy does not or very insufficiently spell out on how to avoid harming clients and no activities implemented by the provider directly relate to reducing risk of clients’ experiencing harm or if board / senior management cannot share their view on this</w:t>
      </w:r>
    </w:p>
    <w:p w14:paraId="3302A641" w14:textId="77777777" w:rsidR="00B21602" w:rsidRPr="00A608EE" w:rsidRDefault="00B21602" w:rsidP="00A27AAA">
      <w:pPr>
        <w:pStyle w:val="paragraph"/>
        <w:spacing w:before="120" w:beforeAutospacing="0" w:after="120" w:afterAutospacing="0"/>
        <w:ind w:right="692"/>
        <w:jc w:val="both"/>
        <w:rPr>
          <w:rFonts w:asciiTheme="majorHAnsi" w:hAnsiTheme="majorHAnsi"/>
          <w:b/>
          <w:bCs/>
          <w:sz w:val="20"/>
          <w:szCs w:val="20"/>
        </w:rPr>
      </w:pPr>
      <w:r w:rsidRPr="00A608EE">
        <w:rPr>
          <w:rFonts w:asciiTheme="majorHAnsi" w:hAnsiTheme="majorHAnsi"/>
          <w:b/>
          <w:bCs/>
          <w:sz w:val="20"/>
          <w:szCs w:val="20"/>
        </w:rPr>
        <w:t>Sources of information</w:t>
      </w:r>
      <w:r w:rsidRPr="00A608EE">
        <w:rPr>
          <w:b/>
          <w:bCs/>
          <w:sz w:val="20"/>
          <w:szCs w:val="20"/>
        </w:rPr>
        <w:t> </w:t>
      </w:r>
    </w:p>
    <w:p w14:paraId="07B0EAA0" w14:textId="6D502BF3" w:rsidR="00B21602" w:rsidRPr="00A608EE" w:rsidRDefault="00B21602" w:rsidP="00A27AAA">
      <w:pPr>
        <w:pStyle w:val="paragraph"/>
        <w:numPr>
          <w:ilvl w:val="0"/>
          <w:numId w:val="77"/>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Strategic plan</w:t>
      </w:r>
    </w:p>
    <w:p w14:paraId="2925BBE4" w14:textId="55C041FF" w:rsidR="00B21602" w:rsidRPr="00A608EE" w:rsidRDefault="00B21602" w:rsidP="00A27AAA">
      <w:pPr>
        <w:pStyle w:val="paragraph"/>
        <w:numPr>
          <w:ilvl w:val="0"/>
          <w:numId w:val="77"/>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Board minutes</w:t>
      </w:r>
    </w:p>
    <w:p w14:paraId="27A5E369" w14:textId="4BB0C1B5" w:rsidR="00B21602" w:rsidRPr="00A608EE" w:rsidRDefault="00B21602" w:rsidP="00A27AAA">
      <w:pPr>
        <w:pStyle w:val="paragraph"/>
        <w:numPr>
          <w:ilvl w:val="0"/>
          <w:numId w:val="77"/>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Reports on client complaints</w:t>
      </w:r>
    </w:p>
    <w:p w14:paraId="2211F4DC" w14:textId="57041013" w:rsidR="00B21602" w:rsidRPr="00A608EE" w:rsidRDefault="00B21602" w:rsidP="00A27AAA">
      <w:pPr>
        <w:pStyle w:val="paragraph"/>
        <w:numPr>
          <w:ilvl w:val="0"/>
          <w:numId w:val="77"/>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Code of conduct and related trainings</w:t>
      </w:r>
    </w:p>
    <w:p w14:paraId="25EB5ADD" w14:textId="51E98224" w:rsidR="00B21602" w:rsidRPr="00A608EE" w:rsidRDefault="00B21602" w:rsidP="00A27AAA">
      <w:pPr>
        <w:pStyle w:val="paragraph"/>
        <w:numPr>
          <w:ilvl w:val="0"/>
          <w:numId w:val="77"/>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Client satisfaction surveys, data from the complaint's mechanism</w:t>
      </w:r>
    </w:p>
    <w:p w14:paraId="510999F0" w14:textId="063285BC" w:rsidR="00B21602" w:rsidRPr="00A608EE" w:rsidRDefault="00B21602" w:rsidP="00A27AAA">
      <w:pPr>
        <w:pStyle w:val="paragraph"/>
        <w:numPr>
          <w:ilvl w:val="0"/>
          <w:numId w:val="77"/>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Client outcomes data</w:t>
      </w:r>
    </w:p>
    <w:p w14:paraId="54E4D9E2" w14:textId="5B412AED" w:rsidR="00B21602" w:rsidRPr="00A608EE" w:rsidRDefault="00B21602" w:rsidP="00A27AAA">
      <w:pPr>
        <w:pStyle w:val="paragraph"/>
        <w:numPr>
          <w:ilvl w:val="0"/>
          <w:numId w:val="77"/>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Board member/ CEO interviews</w:t>
      </w:r>
    </w:p>
    <w:p w14:paraId="01032AF3" w14:textId="03263289" w:rsidR="00E67E52" w:rsidRPr="00A608EE" w:rsidRDefault="00B21602" w:rsidP="00A27AAA">
      <w:pPr>
        <w:pStyle w:val="paragraph"/>
        <w:spacing w:before="120" w:beforeAutospacing="0" w:after="120" w:afterAutospacing="0"/>
        <w:ind w:right="692"/>
        <w:jc w:val="both"/>
        <w:rPr>
          <w:rFonts w:asciiTheme="majorHAnsi" w:hAnsiTheme="majorHAnsi"/>
          <w:sz w:val="20"/>
          <w:szCs w:val="20"/>
        </w:rPr>
      </w:pPr>
      <w:r w:rsidRPr="00A608EE">
        <w:rPr>
          <w:rFonts w:asciiTheme="majorHAnsi" w:hAnsiTheme="majorHAnsi"/>
          <w:b/>
          <w:bCs/>
          <w:sz w:val="20"/>
          <w:szCs w:val="20"/>
        </w:rPr>
        <w:t>Evidence to provide</w:t>
      </w:r>
    </w:p>
    <w:p w14:paraId="154A9321" w14:textId="77777777" w:rsidR="00B21602" w:rsidRPr="00A608EE" w:rsidRDefault="00B21602" w:rsidP="00571480">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Read the strategic plan, board minutes, and reports that management and/or the board read related to client complaints and client satisfaction. Analyze client outcomes data collected by the provider. Note any evidence of steps taken in advance to avoid harm related for example to over-indebtedness, fraud, violations of data privacy, theft due to insufficient cybersecurity (refer to 4D), but also child labor and domestic violence. Note also the mechanisms implemented to identify harm when it has occurred and to take corrective action. Cross-check the information identified with the understanding by a board member and the CEO.</w:t>
      </w:r>
    </w:p>
    <w:p w14:paraId="3AA86500" w14:textId="11DE3958" w:rsidR="00E67E52" w:rsidRPr="00A608EE" w:rsidRDefault="00E67E52" w:rsidP="00EE208A">
      <w:pPr>
        <w:pStyle w:val="paragraph"/>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lastRenderedPageBreak/>
        <w:t> </w:t>
      </w:r>
    </w:p>
    <w:p w14:paraId="6937728F" w14:textId="0E76C796" w:rsidR="00E67E52" w:rsidRPr="00A608EE" w:rsidRDefault="00E67E52" w:rsidP="00571480">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w:t>
      </w:r>
      <w:r w:rsidR="00D555FE" w:rsidRPr="00A608EE">
        <w:rPr>
          <w:rFonts w:asciiTheme="majorHAnsi" w:hAnsiTheme="majorHAnsi"/>
          <w:sz w:val="20"/>
          <w:szCs w:val="20"/>
          <w:u w:val="single"/>
        </w:rPr>
        <w:t>e</w:t>
      </w:r>
      <w:r w:rsidRPr="00A608EE">
        <w:rPr>
          <w:rFonts w:asciiTheme="majorHAnsi" w:hAnsiTheme="majorHAnsi"/>
          <w:sz w:val="20"/>
          <w:szCs w:val="20"/>
          <w:u w:val="single"/>
        </w:rPr>
        <w:t>tail 1A142</w:t>
      </w:r>
      <w:r w:rsidRPr="00A608EE">
        <w:rPr>
          <w:rFonts w:asciiTheme="majorHAnsi" w:hAnsiTheme="majorHAnsi"/>
          <w:sz w:val="20"/>
          <w:szCs w:val="20"/>
        </w:rPr>
        <w:t xml:space="preserve">: </w:t>
      </w:r>
      <w:r w:rsidR="003C7066" w:rsidRPr="00A608EE">
        <w:rPr>
          <w:rFonts w:asciiTheme="majorHAnsi" w:hAnsiTheme="majorHAnsi"/>
          <w:sz w:val="20"/>
          <w:szCs w:val="20"/>
        </w:rPr>
        <w:t>Describe the strategy to avoid adverse impacts on human rights. If there is no explicit commitment or strategy, check if there are major gaps with regards to the relevant indicators of 2.A.3, 2.B.2, 3.B.3, 4.A.1, 4.B.1, 4.C.1, 4.C.3, 4.D.1 and 4.E.1 and/or non-compliances with national client protection laws (if these exist and are robust).</w:t>
      </w:r>
    </w:p>
    <w:p w14:paraId="0F32D5AF" w14:textId="77777777" w:rsidR="00E67E52" w:rsidRPr="00A608EE" w:rsidRDefault="00E67E52" w:rsidP="00571480">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 </w:t>
      </w:r>
    </w:p>
    <w:p w14:paraId="2C3C461C" w14:textId="068098E9" w:rsidR="00E67E52" w:rsidRPr="00A608EE" w:rsidRDefault="00E67E52" w:rsidP="00571480">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w:t>
      </w:r>
      <w:r w:rsidR="00D555FE" w:rsidRPr="00A608EE">
        <w:rPr>
          <w:rFonts w:asciiTheme="majorHAnsi" w:hAnsiTheme="majorHAnsi"/>
          <w:sz w:val="20"/>
          <w:szCs w:val="20"/>
          <w:u w:val="single"/>
        </w:rPr>
        <w:t>e</w:t>
      </w:r>
      <w:r w:rsidRPr="00A608EE">
        <w:rPr>
          <w:rFonts w:asciiTheme="majorHAnsi" w:hAnsiTheme="majorHAnsi"/>
          <w:sz w:val="20"/>
          <w:szCs w:val="20"/>
          <w:u w:val="single"/>
        </w:rPr>
        <w:t>tail 1A143</w:t>
      </w:r>
      <w:r w:rsidRPr="00A608EE">
        <w:rPr>
          <w:rFonts w:asciiTheme="majorHAnsi" w:hAnsiTheme="majorHAnsi"/>
          <w:sz w:val="20"/>
          <w:szCs w:val="20"/>
        </w:rPr>
        <w:t xml:space="preserve">: </w:t>
      </w:r>
      <w:r w:rsidR="003C7066" w:rsidRPr="00A608EE">
        <w:rPr>
          <w:rFonts w:asciiTheme="majorHAnsi" w:hAnsiTheme="majorHAnsi"/>
          <w:sz w:val="20"/>
          <w:szCs w:val="20"/>
        </w:rPr>
        <w:t>Financial Service Providers (regulated and unregulated) are supervised by national authorities according to national AML/FT law. Check if the provider has appropriate anti-money laundering systems and policies (this is also part of the KYC/Know Your Client check) in place to comply with regulatory provisions (e.g. screening of controversial transactions and borrowers in sanctions list or PEP/Political Exposed Person identification) or also internal controls to prevent corruption and bribery from employees (e.g. misappropriation of assets, frauds).</w:t>
      </w:r>
    </w:p>
    <w:p w14:paraId="2426CE9C" w14:textId="342BFBF6" w:rsidR="003C7066" w:rsidRPr="00A608EE" w:rsidRDefault="00E67E52" w:rsidP="00A27AAA">
      <w:pPr>
        <w:pStyle w:val="paragraph"/>
        <w:spacing w:before="120" w:beforeAutospacing="0" w:after="120" w:afterAutospacing="0"/>
        <w:ind w:right="692"/>
        <w:jc w:val="both"/>
        <w:rPr>
          <w:rFonts w:asciiTheme="majorHAnsi" w:hAnsiTheme="majorHAnsi"/>
          <w:b/>
          <w:bCs/>
          <w:sz w:val="20"/>
          <w:szCs w:val="20"/>
        </w:rPr>
      </w:pPr>
      <w:r w:rsidRPr="00A608EE">
        <w:rPr>
          <w:sz w:val="20"/>
          <w:szCs w:val="20"/>
        </w:rPr>
        <w:t> </w:t>
      </w:r>
      <w:r w:rsidR="003C7066" w:rsidRPr="00A608EE">
        <w:rPr>
          <w:rFonts w:asciiTheme="majorHAnsi" w:hAnsiTheme="majorHAnsi"/>
          <w:b/>
          <w:bCs/>
          <w:sz w:val="20"/>
          <w:szCs w:val="20"/>
        </w:rPr>
        <w:t>Field examples / Guidance for implementation</w:t>
      </w:r>
      <w:r w:rsidR="003C7066" w:rsidRPr="00A608EE">
        <w:rPr>
          <w:b/>
          <w:bCs/>
          <w:sz w:val="20"/>
          <w:szCs w:val="20"/>
        </w:rPr>
        <w:t> </w:t>
      </w:r>
    </w:p>
    <w:p w14:paraId="7FD0FDC6" w14:textId="77777777" w:rsidR="003C7066" w:rsidRPr="00A608EE" w:rsidRDefault="003C7066" w:rsidP="00571480">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risk of unintended harm is linked to providing financial services (notably to credit), and even greater when clients are poor or vulnerable, because often they are not as able as others to understand terms and conditions, to advocate for their rights, to recognize and avoid fraud, or even to distinguish among various product offerings to select the one best adapted to their needs.</w:t>
      </w:r>
    </w:p>
    <w:p w14:paraId="22C356E7" w14:textId="77777777" w:rsidR="003C7066" w:rsidRPr="00A608EE" w:rsidRDefault="003C7066" w:rsidP="00571480">
      <w:pPr>
        <w:pStyle w:val="paragraph"/>
        <w:spacing w:before="0" w:beforeAutospacing="0" w:after="0" w:afterAutospacing="0"/>
        <w:jc w:val="both"/>
        <w:rPr>
          <w:rFonts w:asciiTheme="majorHAnsi" w:hAnsiTheme="majorHAnsi"/>
          <w:sz w:val="20"/>
          <w:szCs w:val="20"/>
        </w:rPr>
      </w:pPr>
    </w:p>
    <w:p w14:paraId="0FA4A399" w14:textId="77777777" w:rsidR="003C7066" w:rsidRPr="00A608EE" w:rsidRDefault="003C7066" w:rsidP="00571480">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Evidence shows that the types of harm that clients have experienced due to use of financial products and services include over-indebtedness, loss of productive assets, loss of funds due to corrupt employees or agents, loss of funds due to fraud, abusive land seizure, abusive detention in case of default of payment, bribery, increased child labor, gender-based violence, reduced access (for example, if non-repayment of a loan leads to blacklisting), depression, and stress.</w:t>
      </w:r>
      <w:r w:rsidRPr="00A608EE">
        <w:rPr>
          <w:rFonts w:asciiTheme="majorHAnsi" w:hAnsiTheme="majorHAnsi"/>
          <w:sz w:val="20"/>
          <w:szCs w:val="20"/>
        </w:rPr>
        <w:br/>
      </w:r>
      <w:r w:rsidRPr="00A608EE">
        <w:rPr>
          <w:rFonts w:asciiTheme="majorHAnsi" w:hAnsiTheme="majorHAnsi"/>
          <w:sz w:val="20"/>
          <w:szCs w:val="20"/>
        </w:rPr>
        <w:br/>
        <w:t>Human rights violations occur when actions of actors violate, ignore or deny basic human rights (including civil, political, cultural, social and economic rights). Corruption includes practices such as bribery, facilitation payments, fraud, extortion, collusion, and money laundering. It also includes an offer or receipt of any gift, loan, fee, reward, or other advantage to or from any person as an inducement to do something that is dishonest, illegal, or a breach of trust in the conduct of the enterprise’s business. This can include cash or in-kind benefits, such as free goods, gifts, and holidays, or special personal services provided for the purpose of an improper advantage, or that can result in moral pressure to receive such an advantage.</w:t>
      </w:r>
    </w:p>
    <w:p w14:paraId="5CEEC486" w14:textId="77777777" w:rsidR="00B648A5" w:rsidRPr="00A608EE" w:rsidRDefault="00B648A5" w:rsidP="00EE208A">
      <w:pPr>
        <w:pStyle w:val="paragraph"/>
        <w:spacing w:before="0" w:beforeAutospacing="0" w:after="0" w:afterAutospacing="0"/>
        <w:ind w:right="690"/>
        <w:jc w:val="both"/>
        <w:textAlignment w:val="baseline"/>
        <w:rPr>
          <w:rStyle w:val="eop"/>
          <w:rFonts w:asciiTheme="majorHAnsi" w:hAnsiTheme="majorHAnsi"/>
          <w:sz w:val="20"/>
          <w:szCs w:val="20"/>
        </w:rPr>
      </w:pPr>
    </w:p>
    <w:tbl>
      <w:tblPr>
        <w:tblStyle w:val="TableGrid"/>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tblGrid>
      <w:tr w:rsidR="003A0F74" w:rsidRPr="00A608EE" w14:paraId="575C8832" w14:textId="77777777" w:rsidTr="00B648A5">
        <w:tc>
          <w:tcPr>
            <w:tcW w:w="8505" w:type="dxa"/>
          </w:tcPr>
          <w:p w14:paraId="1858065E" w14:textId="54A2250A" w:rsidR="00B51D61" w:rsidRPr="00A608EE" w:rsidRDefault="003C7066" w:rsidP="00EE208A">
            <w:pPr>
              <w:pStyle w:val="paragraph"/>
              <w:spacing w:before="0" w:beforeAutospacing="0" w:after="0" w:afterAutospacing="0"/>
              <w:jc w:val="both"/>
              <w:textAlignment w:val="baseline"/>
              <w:rPr>
                <w:rStyle w:val="normaltextrun"/>
                <w:rFonts w:asciiTheme="majorHAnsi" w:hAnsiTheme="majorHAnsi"/>
                <w:b/>
                <w:i/>
                <w:iCs/>
                <w:color w:val="2A3049" w:themeColor="text1"/>
                <w:sz w:val="20"/>
                <w:szCs w:val="20"/>
              </w:rPr>
            </w:pPr>
            <w:r w:rsidRPr="00A608EE">
              <w:rPr>
                <w:rStyle w:val="normaltextrun"/>
                <w:rFonts w:asciiTheme="majorHAnsi" w:hAnsiTheme="majorHAnsi"/>
                <w:b/>
                <w:i/>
                <w:iCs/>
                <w:color w:val="2A3049" w:themeColor="text1"/>
                <w:sz w:val="20"/>
                <w:szCs w:val="20"/>
              </w:rPr>
              <w:t>OECD MNE Guidance</w:t>
            </w:r>
            <w:r w:rsidR="00B51D61" w:rsidRPr="00A608EE">
              <w:rPr>
                <w:rStyle w:val="normaltextrun"/>
                <w:rFonts w:asciiTheme="majorHAnsi" w:hAnsiTheme="majorHAnsi"/>
                <w:b/>
                <w:i/>
                <w:iCs/>
                <w:color w:val="2A3049" w:themeColor="text1"/>
                <w:sz w:val="20"/>
                <w:szCs w:val="20"/>
              </w:rPr>
              <w:t xml:space="preserve">:  </w:t>
            </w:r>
          </w:p>
          <w:p w14:paraId="25B30077" w14:textId="3EBAF0C3" w:rsidR="003C7066" w:rsidRPr="00A608EE" w:rsidRDefault="003C7066" w:rsidP="00EE208A">
            <w:pPr>
              <w:pStyle w:val="paragraph"/>
              <w:spacing w:before="0" w:beforeAutospacing="0" w:after="0" w:afterAutospacing="0"/>
              <w:jc w:val="both"/>
              <w:textAlignment w:val="baseline"/>
              <w:rPr>
                <w:rStyle w:val="normaltextrun"/>
                <w:rFonts w:asciiTheme="majorHAnsi" w:hAnsiTheme="majorHAnsi"/>
                <w:bCs/>
                <w:i/>
                <w:iCs/>
                <w:color w:val="2A3049" w:themeColor="text1"/>
                <w:sz w:val="20"/>
                <w:szCs w:val="20"/>
              </w:rPr>
            </w:pPr>
            <w:r w:rsidRPr="00A608EE">
              <w:rPr>
                <w:rStyle w:val="normaltextrun"/>
                <w:rFonts w:asciiTheme="majorHAnsi" w:hAnsiTheme="majorHAnsi"/>
                <w:bCs/>
                <w:i/>
                <w:iCs/>
                <w:color w:val="2A3049" w:themeColor="text1"/>
                <w:sz w:val="20"/>
                <w:szCs w:val="20"/>
              </w:rPr>
              <w:t xml:space="preserve">Develop and adopt adequate internal controls, ethics and compliance programs or measures for preventing and detecting bribery, developed on the basis of a risk assessment addressing the individual circumstances of an enterprise, in particular the bribery risks facing the enterprise (such as its geographical and industrial sector of operation). These internal controls, ethics and compliance programs or measures should include a system of financial and accounting procedures, including a system of internal controls, reasonably designed to ensure the maintenance of fair and accurate books, records, and accounts, to ensure that they cannot be used for the purpose of bribing or hiding bribery. Such individual circumstances and bribery risks should be regularly monitored and re-assessed as necessary to ensure the enterprise’s internal controls, ethics and compliance program or measures are adapted and continue to be effective, and to mitigate the risk of enterprises becoming complicit in bribery, bribe solicitation and extortion.  </w:t>
            </w:r>
          </w:p>
          <w:p w14:paraId="5C983CAC" w14:textId="5F258DBA" w:rsidR="00B648A5" w:rsidRPr="00A608EE" w:rsidRDefault="003C7066" w:rsidP="00EE208A">
            <w:pPr>
              <w:pStyle w:val="paragraph"/>
              <w:spacing w:before="0" w:beforeAutospacing="0" w:after="0" w:afterAutospacing="0"/>
              <w:jc w:val="both"/>
              <w:textAlignment w:val="baseline"/>
              <w:rPr>
                <w:rFonts w:asciiTheme="majorHAnsi" w:hAnsiTheme="majorHAnsi"/>
                <w:bCs/>
                <w:i/>
                <w:iCs/>
                <w:color w:val="5F5F5F"/>
                <w:sz w:val="20"/>
                <w:szCs w:val="20"/>
              </w:rPr>
            </w:pPr>
            <w:r w:rsidRPr="00A608EE">
              <w:rPr>
                <w:rStyle w:val="normaltextrun"/>
                <w:rFonts w:asciiTheme="majorHAnsi" w:hAnsiTheme="majorHAnsi"/>
                <w:bCs/>
                <w:i/>
                <w:iCs/>
                <w:color w:val="2A3049" w:themeColor="text1"/>
                <w:sz w:val="20"/>
                <w:szCs w:val="20"/>
              </w:rPr>
              <w:t xml:space="preserve">Prohibit or discourage, in internal company controls, ethics and compliance programs or measures, the use of small facilitation payments, which are generally illegal in the countries where they are made, and, when such payments are made, accurately record these in books and financial records. making public commitments against bribery, bribe solicitation and extortion, and disclosing the management systems and the internal controls, ethics and compliance programs or measures adopted by enterprises in order to honor these commitments. Enterprises should also foster </w:t>
            </w:r>
            <w:r w:rsidRPr="00A608EE">
              <w:rPr>
                <w:rStyle w:val="normaltextrun"/>
                <w:rFonts w:asciiTheme="majorHAnsi" w:hAnsiTheme="majorHAnsi"/>
                <w:bCs/>
                <w:i/>
                <w:iCs/>
                <w:color w:val="2A3049" w:themeColor="text1"/>
                <w:sz w:val="20"/>
                <w:szCs w:val="20"/>
              </w:rPr>
              <w:lastRenderedPageBreak/>
              <w:t>openness and dialogue with the public so as to promote its awareness of and cooperation with the fight against bribery, bribe solicitation and extortion.</w:t>
            </w:r>
          </w:p>
        </w:tc>
      </w:tr>
    </w:tbl>
    <w:p w14:paraId="6AEDDF8B" w14:textId="77777777" w:rsidR="00844459" w:rsidRPr="00A608EE" w:rsidRDefault="00844459" w:rsidP="00EE208A">
      <w:pPr>
        <w:pStyle w:val="paragraph"/>
        <w:spacing w:before="0" w:beforeAutospacing="0" w:after="0" w:afterAutospacing="0"/>
        <w:jc w:val="both"/>
        <w:textAlignment w:val="baseline"/>
        <w:rPr>
          <w:rFonts w:asciiTheme="majorHAnsi" w:hAnsiTheme="majorHAnsi"/>
          <w:sz w:val="20"/>
          <w:szCs w:val="20"/>
        </w:rPr>
      </w:pPr>
      <w:r w:rsidRPr="00A608EE">
        <w:rPr>
          <w:rStyle w:val="eop"/>
          <w:rFonts w:asciiTheme="majorHAnsi" w:hAnsiTheme="majorHAnsi"/>
          <w:sz w:val="20"/>
          <w:szCs w:val="20"/>
        </w:rPr>
        <w:lastRenderedPageBreak/>
        <w:t> </w:t>
      </w:r>
    </w:p>
    <w:p w14:paraId="42A5B575" w14:textId="077C9BE0" w:rsidR="00844459" w:rsidRPr="00A608EE" w:rsidRDefault="00844459" w:rsidP="00A27AAA">
      <w:pPr>
        <w:pStyle w:val="paragraph"/>
        <w:spacing w:before="120" w:beforeAutospacing="0" w:after="120" w:afterAutospacing="0"/>
        <w:jc w:val="both"/>
        <w:textAlignment w:val="baseline"/>
        <w:rPr>
          <w:rFonts w:asciiTheme="majorHAnsi" w:hAnsiTheme="majorHAnsi"/>
          <w:b/>
          <w:bCs/>
          <w:sz w:val="20"/>
          <w:szCs w:val="20"/>
        </w:rPr>
      </w:pPr>
      <w:bookmarkStart w:id="17" w:name="_Hlk204694077"/>
      <w:r w:rsidRPr="00A608EE">
        <w:rPr>
          <w:rStyle w:val="normaltextrun"/>
          <w:rFonts w:asciiTheme="majorHAnsi" w:hAnsiTheme="majorHAnsi"/>
          <w:b/>
          <w:sz w:val="20"/>
          <w:szCs w:val="20"/>
        </w:rPr>
        <w:t xml:space="preserve">Resources </w:t>
      </w:r>
      <w:r w:rsidR="00D555FE" w:rsidRPr="00A608EE">
        <w:rPr>
          <w:rStyle w:val="normaltextrun"/>
          <w:rFonts w:asciiTheme="majorHAnsi" w:hAnsiTheme="majorHAnsi"/>
          <w:b/>
          <w:sz w:val="20"/>
          <w:szCs w:val="20"/>
        </w:rPr>
        <w:t xml:space="preserve">for </w:t>
      </w:r>
      <w:r w:rsidRPr="00A608EE">
        <w:rPr>
          <w:rStyle w:val="normaltextrun"/>
          <w:rFonts w:asciiTheme="majorHAnsi" w:hAnsiTheme="majorHAnsi"/>
          <w:b/>
          <w:sz w:val="20"/>
          <w:szCs w:val="20"/>
        </w:rPr>
        <w:t>indicat</w:t>
      </w:r>
      <w:r w:rsidR="00D555FE" w:rsidRPr="00A608EE">
        <w:rPr>
          <w:rStyle w:val="normaltextrun"/>
          <w:rFonts w:asciiTheme="majorHAnsi" w:hAnsiTheme="majorHAnsi"/>
          <w:b/>
          <w:sz w:val="20"/>
          <w:szCs w:val="20"/>
        </w:rPr>
        <w:t xml:space="preserve">or </w:t>
      </w:r>
      <w:r w:rsidRPr="00A608EE">
        <w:rPr>
          <w:rStyle w:val="normaltextrun"/>
          <w:rFonts w:asciiTheme="majorHAnsi" w:hAnsiTheme="majorHAnsi"/>
          <w:b/>
          <w:sz w:val="20"/>
          <w:szCs w:val="20"/>
        </w:rPr>
        <w:t>1.A.1.4</w:t>
      </w:r>
    </w:p>
    <w:bookmarkStart w:id="18" w:name="_Hlk204694025"/>
    <w:p w14:paraId="5BE5F304" w14:textId="77777777" w:rsidR="00850332" w:rsidRPr="00A608EE" w:rsidRDefault="00850332">
      <w:pPr>
        <w:pStyle w:val="paragraph"/>
        <w:numPr>
          <w:ilvl w:val="0"/>
          <w:numId w:val="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fldChar w:fldCharType="begin"/>
      </w:r>
      <w:r w:rsidRPr="00A608EE">
        <w:rPr>
          <w:rFonts w:asciiTheme="majorHAnsi" w:hAnsiTheme="majorHAnsi"/>
          <w:sz w:val="20"/>
          <w:szCs w:val="20"/>
        </w:rPr>
        <w:instrText>HYPERLINK "https://cerise-sptf.org/docs/OWG-brief-on-session-15-over-indebtedness-and-financial-stress-indicators.pdf" \h</w:instrText>
      </w:r>
      <w:r w:rsidRPr="00A608EE">
        <w:rPr>
          <w:rFonts w:asciiTheme="majorHAnsi" w:hAnsiTheme="majorHAnsi"/>
          <w:sz w:val="20"/>
          <w:szCs w:val="20"/>
        </w:rPr>
      </w:r>
      <w:r w:rsidRPr="00A608EE">
        <w:rPr>
          <w:rFonts w:asciiTheme="majorHAnsi" w:hAnsiTheme="majorHAnsi"/>
          <w:sz w:val="20"/>
          <w:szCs w:val="20"/>
        </w:rPr>
        <w:fldChar w:fldCharType="separate"/>
      </w:r>
      <w:r w:rsidRPr="00A608EE">
        <w:rPr>
          <w:rStyle w:val="normaltextrun"/>
          <w:rFonts w:asciiTheme="majorHAnsi" w:hAnsiTheme="majorHAnsi"/>
          <w:sz w:val="20"/>
          <w:szCs w:val="20"/>
          <w:u w:val="single"/>
        </w:rPr>
        <w:t>Indicators of Financial Stress, Including Over-indebtedness</w:t>
      </w:r>
      <w:r w:rsidRPr="00A608EE">
        <w:rPr>
          <w:rFonts w:asciiTheme="majorHAnsi" w:hAnsiTheme="majorHAnsi"/>
          <w:sz w:val="20"/>
          <w:szCs w:val="20"/>
        </w:rPr>
        <w:fldChar w:fldCharType="end"/>
      </w:r>
      <w:r w:rsidRPr="00A608EE">
        <w:rPr>
          <w:rStyle w:val="eop"/>
          <w:rFonts w:asciiTheme="majorHAnsi" w:hAnsiTheme="majorHAnsi"/>
          <w:sz w:val="20"/>
          <w:szCs w:val="20"/>
        </w:rPr>
        <w:t> </w:t>
      </w:r>
    </w:p>
    <w:p w14:paraId="1FA8CCA7" w14:textId="77777777" w:rsidR="00850332" w:rsidRPr="00A608EE" w:rsidRDefault="00850332">
      <w:pPr>
        <w:pStyle w:val="paragraph"/>
        <w:numPr>
          <w:ilvl w:val="0"/>
          <w:numId w:val="1"/>
        </w:numPr>
        <w:spacing w:before="0" w:beforeAutospacing="0" w:after="0" w:afterAutospacing="0"/>
        <w:jc w:val="both"/>
        <w:textAlignment w:val="baseline"/>
        <w:rPr>
          <w:rFonts w:asciiTheme="majorHAnsi" w:hAnsiTheme="majorHAnsi"/>
          <w:sz w:val="20"/>
          <w:szCs w:val="20"/>
        </w:rPr>
      </w:pPr>
      <w:hyperlink r:id="rId27" w:tgtFrame="_blank" w:history="1">
        <w:r w:rsidRPr="00A608EE">
          <w:rPr>
            <w:rStyle w:val="normaltextrun"/>
            <w:rFonts w:asciiTheme="majorHAnsi" w:hAnsiTheme="majorHAnsi"/>
            <w:sz w:val="20"/>
            <w:szCs w:val="20"/>
            <w:u w:val="single"/>
          </w:rPr>
          <w:t>RICHES Toolkit</w:t>
        </w:r>
      </w:hyperlink>
      <w:r w:rsidRPr="00A608EE">
        <w:rPr>
          <w:rStyle w:val="normaltextrun"/>
          <w:rFonts w:asciiTheme="majorHAnsi" w:hAnsiTheme="majorHAnsi"/>
          <w:sz w:val="20"/>
          <w:szCs w:val="20"/>
        </w:rPr>
        <w:t xml:space="preserve"> developed by Grameen Foundation</w:t>
      </w:r>
      <w:r w:rsidRPr="00A608EE">
        <w:rPr>
          <w:rStyle w:val="eop"/>
          <w:rFonts w:asciiTheme="majorHAnsi" w:hAnsiTheme="majorHAnsi"/>
          <w:sz w:val="20"/>
          <w:szCs w:val="20"/>
        </w:rPr>
        <w:t> </w:t>
      </w:r>
    </w:p>
    <w:p w14:paraId="29BFE13C" w14:textId="77777777" w:rsidR="00850332" w:rsidRPr="00A608EE" w:rsidRDefault="00850332">
      <w:pPr>
        <w:pStyle w:val="paragraph"/>
        <w:numPr>
          <w:ilvl w:val="0"/>
          <w:numId w:val="1"/>
        </w:numPr>
        <w:spacing w:before="0" w:beforeAutospacing="0" w:after="0" w:afterAutospacing="0"/>
        <w:jc w:val="both"/>
        <w:textAlignment w:val="baseline"/>
        <w:rPr>
          <w:rStyle w:val="eop"/>
          <w:rFonts w:asciiTheme="majorHAnsi" w:hAnsiTheme="majorHAnsi"/>
          <w:sz w:val="20"/>
          <w:szCs w:val="20"/>
        </w:rPr>
      </w:pPr>
      <w:hyperlink r:id="rId28" w:tgtFrame="_blank" w:history="1">
        <w:r w:rsidRPr="00A608EE">
          <w:rPr>
            <w:rStyle w:val="normaltextrun"/>
            <w:rFonts w:asciiTheme="majorHAnsi" w:hAnsiTheme="majorHAnsi"/>
            <w:sz w:val="20"/>
            <w:szCs w:val="20"/>
            <w:u w:val="single"/>
          </w:rPr>
          <w:t>Making the case: Protecting Women and Children with Women’s Economic Empowerment Initiatives</w:t>
        </w:r>
      </w:hyperlink>
      <w:r w:rsidRPr="00A608EE">
        <w:rPr>
          <w:rStyle w:val="eop"/>
          <w:rFonts w:asciiTheme="majorHAnsi" w:hAnsiTheme="majorHAnsi"/>
          <w:sz w:val="20"/>
          <w:szCs w:val="20"/>
        </w:rPr>
        <w:t> </w:t>
      </w:r>
    </w:p>
    <w:p w14:paraId="3C0CBF21" w14:textId="3246F79C" w:rsidR="003C7066" w:rsidRPr="00A608EE" w:rsidRDefault="003C7066" w:rsidP="00EE208A">
      <w:pPr>
        <w:numPr>
          <w:ilvl w:val="0"/>
          <w:numId w:val="1"/>
        </w:numPr>
        <w:shd w:val="clear" w:color="auto" w:fill="FFFFFF"/>
        <w:spacing w:before="100" w:beforeAutospacing="1"/>
        <w:jc w:val="both"/>
        <w:rPr>
          <w:rFonts w:ascii="Work Sans" w:hAnsi="Work Sans"/>
          <w:sz w:val="20"/>
          <w:szCs w:val="20"/>
        </w:rPr>
      </w:pPr>
      <w:hyperlink r:id="rId29" w:history="1">
        <w:r w:rsidRPr="00A608EE">
          <w:rPr>
            <w:rStyle w:val="Hyperlink"/>
            <w:rFonts w:asciiTheme="majorHAnsi" w:hAnsiTheme="majorHAnsi"/>
            <w:color w:val="auto"/>
            <w:sz w:val="20"/>
            <w:szCs w:val="20"/>
          </w:rPr>
          <w:t>SPM Essentials #8: Barriers, Bias and Banking Webinar</w:t>
        </w:r>
      </w:hyperlink>
      <w:bookmarkEnd w:id="17"/>
      <w:bookmarkEnd w:id="18"/>
    </w:p>
    <w:p w14:paraId="5C3BA382" w14:textId="52EBA461" w:rsidR="009C0DD2" w:rsidRPr="00A608EE" w:rsidRDefault="009C0DD2" w:rsidP="00EE208A">
      <w:pPr>
        <w:numPr>
          <w:ilvl w:val="0"/>
          <w:numId w:val="1"/>
        </w:numPr>
        <w:shd w:val="clear" w:color="auto" w:fill="FFFFFF"/>
        <w:spacing w:before="100" w:beforeAutospacing="1"/>
        <w:jc w:val="both"/>
        <w:rPr>
          <w:rFonts w:asciiTheme="majorHAnsi" w:hAnsiTheme="majorHAnsi"/>
          <w:sz w:val="20"/>
          <w:szCs w:val="20"/>
        </w:rPr>
      </w:pPr>
      <w:bookmarkStart w:id="19" w:name="_Hlk227258420"/>
      <w:r w:rsidRPr="00A608EE">
        <w:rPr>
          <w:rFonts w:asciiTheme="majorHAnsi" w:hAnsiTheme="majorHAnsi"/>
          <w:b/>
          <w:bCs/>
          <w:sz w:val="20"/>
          <w:szCs w:val="20"/>
        </w:rPr>
        <w:t>[DI Focus]:</w:t>
      </w:r>
      <w:bookmarkEnd w:id="19"/>
      <w:r w:rsidRPr="00A608EE">
        <w:rPr>
          <w:rFonts w:asciiTheme="majorHAnsi" w:hAnsiTheme="majorHAnsi"/>
          <w:sz w:val="20"/>
          <w:szCs w:val="20"/>
        </w:rPr>
        <w:t xml:space="preserve"> </w:t>
      </w:r>
      <w:hyperlink r:id="rId30" w:history="1">
        <w:r w:rsidRPr="00A608EE">
          <w:rPr>
            <w:rStyle w:val="Hyperlink"/>
            <w:rFonts w:asciiTheme="majorHAnsi" w:hAnsiTheme="majorHAnsi"/>
            <w:sz w:val="20"/>
            <w:szCs w:val="20"/>
          </w:rPr>
          <w:t>Humanity &amp; Inclusion (HI) Factsheet on Disability Policy</w:t>
        </w:r>
      </w:hyperlink>
    </w:p>
    <w:p w14:paraId="19854C7D" w14:textId="198D2FE4" w:rsidR="009C0DD2" w:rsidRPr="00A608EE" w:rsidRDefault="009C0DD2" w:rsidP="00EE208A">
      <w:pPr>
        <w:numPr>
          <w:ilvl w:val="0"/>
          <w:numId w:val="1"/>
        </w:numPr>
        <w:shd w:val="clear" w:color="auto" w:fill="FFFFFF"/>
        <w:spacing w:before="100" w:beforeAutospacing="1"/>
        <w:jc w:val="both"/>
        <w:rPr>
          <w:rFonts w:asciiTheme="majorHAnsi" w:hAnsiTheme="majorHAnsi"/>
          <w:sz w:val="20"/>
          <w:szCs w:val="20"/>
        </w:rPr>
      </w:pPr>
      <w:r w:rsidRPr="00A608EE">
        <w:rPr>
          <w:rFonts w:asciiTheme="majorHAnsi" w:hAnsiTheme="majorHAnsi"/>
          <w:b/>
          <w:bCs/>
          <w:sz w:val="20"/>
          <w:szCs w:val="20"/>
        </w:rPr>
        <w:t xml:space="preserve">[DI Focus]: </w:t>
      </w:r>
      <w:hyperlink r:id="rId31" w:history="1">
        <w:r w:rsidRPr="00A608EE">
          <w:rPr>
            <w:rStyle w:val="Hyperlink"/>
            <w:rFonts w:asciiTheme="majorHAnsi" w:hAnsiTheme="majorHAnsi"/>
            <w:sz w:val="20"/>
            <w:szCs w:val="20"/>
          </w:rPr>
          <w:t>Workable’s template and guidance notes on anti-discrimination policy</w:t>
        </w:r>
      </w:hyperlink>
    </w:p>
    <w:p w14:paraId="7E0F9EBC" w14:textId="77777777" w:rsidR="0048604A" w:rsidRPr="00A608EE" w:rsidRDefault="0048604A" w:rsidP="0048604A">
      <w:pPr>
        <w:shd w:val="clear" w:color="auto" w:fill="FFFFFF"/>
        <w:spacing w:before="100" w:beforeAutospacing="1"/>
        <w:ind w:left="720"/>
        <w:jc w:val="both"/>
        <w:rPr>
          <w:rFonts w:ascii="Work Sans" w:hAnsi="Work Sans"/>
          <w:sz w:val="20"/>
          <w:szCs w:val="20"/>
        </w:rPr>
      </w:pPr>
    </w:p>
    <w:p w14:paraId="5497C371" w14:textId="1DB81A4B" w:rsidR="00E45C2B" w:rsidRPr="00A608EE" w:rsidRDefault="61727C5B" w:rsidP="00EE208A">
      <w:pPr>
        <w:pStyle w:val="Heading3"/>
        <w:spacing w:before="0" w:line="240" w:lineRule="auto"/>
        <w:jc w:val="both"/>
        <w:rPr>
          <w:rStyle w:val="normaltextrun"/>
        </w:rPr>
      </w:pPr>
      <w:bookmarkStart w:id="20" w:name="_Toc230938771"/>
      <w:r w:rsidRPr="00A608EE">
        <w:rPr>
          <w:rStyle w:val="normaltextrun"/>
        </w:rPr>
        <w:t xml:space="preserve">1.A.2 </w:t>
      </w:r>
      <w:r w:rsidR="00641524" w:rsidRPr="00A608EE">
        <w:rPr>
          <w:rStyle w:val="normaltextrun"/>
        </w:rPr>
        <w:t>The strategy defines indicators and targets to measure the provider's progress toward social goals</w:t>
      </w:r>
      <w:r w:rsidR="00A77701" w:rsidRPr="00A608EE">
        <w:rPr>
          <w:rStyle w:val="normaltextrun"/>
        </w:rPr>
        <w:t>.</w:t>
      </w:r>
      <w:bookmarkEnd w:id="20"/>
    </w:p>
    <w:p w14:paraId="69AF7DB6" w14:textId="77777777" w:rsidR="00A77701" w:rsidRPr="00A608EE" w:rsidRDefault="00A77701" w:rsidP="00EE208A">
      <w:pPr>
        <w:pStyle w:val="paragraph"/>
        <w:spacing w:before="0" w:beforeAutospacing="0" w:after="0" w:afterAutospacing="0"/>
        <w:jc w:val="both"/>
        <w:textAlignment w:val="baseline"/>
        <w:rPr>
          <w:rStyle w:val="normaltextrun"/>
          <w:rFonts w:asciiTheme="majorHAnsi" w:hAnsiTheme="majorHAnsi"/>
          <w:sz w:val="20"/>
          <w:szCs w:val="20"/>
        </w:rPr>
      </w:pPr>
    </w:p>
    <w:p w14:paraId="001F4ACC" w14:textId="026780C9" w:rsidR="009C14EB" w:rsidRPr="00A608EE" w:rsidRDefault="00641524" w:rsidP="00EE208A">
      <w:pPr>
        <w:jc w:val="both"/>
        <w:rPr>
          <w:rStyle w:val="normaltextrun"/>
          <w:rFonts w:asciiTheme="majorHAnsi" w:hAnsiTheme="majorHAnsi"/>
          <w:szCs w:val="20"/>
          <w:lang w:eastAsia="fr-FR"/>
        </w:rPr>
      </w:pPr>
      <w:r w:rsidRPr="00A608EE">
        <w:rPr>
          <w:rStyle w:val="normaltextrun"/>
          <w:rFonts w:asciiTheme="majorHAnsi" w:hAnsiTheme="majorHAnsi"/>
          <w:szCs w:val="20"/>
          <w:lang w:eastAsia="fr-FR"/>
        </w:rPr>
        <w:t>Note that the institution also sets indicators and targets to measure progress toward its environmental objectives (see indicator 7.A.1.2).</w:t>
      </w:r>
    </w:p>
    <w:p w14:paraId="23CB4AB9" w14:textId="77777777" w:rsidR="00641524" w:rsidRPr="00A608EE" w:rsidRDefault="00641524" w:rsidP="00EE208A">
      <w:pPr>
        <w:jc w:val="both"/>
        <w:rPr>
          <w:rFonts w:asciiTheme="majorHAnsi" w:hAnsiTheme="majorHAnsi"/>
          <w:szCs w:val="20"/>
        </w:rPr>
      </w:pPr>
    </w:p>
    <w:p w14:paraId="330A4A23" w14:textId="4148DF1F" w:rsidR="006311C5" w:rsidRPr="00A608EE" w:rsidRDefault="00520662" w:rsidP="00EE208A">
      <w:pPr>
        <w:pStyle w:val="Heading4"/>
        <w:spacing w:before="0" w:line="240" w:lineRule="auto"/>
        <w:jc w:val="both"/>
        <w:rPr>
          <w:rStyle w:val="normaltextrun"/>
        </w:rPr>
      </w:pPr>
      <w:r w:rsidRPr="00A608EE">
        <w:rPr>
          <w:rStyle w:val="normaltextrun"/>
        </w:rPr>
        <w:t xml:space="preserve">1.A.2.1 </w:t>
      </w:r>
      <w:r w:rsidR="00641524" w:rsidRPr="00A608EE">
        <w:rPr>
          <w:rStyle w:val="normaltextrun"/>
        </w:rPr>
        <w:t>The provider has at least one measurable indicator for each social goal.</w:t>
      </w:r>
    </w:p>
    <w:p w14:paraId="61A7361A" w14:textId="63E03B0B" w:rsidR="005E30EE" w:rsidRPr="00A608EE" w:rsidRDefault="005E30EE" w:rsidP="00EE208A">
      <w:pPr>
        <w:pStyle w:val="paragraph"/>
        <w:spacing w:before="0" w:beforeAutospacing="0" w:after="0" w:afterAutospacing="0"/>
        <w:jc w:val="both"/>
        <w:textAlignment w:val="baseline"/>
        <w:rPr>
          <w:rStyle w:val="normaltextrun"/>
          <w:rFonts w:asciiTheme="majorHAnsi" w:hAnsiTheme="majorHAnsi"/>
          <w:sz w:val="20"/>
          <w:szCs w:val="20"/>
        </w:rPr>
      </w:pPr>
    </w:p>
    <w:p w14:paraId="0472ECD6" w14:textId="70D4861D" w:rsidR="00FF685E" w:rsidRPr="00A608EE" w:rsidRDefault="004921CE" w:rsidP="00A27AAA">
      <w:pPr>
        <w:pStyle w:val="paragraph"/>
        <w:spacing w:before="240" w:beforeAutospacing="0" w:after="240" w:afterAutospacing="0"/>
        <w:jc w:val="both"/>
        <w:rPr>
          <w:rFonts w:asciiTheme="majorHAnsi" w:hAnsiTheme="majorHAnsi"/>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641524" w:rsidRPr="00A608EE">
        <w:rPr>
          <w:rFonts w:asciiTheme="majorHAnsi" w:hAnsiTheme="majorHAnsi"/>
          <w:b/>
          <w:bCs/>
          <w:color w:val="2145CC" w:themeColor="accent5" w:themeShade="BF"/>
          <w:sz w:val="20"/>
          <w:szCs w:val="20"/>
        </w:rPr>
        <w:t>Indicator in</w:t>
      </w:r>
      <w:r w:rsidR="00A77701" w:rsidRPr="00A608EE">
        <w:rPr>
          <w:rFonts w:asciiTheme="majorHAnsi" w:hAnsiTheme="majorHAnsi"/>
          <w:b/>
          <w:bCs/>
          <w:color w:val="2145CC" w:themeColor="accent5" w:themeShade="BF"/>
          <w:sz w:val="20"/>
          <w:szCs w:val="20"/>
        </w:rPr>
        <w:t xml:space="preserve"> ALINUS</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A77701"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A77701" w:rsidRPr="00A608EE">
        <w:rPr>
          <w:rFonts w:asciiTheme="majorHAnsi" w:hAnsiTheme="majorHAnsi"/>
          <w:b/>
          <w:bCs/>
          <w:color w:val="2145CC" w:themeColor="accent5" w:themeShade="BF"/>
          <w:sz w:val="20"/>
          <w:szCs w:val="20"/>
        </w:rPr>
        <w:t>SPI5 Full</w:t>
      </w:r>
      <w:r w:rsidR="009A58DF" w:rsidRPr="00A608EE">
        <w:rPr>
          <w:rFonts w:asciiTheme="majorHAnsi" w:hAnsiTheme="majorHAnsi"/>
          <w:b/>
          <w:bCs/>
          <w:color w:val="2145CC" w:themeColor="accent5" w:themeShade="BF"/>
          <w:sz w:val="20"/>
          <w:szCs w:val="20"/>
        </w:rPr>
        <w:t xml:space="preserve"> </w:t>
      </w:r>
      <w:r w:rsidR="009A58DF" w:rsidRPr="00A608EE">
        <w:rPr>
          <w:rFonts w:ascii="Work Sans" w:hAnsi="Work Sans"/>
          <w:b/>
          <w:bCs/>
          <w:color w:val="2145CC" w:themeColor="accent5" w:themeShade="BF"/>
          <w:sz w:val="20"/>
          <w:szCs w:val="20"/>
        </w:rPr>
        <w:t>| DI Focus</w:t>
      </w:r>
    </w:p>
    <w:p w14:paraId="621030C2" w14:textId="47C9702E" w:rsidR="00FF685E" w:rsidRPr="00A608EE" w:rsidRDefault="00FF685E"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To hold itself accountable to its social goals, the provider must collect specific quantitative and qualitative data, including client output and outcome data, to monitor its performance relative to those goals.</w:t>
      </w:r>
    </w:p>
    <w:p w14:paraId="7F4959E9" w14:textId="77777777" w:rsidR="00672763" w:rsidRPr="00A608EE" w:rsidRDefault="00672763" w:rsidP="00EE208A">
      <w:pPr>
        <w:pStyle w:val="paragraph"/>
        <w:spacing w:before="0" w:beforeAutospacing="0" w:after="0" w:afterAutospacing="0"/>
        <w:jc w:val="both"/>
        <w:rPr>
          <w:rFonts w:asciiTheme="majorHAnsi" w:hAnsiTheme="majorHAnsi"/>
          <w:sz w:val="20"/>
          <w:szCs w:val="20"/>
        </w:rPr>
      </w:pPr>
    </w:p>
    <w:p w14:paraId="3F38A0A3"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791360" behindDoc="1" locked="0" layoutInCell="1" allowOverlap="1" wp14:anchorId="7A77507F" wp14:editId="538E8249">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424026797"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65AAA00" w14:textId="77777777" w:rsidR="00672763" w:rsidRPr="00A608EE" w:rsidRDefault="00672763" w:rsidP="00EE208A">
      <w:pPr>
        <w:pStyle w:val="paragraph"/>
        <w:spacing w:before="0" w:beforeAutospacing="0" w:after="0" w:afterAutospacing="0"/>
        <w:jc w:val="both"/>
        <w:rPr>
          <w:rFonts w:asciiTheme="majorHAnsi" w:hAnsiTheme="majorHAnsi"/>
          <w:sz w:val="20"/>
          <w:szCs w:val="20"/>
        </w:rPr>
      </w:pPr>
    </w:p>
    <w:p w14:paraId="00625603" w14:textId="6DE5E03E" w:rsidR="00FF685E" w:rsidRPr="00A608EE" w:rsidRDefault="004876A2" w:rsidP="00FF685E">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BB1A18" w:rsidRPr="00A608EE">
        <w:rPr>
          <w:rFonts w:asciiTheme="majorHAnsi" w:hAnsiTheme="majorHAnsi"/>
          <w:sz w:val="20"/>
          <w:szCs w:val="20"/>
        </w:rPr>
        <w:t>The provider has at least one measurable indicator and at least one measurable output and/or outcome target on disability inclusion for each social goal.</w:t>
      </w:r>
    </w:p>
    <w:p w14:paraId="68529909" w14:textId="1238D9F3" w:rsidR="004E7EB1" w:rsidRPr="00A608EE" w:rsidRDefault="004E7EB1" w:rsidP="00EE208A">
      <w:pPr>
        <w:pStyle w:val="paragraph"/>
        <w:spacing w:before="0" w:beforeAutospacing="0" w:after="0" w:afterAutospacing="0"/>
        <w:jc w:val="both"/>
        <w:rPr>
          <w:rFonts w:asciiTheme="majorHAnsi" w:hAnsiTheme="majorHAnsi"/>
          <w:sz w:val="20"/>
          <w:szCs w:val="20"/>
        </w:rPr>
      </w:pPr>
      <w:r w:rsidRPr="00A608EE">
        <w:rPr>
          <w:noProof/>
        </w:rPr>
        <mc:AlternateContent>
          <mc:Choice Requires="wps">
            <w:drawing>
              <wp:anchor distT="0" distB="0" distL="114300" distR="114300" simplePos="0" relativeHeight="251665408" behindDoc="0" locked="0" layoutInCell="1" allowOverlap="1" wp14:anchorId="7E32F824" wp14:editId="40A20DC7">
                <wp:simplePos x="0" y="0"/>
                <wp:positionH relativeFrom="column">
                  <wp:posOffset>-635</wp:posOffset>
                </wp:positionH>
                <wp:positionV relativeFrom="paragraph">
                  <wp:posOffset>174625</wp:posOffset>
                </wp:positionV>
                <wp:extent cx="1828800" cy="1828800"/>
                <wp:effectExtent l="0" t="0" r="0" b="0"/>
                <wp:wrapSquare wrapText="bothSides"/>
                <wp:docPr id="1680902305"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3D347E2" w14:textId="720AF9B5" w:rsidR="004E7EB1" w:rsidRPr="00820B09" w:rsidRDefault="00B53772" w:rsidP="004E7EB1">
                            <w:pPr>
                              <w:pStyle w:val="paragraph"/>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E7EB1" w:rsidRPr="00820B09">
                              <w:rPr>
                                <w:rFonts w:asciiTheme="majorHAnsi" w:hAnsiTheme="majorHAnsi"/>
                                <w:b/>
                                <w:bCs/>
                                <w:sz w:val="20"/>
                                <w:szCs w:val="20"/>
                              </w:rPr>
                              <w:t>1.A.2.1</w:t>
                            </w:r>
                          </w:p>
                          <w:p w14:paraId="0E6C5506" w14:textId="554AB55C" w:rsidR="004E7EB1" w:rsidRPr="00820B09" w:rsidRDefault="001840FB" w:rsidP="004E7EB1">
                            <w:pPr>
                              <w:pStyle w:val="paragraph"/>
                              <w:spacing w:after="0"/>
                              <w:jc w:val="both"/>
                              <w:rPr>
                                <w:rFonts w:asciiTheme="majorHAnsi" w:hAnsiTheme="majorHAnsi"/>
                                <w:sz w:val="20"/>
                                <w:szCs w:val="20"/>
                              </w:rPr>
                            </w:pPr>
                            <w:r w:rsidRPr="00820B09">
                              <w:rPr>
                                <w:rFonts w:asciiTheme="majorHAnsi" w:hAnsiTheme="majorHAnsi"/>
                                <w:sz w:val="20"/>
                                <w:szCs w:val="20"/>
                              </w:rPr>
                              <w:t>As a start point</w:t>
                            </w:r>
                            <w:r w:rsidR="004E7EB1" w:rsidRPr="00820B09">
                              <w:rPr>
                                <w:rFonts w:asciiTheme="majorHAnsi" w:hAnsiTheme="majorHAnsi"/>
                                <w:sz w:val="20"/>
                                <w:szCs w:val="20"/>
                              </w:rPr>
                              <w:t>, the provider should track inclusion of persons with disabilities in their client base via a measurable indicator (</w:t>
                            </w:r>
                            <w:r w:rsidR="00FF685E" w:rsidRPr="00820B09">
                              <w:rPr>
                                <w:rFonts w:asciiTheme="majorHAnsi" w:hAnsiTheme="majorHAnsi"/>
                                <w:sz w:val="20"/>
                                <w:szCs w:val="20"/>
                              </w:rPr>
                              <w:t>e.g.,</w:t>
                            </w:r>
                            <w:r w:rsidR="004E7EB1" w:rsidRPr="00820B09">
                              <w:rPr>
                                <w:rFonts w:asciiTheme="majorHAnsi" w:hAnsiTheme="majorHAnsi"/>
                                <w:sz w:val="20"/>
                                <w:szCs w:val="20"/>
                              </w:rPr>
                              <w:t xml:space="preserve"> % of active clients with </w:t>
                            </w:r>
                            <w:r w:rsidRPr="00820B09">
                              <w:rPr>
                                <w:rFonts w:asciiTheme="majorHAnsi" w:hAnsiTheme="majorHAnsi"/>
                                <w:sz w:val="20"/>
                                <w:szCs w:val="20"/>
                              </w:rPr>
                              <w:t>disabilities</w:t>
                            </w:r>
                            <w:r w:rsidR="004E7EB1" w:rsidRPr="00820B09">
                              <w:rPr>
                                <w:rFonts w:asciiTheme="majorHAnsi" w:hAnsiTheme="majorHAnsi"/>
                                <w:sz w:val="20"/>
                                <w:szCs w:val="20"/>
                              </w:rPr>
                              <w:t>) to identify potential exclusion of persons with disabilities. This metric must be validated to ensure it tracks active usage, in a way that is comparable with tracking of clients without disabilities.</w:t>
                            </w:r>
                          </w:p>
                          <w:p w14:paraId="6D068358" w14:textId="7E73A0D7" w:rsidR="004E7EB1" w:rsidRPr="00820B09" w:rsidRDefault="004E7EB1" w:rsidP="008156E1">
                            <w:pPr>
                              <w:pStyle w:val="paragraph"/>
                              <w:jc w:val="both"/>
                              <w:rPr>
                                <w:rFonts w:asciiTheme="majorHAnsi" w:hAnsiTheme="majorHAnsi"/>
                                <w:sz w:val="20"/>
                                <w:szCs w:val="20"/>
                              </w:rPr>
                            </w:pPr>
                            <w:r w:rsidRPr="00820B09">
                              <w:rPr>
                                <w:rFonts w:asciiTheme="majorHAnsi" w:hAnsiTheme="majorHAnsi"/>
                                <w:sz w:val="20"/>
                                <w:szCs w:val="20"/>
                              </w:rPr>
                              <w:t xml:space="preserve">Other potential </w:t>
                            </w:r>
                            <w:r w:rsidR="001840FB" w:rsidRPr="00820B09">
                              <w:rPr>
                                <w:rFonts w:asciiTheme="majorHAnsi" w:hAnsiTheme="majorHAnsi"/>
                                <w:sz w:val="20"/>
                                <w:szCs w:val="20"/>
                              </w:rPr>
                              <w:t xml:space="preserve">output </w:t>
                            </w:r>
                            <w:r w:rsidRPr="00820B09">
                              <w:rPr>
                                <w:rFonts w:asciiTheme="majorHAnsi" w:hAnsiTheme="majorHAnsi"/>
                                <w:sz w:val="20"/>
                                <w:szCs w:val="20"/>
                              </w:rPr>
                              <w:t>indicators relating to accessibility</w:t>
                            </w:r>
                            <w:r w:rsidR="001840FB" w:rsidRPr="00820B09">
                              <w:rPr>
                                <w:rFonts w:asciiTheme="majorHAnsi" w:hAnsiTheme="majorHAnsi"/>
                                <w:sz w:val="20"/>
                                <w:szCs w:val="20"/>
                              </w:rPr>
                              <w:t xml:space="preserve"> and inclusion include</w:t>
                            </w:r>
                            <w:r w:rsidRPr="00820B09">
                              <w:rPr>
                                <w:rFonts w:asciiTheme="majorHAnsi" w:hAnsiTheme="majorHAnsi"/>
                                <w:sz w:val="20"/>
                                <w:szCs w:val="20"/>
                              </w:rPr>
                              <w:t xml:space="preserve">: </w:t>
                            </w:r>
                            <w:r w:rsidR="007F4353" w:rsidRPr="00820B09">
                              <w:rPr>
                                <w:rFonts w:asciiTheme="majorHAnsi" w:hAnsiTheme="majorHAnsi"/>
                                <w:sz w:val="20"/>
                                <w:szCs w:val="20"/>
                              </w:rPr>
                              <w:t xml:space="preserve">proportion of staff trained in disability inclusion; </w:t>
                            </w:r>
                            <w:r w:rsidRPr="00820B09">
                              <w:rPr>
                                <w:rFonts w:asciiTheme="majorHAnsi" w:hAnsiTheme="majorHAnsi"/>
                                <w:sz w:val="20"/>
                                <w:szCs w:val="20"/>
                              </w:rPr>
                              <w:t xml:space="preserve">numbers </w:t>
                            </w:r>
                            <w:r w:rsidR="001840FB" w:rsidRPr="00820B09">
                              <w:rPr>
                                <w:rFonts w:asciiTheme="majorHAnsi" w:hAnsiTheme="majorHAnsi"/>
                                <w:sz w:val="20"/>
                                <w:szCs w:val="20"/>
                              </w:rPr>
                              <w:t xml:space="preserve">of </w:t>
                            </w:r>
                            <w:r w:rsidRPr="00820B09">
                              <w:rPr>
                                <w:rFonts w:asciiTheme="majorHAnsi" w:hAnsiTheme="majorHAnsi"/>
                                <w:sz w:val="20"/>
                                <w:szCs w:val="20"/>
                              </w:rPr>
                              <w:t xml:space="preserve">activities such as access </w:t>
                            </w:r>
                            <w:r w:rsidR="00A27AAA" w:rsidRPr="00820B09">
                              <w:rPr>
                                <w:rFonts w:asciiTheme="majorHAnsi" w:hAnsiTheme="majorHAnsi"/>
                                <w:sz w:val="20"/>
                                <w:szCs w:val="20"/>
                              </w:rPr>
                              <w:t>audits, retrofitting</w:t>
                            </w:r>
                            <w:r w:rsidRPr="00820B09">
                              <w:rPr>
                                <w:rFonts w:asciiTheme="majorHAnsi" w:hAnsiTheme="majorHAnsi"/>
                                <w:sz w:val="20"/>
                                <w:szCs w:val="20"/>
                              </w:rPr>
                              <w:t xml:space="preserve"> of branches</w:t>
                            </w:r>
                            <w:r w:rsidR="007F4353" w:rsidRPr="00820B09">
                              <w:rPr>
                                <w:rFonts w:asciiTheme="majorHAnsi" w:hAnsiTheme="majorHAnsi"/>
                                <w:sz w:val="20"/>
                                <w:szCs w:val="20"/>
                              </w:rPr>
                              <w:t>,</w:t>
                            </w:r>
                            <w:r w:rsidRPr="00820B09">
                              <w:rPr>
                                <w:rFonts w:asciiTheme="majorHAnsi" w:hAnsiTheme="majorHAnsi"/>
                                <w:sz w:val="20"/>
                                <w:szCs w:val="20"/>
                              </w:rPr>
                              <w:t xml:space="preserve"> </w:t>
                            </w:r>
                            <w:r w:rsidR="007F4353" w:rsidRPr="00820B09">
                              <w:rPr>
                                <w:rFonts w:asciiTheme="majorHAnsi" w:hAnsiTheme="majorHAnsi"/>
                                <w:sz w:val="20"/>
                                <w:szCs w:val="20"/>
                              </w:rPr>
                              <w:t xml:space="preserve">and </w:t>
                            </w:r>
                            <w:r w:rsidRPr="00820B09">
                              <w:rPr>
                                <w:rFonts w:asciiTheme="majorHAnsi" w:hAnsiTheme="majorHAnsi"/>
                                <w:sz w:val="20"/>
                                <w:szCs w:val="20"/>
                              </w:rPr>
                              <w:t xml:space="preserve">digital accessibility audits; extent of Adoption of Universal </w:t>
                            </w:r>
                            <w:r w:rsidR="00C23589" w:rsidRPr="00820B09">
                              <w:rPr>
                                <w:rFonts w:asciiTheme="majorHAnsi" w:hAnsiTheme="majorHAnsi"/>
                                <w:sz w:val="20"/>
                                <w:szCs w:val="20"/>
                              </w:rPr>
                              <w:t>D</w:t>
                            </w:r>
                            <w:r w:rsidRPr="00820B09">
                              <w:rPr>
                                <w:rFonts w:asciiTheme="majorHAnsi" w:hAnsiTheme="majorHAnsi"/>
                                <w:sz w:val="20"/>
                                <w:szCs w:val="20"/>
                              </w:rPr>
                              <w:t>esign methodologies for new product and service development</w:t>
                            </w:r>
                            <w:r w:rsidR="00DF66DE" w:rsidRPr="00820B09">
                              <w:rPr>
                                <w:rFonts w:asciiTheme="majorHAnsi" w:hAnsiTheme="majorHAnsi"/>
                                <w:sz w:val="20"/>
                                <w:szCs w:val="20"/>
                              </w:rPr>
                              <w:t xml:space="preserve"> (see indicator 3.A.1.1)</w:t>
                            </w:r>
                            <w:r w:rsidRPr="00820B09">
                              <w:rPr>
                                <w:rFonts w:asciiTheme="majorHAnsi" w:hAnsiTheme="majorHAnsi"/>
                                <w:sz w:val="20"/>
                                <w:szCs w:val="20"/>
                              </w:rPr>
                              <w:t>; extent of compliance with Web Content Accessibility Guidelines (WCAG)</w:t>
                            </w:r>
                            <w:r w:rsidR="00DF66DE" w:rsidRPr="00820B09">
                              <w:rPr>
                                <w:rFonts w:asciiTheme="majorHAnsi" w:hAnsiTheme="majorHAnsi"/>
                                <w:sz w:val="20"/>
                                <w:szCs w:val="20"/>
                              </w:rPr>
                              <w:t xml:space="preserve"> (see indicator 3.B.2.2)</w:t>
                            </w:r>
                            <w:r w:rsidR="001840FB" w:rsidRPr="00820B09">
                              <w:rPr>
                                <w:rFonts w:asciiTheme="majorHAnsi" w:hAnsiTheme="majorHAnsi"/>
                                <w:sz w:val="20"/>
                                <w:szCs w:val="2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32F824" id="_x0000_s1028" type="#_x0000_t202" style="position:absolute;left:0;text-align:left;margin-left:-.05pt;margin-top:13.75pt;width:2in;height:2in;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Bbd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" filled="f" strokeweight=".5pt">
                <v:textbox style="mso-fit-shape-to-text:t">
                  <w:txbxContent>
                    <w:p w14:paraId="03D347E2" w14:textId="720AF9B5" w:rsidR="004E7EB1" w:rsidRPr="00820B09" w:rsidRDefault="00B53772" w:rsidP="004E7EB1">
                      <w:pPr>
                        <w:pStyle w:val="paragraph"/>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E7EB1" w:rsidRPr="00820B09">
                        <w:rPr>
                          <w:rFonts w:asciiTheme="majorHAnsi" w:hAnsiTheme="majorHAnsi"/>
                          <w:b/>
                          <w:bCs/>
                          <w:sz w:val="20"/>
                          <w:szCs w:val="20"/>
                        </w:rPr>
                        <w:t>1.A.2.1</w:t>
                      </w:r>
                    </w:p>
                    <w:p w14:paraId="0E6C5506" w14:textId="554AB55C" w:rsidR="004E7EB1" w:rsidRPr="00820B09" w:rsidRDefault="001840FB" w:rsidP="004E7EB1">
                      <w:pPr>
                        <w:pStyle w:val="paragraph"/>
                        <w:spacing w:after="0"/>
                        <w:jc w:val="both"/>
                        <w:rPr>
                          <w:rFonts w:asciiTheme="majorHAnsi" w:hAnsiTheme="majorHAnsi"/>
                          <w:sz w:val="20"/>
                          <w:szCs w:val="20"/>
                        </w:rPr>
                      </w:pPr>
                      <w:r w:rsidRPr="00820B09">
                        <w:rPr>
                          <w:rFonts w:asciiTheme="majorHAnsi" w:hAnsiTheme="majorHAnsi"/>
                          <w:sz w:val="20"/>
                          <w:szCs w:val="20"/>
                        </w:rPr>
                        <w:t>As a start point</w:t>
                      </w:r>
                      <w:r w:rsidR="004E7EB1" w:rsidRPr="00820B09">
                        <w:rPr>
                          <w:rFonts w:asciiTheme="majorHAnsi" w:hAnsiTheme="majorHAnsi"/>
                          <w:sz w:val="20"/>
                          <w:szCs w:val="20"/>
                        </w:rPr>
                        <w:t>, the provider should track inclusion of persons with disabilities in their client base via a measurable indicator (</w:t>
                      </w:r>
                      <w:r w:rsidR="00FF685E" w:rsidRPr="00820B09">
                        <w:rPr>
                          <w:rFonts w:asciiTheme="majorHAnsi" w:hAnsiTheme="majorHAnsi"/>
                          <w:sz w:val="20"/>
                          <w:szCs w:val="20"/>
                        </w:rPr>
                        <w:t>e.g.,</w:t>
                      </w:r>
                      <w:r w:rsidR="004E7EB1" w:rsidRPr="00820B09">
                        <w:rPr>
                          <w:rFonts w:asciiTheme="majorHAnsi" w:hAnsiTheme="majorHAnsi"/>
                          <w:sz w:val="20"/>
                          <w:szCs w:val="20"/>
                        </w:rPr>
                        <w:t xml:space="preserve"> % of active clients with </w:t>
                      </w:r>
                      <w:r w:rsidRPr="00820B09">
                        <w:rPr>
                          <w:rFonts w:asciiTheme="majorHAnsi" w:hAnsiTheme="majorHAnsi"/>
                          <w:sz w:val="20"/>
                          <w:szCs w:val="20"/>
                        </w:rPr>
                        <w:t>disabilities</w:t>
                      </w:r>
                      <w:r w:rsidR="004E7EB1" w:rsidRPr="00820B09">
                        <w:rPr>
                          <w:rFonts w:asciiTheme="majorHAnsi" w:hAnsiTheme="majorHAnsi"/>
                          <w:sz w:val="20"/>
                          <w:szCs w:val="20"/>
                        </w:rPr>
                        <w:t>) to identify potential exclusion of persons with disabilities. This metric must be validated to ensure it tracks active usage, in a way that is comparable with tracking of clients without disabilities.</w:t>
                      </w:r>
                    </w:p>
                    <w:p w14:paraId="6D068358" w14:textId="7E73A0D7" w:rsidR="004E7EB1" w:rsidRPr="00820B09" w:rsidRDefault="004E7EB1" w:rsidP="008156E1">
                      <w:pPr>
                        <w:pStyle w:val="paragraph"/>
                        <w:jc w:val="both"/>
                        <w:rPr>
                          <w:rFonts w:asciiTheme="majorHAnsi" w:hAnsiTheme="majorHAnsi"/>
                          <w:sz w:val="20"/>
                          <w:szCs w:val="20"/>
                        </w:rPr>
                      </w:pPr>
                      <w:r w:rsidRPr="00820B09">
                        <w:rPr>
                          <w:rFonts w:asciiTheme="majorHAnsi" w:hAnsiTheme="majorHAnsi"/>
                          <w:sz w:val="20"/>
                          <w:szCs w:val="20"/>
                        </w:rPr>
                        <w:t xml:space="preserve">Other potential </w:t>
                      </w:r>
                      <w:r w:rsidR="001840FB" w:rsidRPr="00820B09">
                        <w:rPr>
                          <w:rFonts w:asciiTheme="majorHAnsi" w:hAnsiTheme="majorHAnsi"/>
                          <w:sz w:val="20"/>
                          <w:szCs w:val="20"/>
                        </w:rPr>
                        <w:t xml:space="preserve">output </w:t>
                      </w:r>
                      <w:r w:rsidRPr="00820B09">
                        <w:rPr>
                          <w:rFonts w:asciiTheme="majorHAnsi" w:hAnsiTheme="majorHAnsi"/>
                          <w:sz w:val="20"/>
                          <w:szCs w:val="20"/>
                        </w:rPr>
                        <w:t>indicators relating to accessibility</w:t>
                      </w:r>
                      <w:r w:rsidR="001840FB" w:rsidRPr="00820B09">
                        <w:rPr>
                          <w:rFonts w:asciiTheme="majorHAnsi" w:hAnsiTheme="majorHAnsi"/>
                          <w:sz w:val="20"/>
                          <w:szCs w:val="20"/>
                        </w:rPr>
                        <w:t xml:space="preserve"> and inclusion include</w:t>
                      </w:r>
                      <w:r w:rsidRPr="00820B09">
                        <w:rPr>
                          <w:rFonts w:asciiTheme="majorHAnsi" w:hAnsiTheme="majorHAnsi"/>
                          <w:sz w:val="20"/>
                          <w:szCs w:val="20"/>
                        </w:rPr>
                        <w:t xml:space="preserve">: </w:t>
                      </w:r>
                      <w:r w:rsidR="007F4353" w:rsidRPr="00820B09">
                        <w:rPr>
                          <w:rFonts w:asciiTheme="majorHAnsi" w:hAnsiTheme="majorHAnsi"/>
                          <w:sz w:val="20"/>
                          <w:szCs w:val="20"/>
                        </w:rPr>
                        <w:t xml:space="preserve">proportion of staff trained in disability inclusion; </w:t>
                      </w:r>
                      <w:r w:rsidRPr="00820B09">
                        <w:rPr>
                          <w:rFonts w:asciiTheme="majorHAnsi" w:hAnsiTheme="majorHAnsi"/>
                          <w:sz w:val="20"/>
                          <w:szCs w:val="20"/>
                        </w:rPr>
                        <w:t xml:space="preserve">numbers </w:t>
                      </w:r>
                      <w:r w:rsidR="001840FB" w:rsidRPr="00820B09">
                        <w:rPr>
                          <w:rFonts w:asciiTheme="majorHAnsi" w:hAnsiTheme="majorHAnsi"/>
                          <w:sz w:val="20"/>
                          <w:szCs w:val="20"/>
                        </w:rPr>
                        <w:t xml:space="preserve">of </w:t>
                      </w:r>
                      <w:r w:rsidRPr="00820B09">
                        <w:rPr>
                          <w:rFonts w:asciiTheme="majorHAnsi" w:hAnsiTheme="majorHAnsi"/>
                          <w:sz w:val="20"/>
                          <w:szCs w:val="20"/>
                        </w:rPr>
                        <w:t xml:space="preserve">activities such as access </w:t>
                      </w:r>
                      <w:r w:rsidR="00A27AAA" w:rsidRPr="00820B09">
                        <w:rPr>
                          <w:rFonts w:asciiTheme="majorHAnsi" w:hAnsiTheme="majorHAnsi"/>
                          <w:sz w:val="20"/>
                          <w:szCs w:val="20"/>
                        </w:rPr>
                        <w:t>audits, retrofitting</w:t>
                      </w:r>
                      <w:r w:rsidRPr="00820B09">
                        <w:rPr>
                          <w:rFonts w:asciiTheme="majorHAnsi" w:hAnsiTheme="majorHAnsi"/>
                          <w:sz w:val="20"/>
                          <w:szCs w:val="20"/>
                        </w:rPr>
                        <w:t xml:space="preserve"> of branches</w:t>
                      </w:r>
                      <w:r w:rsidR="007F4353" w:rsidRPr="00820B09">
                        <w:rPr>
                          <w:rFonts w:asciiTheme="majorHAnsi" w:hAnsiTheme="majorHAnsi"/>
                          <w:sz w:val="20"/>
                          <w:szCs w:val="20"/>
                        </w:rPr>
                        <w:t>,</w:t>
                      </w:r>
                      <w:r w:rsidRPr="00820B09">
                        <w:rPr>
                          <w:rFonts w:asciiTheme="majorHAnsi" w:hAnsiTheme="majorHAnsi"/>
                          <w:sz w:val="20"/>
                          <w:szCs w:val="20"/>
                        </w:rPr>
                        <w:t xml:space="preserve"> </w:t>
                      </w:r>
                      <w:r w:rsidR="007F4353" w:rsidRPr="00820B09">
                        <w:rPr>
                          <w:rFonts w:asciiTheme="majorHAnsi" w:hAnsiTheme="majorHAnsi"/>
                          <w:sz w:val="20"/>
                          <w:szCs w:val="20"/>
                        </w:rPr>
                        <w:t xml:space="preserve">and </w:t>
                      </w:r>
                      <w:r w:rsidRPr="00820B09">
                        <w:rPr>
                          <w:rFonts w:asciiTheme="majorHAnsi" w:hAnsiTheme="majorHAnsi"/>
                          <w:sz w:val="20"/>
                          <w:szCs w:val="20"/>
                        </w:rPr>
                        <w:t xml:space="preserve">digital accessibility audits; extent of Adoption of Universal </w:t>
                      </w:r>
                      <w:r w:rsidR="00C23589" w:rsidRPr="00820B09">
                        <w:rPr>
                          <w:rFonts w:asciiTheme="majorHAnsi" w:hAnsiTheme="majorHAnsi"/>
                          <w:sz w:val="20"/>
                          <w:szCs w:val="20"/>
                        </w:rPr>
                        <w:t>D</w:t>
                      </w:r>
                      <w:r w:rsidRPr="00820B09">
                        <w:rPr>
                          <w:rFonts w:asciiTheme="majorHAnsi" w:hAnsiTheme="majorHAnsi"/>
                          <w:sz w:val="20"/>
                          <w:szCs w:val="20"/>
                        </w:rPr>
                        <w:t>esign methodologies for new product and service development</w:t>
                      </w:r>
                      <w:r w:rsidR="00DF66DE" w:rsidRPr="00820B09">
                        <w:rPr>
                          <w:rFonts w:asciiTheme="majorHAnsi" w:hAnsiTheme="majorHAnsi"/>
                          <w:sz w:val="20"/>
                          <w:szCs w:val="20"/>
                        </w:rPr>
                        <w:t xml:space="preserve"> (see indicator 3.A.1.1)</w:t>
                      </w:r>
                      <w:r w:rsidRPr="00820B09">
                        <w:rPr>
                          <w:rFonts w:asciiTheme="majorHAnsi" w:hAnsiTheme="majorHAnsi"/>
                          <w:sz w:val="20"/>
                          <w:szCs w:val="20"/>
                        </w:rPr>
                        <w:t>; extent of compliance with Web Content Accessibility Guidelines (WCAG)</w:t>
                      </w:r>
                      <w:r w:rsidR="00DF66DE" w:rsidRPr="00820B09">
                        <w:rPr>
                          <w:rFonts w:asciiTheme="majorHAnsi" w:hAnsiTheme="majorHAnsi"/>
                          <w:sz w:val="20"/>
                          <w:szCs w:val="20"/>
                        </w:rPr>
                        <w:t xml:space="preserve"> (see indicator 3.B.2.2)</w:t>
                      </w:r>
                      <w:r w:rsidR="001840FB" w:rsidRPr="00820B09">
                        <w:rPr>
                          <w:rFonts w:asciiTheme="majorHAnsi" w:hAnsiTheme="majorHAnsi"/>
                          <w:sz w:val="20"/>
                          <w:szCs w:val="20"/>
                        </w:rPr>
                        <w:t>.</w:t>
                      </w:r>
                    </w:p>
                  </w:txbxContent>
                </v:textbox>
                <w10:wrap type="square"/>
              </v:shape>
            </w:pict>
          </mc:Fallback>
        </mc:AlternateContent>
      </w:r>
    </w:p>
    <w:p w14:paraId="66D2A4AC" w14:textId="77777777" w:rsidR="00D555FE" w:rsidRPr="00A608EE" w:rsidRDefault="00D555FE" w:rsidP="00EE208A">
      <w:pPr>
        <w:pStyle w:val="paragraph"/>
        <w:spacing w:before="0" w:beforeAutospacing="0" w:after="0" w:afterAutospacing="0"/>
        <w:jc w:val="both"/>
        <w:rPr>
          <w:rFonts w:asciiTheme="majorHAnsi" w:hAnsiTheme="majorHAnsi"/>
          <w:sz w:val="20"/>
          <w:szCs w:val="20"/>
        </w:rPr>
      </w:pPr>
    </w:p>
    <w:p w14:paraId="14DA7A3E" w14:textId="77777777" w:rsidR="004D1AA2" w:rsidRPr="00A608EE" w:rsidRDefault="004D1AA2" w:rsidP="004D1AA2">
      <w:pPr>
        <w:pStyle w:val="paragraph"/>
        <w:spacing w:before="120" w:beforeAutospacing="0" w:after="120" w:afterAutospacing="0"/>
        <w:jc w:val="both"/>
        <w:rPr>
          <w:rFonts w:asciiTheme="majorHAnsi" w:hAnsiTheme="majorHAnsi"/>
          <w:b/>
          <w:bCs/>
          <w:sz w:val="20"/>
          <w:szCs w:val="20"/>
        </w:rPr>
      </w:pPr>
    </w:p>
    <w:p w14:paraId="2CF16B8E" w14:textId="77777777" w:rsidR="004D1AA2" w:rsidRPr="00A608EE" w:rsidRDefault="004D1AA2" w:rsidP="004D1AA2">
      <w:pPr>
        <w:pStyle w:val="paragraph"/>
        <w:spacing w:before="120" w:beforeAutospacing="0" w:after="120" w:afterAutospacing="0"/>
        <w:jc w:val="both"/>
        <w:rPr>
          <w:rFonts w:asciiTheme="majorHAnsi" w:hAnsiTheme="majorHAnsi"/>
          <w:b/>
          <w:bCs/>
          <w:sz w:val="20"/>
          <w:szCs w:val="20"/>
        </w:rPr>
      </w:pPr>
    </w:p>
    <w:p w14:paraId="4DD21103" w14:textId="77777777" w:rsidR="00571480" w:rsidRPr="00A608EE" w:rsidRDefault="00571480" w:rsidP="004D1AA2">
      <w:pPr>
        <w:pStyle w:val="paragraph"/>
        <w:spacing w:before="120" w:beforeAutospacing="0" w:after="120" w:afterAutospacing="0"/>
        <w:jc w:val="both"/>
        <w:rPr>
          <w:rFonts w:asciiTheme="majorHAnsi" w:hAnsiTheme="majorHAnsi"/>
          <w:b/>
          <w:bCs/>
          <w:sz w:val="20"/>
          <w:szCs w:val="20"/>
        </w:rPr>
      </w:pPr>
    </w:p>
    <w:p w14:paraId="45FD85D3" w14:textId="77777777" w:rsidR="00571480" w:rsidRPr="00A608EE" w:rsidRDefault="00571480" w:rsidP="004D1AA2">
      <w:pPr>
        <w:pStyle w:val="paragraph"/>
        <w:spacing w:before="120" w:beforeAutospacing="0" w:after="120" w:afterAutospacing="0"/>
        <w:jc w:val="both"/>
        <w:rPr>
          <w:rFonts w:asciiTheme="majorHAnsi" w:hAnsiTheme="majorHAnsi"/>
          <w:b/>
          <w:bCs/>
          <w:sz w:val="20"/>
          <w:szCs w:val="20"/>
        </w:rPr>
      </w:pPr>
    </w:p>
    <w:p w14:paraId="3A043BBE" w14:textId="167BF84D" w:rsidR="00D555FE" w:rsidRPr="00A608EE" w:rsidRDefault="00D555FE" w:rsidP="00A27AAA">
      <w:pPr>
        <w:pStyle w:val="paragraph"/>
        <w:spacing w:before="120" w:beforeAutospacing="0" w:after="12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4F74B905" w14:textId="77777777" w:rsidR="00D555FE" w:rsidRPr="00A608EE" w:rsidRDefault="00D555FE" w:rsidP="00A27AAA">
      <w:pPr>
        <w:pStyle w:val="paragraph"/>
        <w:numPr>
          <w:ilvl w:val="0"/>
          <w:numId w:val="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has defined at least one smart indicator for each of the targets that specify each of its social goals that the provider seeks to achieve, as defined in its strategy, to track progress towards its social goals.</w:t>
      </w:r>
    </w:p>
    <w:p w14:paraId="4BEADC38" w14:textId="77777777" w:rsidR="00D555FE" w:rsidRPr="00A608EE" w:rsidRDefault="00D555FE" w:rsidP="00A27AAA">
      <w:pPr>
        <w:pStyle w:val="paragraph"/>
        <w:numPr>
          <w:ilvl w:val="0"/>
          <w:numId w:val="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has defined at least one smart indicator for some but not all of its targets that specify some, but not all, of its social goals that it seeks to achieve.</w:t>
      </w:r>
    </w:p>
    <w:p w14:paraId="0C0F1D4C" w14:textId="77777777" w:rsidR="00D555FE" w:rsidRPr="00A608EE" w:rsidRDefault="00D555FE" w:rsidP="00A27AAA">
      <w:pPr>
        <w:pStyle w:val="paragraph"/>
        <w:numPr>
          <w:ilvl w:val="0"/>
          <w:numId w:val="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has not defined any smart indicators for its social targets and goals and/or has defined only vague indicators to track progress toward its social goals.</w:t>
      </w:r>
    </w:p>
    <w:p w14:paraId="3AE3B4FE" w14:textId="77777777" w:rsidR="00D555FE" w:rsidRPr="00A608EE" w:rsidRDefault="00D555FE" w:rsidP="00A27AAA">
      <w:pPr>
        <w:pStyle w:val="paragraph"/>
        <w:numPr>
          <w:ilvl w:val="1"/>
          <w:numId w:val="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Note: For consistency, if the provider scores no for EP 1A1, meaning it does not define its social goals, then it should also score no for EP 1A2.</w:t>
      </w:r>
    </w:p>
    <w:p w14:paraId="4CA33995" w14:textId="77777777" w:rsidR="00D555FE" w:rsidRPr="00A608EE" w:rsidRDefault="00D555FE" w:rsidP="00A27AAA">
      <w:pPr>
        <w:pStyle w:val="paragraph"/>
        <w:spacing w:before="120" w:beforeAutospacing="0" w:after="120" w:afterAutospacing="0"/>
        <w:jc w:val="both"/>
        <w:rPr>
          <w:rFonts w:asciiTheme="majorHAnsi" w:hAnsiTheme="majorHAnsi"/>
          <w:b/>
          <w:bCs/>
          <w:sz w:val="20"/>
          <w:szCs w:val="20"/>
        </w:rPr>
      </w:pPr>
      <w:r w:rsidRPr="00A608EE">
        <w:rPr>
          <w:rFonts w:asciiTheme="majorHAnsi" w:hAnsiTheme="majorHAnsi"/>
          <w:b/>
          <w:bCs/>
          <w:sz w:val="20"/>
          <w:szCs w:val="20"/>
        </w:rPr>
        <w:t>Sources of information</w:t>
      </w:r>
      <w:r w:rsidRPr="00A608EE">
        <w:rPr>
          <w:b/>
          <w:bCs/>
          <w:sz w:val="20"/>
          <w:szCs w:val="20"/>
        </w:rPr>
        <w:t> </w:t>
      </w:r>
    </w:p>
    <w:p w14:paraId="2CE4E3A5" w14:textId="77777777" w:rsidR="00D555FE" w:rsidRPr="00A608EE" w:rsidRDefault="00D555FE" w:rsidP="00A27AAA">
      <w:pPr>
        <w:pStyle w:val="paragraph"/>
        <w:numPr>
          <w:ilvl w:val="0"/>
          <w:numId w:val="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Business plan/ strategic document/ operational plan</w:t>
      </w:r>
    </w:p>
    <w:p w14:paraId="63FDF49A" w14:textId="77777777" w:rsidR="00D555FE" w:rsidRPr="00A608EE" w:rsidRDefault="00D555FE" w:rsidP="00A27AAA">
      <w:pPr>
        <w:pStyle w:val="paragraph"/>
        <w:numPr>
          <w:ilvl w:val="0"/>
          <w:numId w:val="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MIS</w:t>
      </w:r>
    </w:p>
    <w:p w14:paraId="209D929C" w14:textId="77777777" w:rsidR="00D555FE" w:rsidRPr="00A608EE" w:rsidRDefault="00D555FE" w:rsidP="00A27AAA">
      <w:pPr>
        <w:pStyle w:val="paragraph"/>
        <w:numPr>
          <w:ilvl w:val="0"/>
          <w:numId w:val="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Client surveys</w:t>
      </w:r>
    </w:p>
    <w:p w14:paraId="580E3C45" w14:textId="77777777" w:rsidR="00D555FE" w:rsidRPr="00A608EE" w:rsidRDefault="00D555FE" w:rsidP="00A27AAA">
      <w:pPr>
        <w:pStyle w:val="paragraph"/>
        <w:numPr>
          <w:ilvl w:val="0"/>
          <w:numId w:val="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Annual report</w:t>
      </w:r>
    </w:p>
    <w:p w14:paraId="352AF57D" w14:textId="77777777" w:rsidR="00D555FE" w:rsidRPr="00A608EE" w:rsidRDefault="00D555FE" w:rsidP="00A27AAA">
      <w:pPr>
        <w:pStyle w:val="paragraph"/>
        <w:numPr>
          <w:ilvl w:val="0"/>
          <w:numId w:val="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Social performance dashboards reviewed by the board of directors</w:t>
      </w:r>
    </w:p>
    <w:p w14:paraId="4C188EC2" w14:textId="77777777" w:rsidR="00D555FE" w:rsidRPr="00A608EE" w:rsidRDefault="00D555FE" w:rsidP="00A27AAA">
      <w:pPr>
        <w:pStyle w:val="paragraph"/>
        <w:numPr>
          <w:ilvl w:val="0"/>
          <w:numId w:val="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Social performance dashboards reviewed by management</w:t>
      </w:r>
    </w:p>
    <w:p w14:paraId="652973DA" w14:textId="77777777" w:rsidR="00D555FE" w:rsidRPr="00A608EE" w:rsidRDefault="00D555FE" w:rsidP="00A27AAA">
      <w:pPr>
        <w:pStyle w:val="paragraph"/>
        <w:spacing w:before="120" w:beforeAutospacing="0" w:after="120" w:afterAutospacing="0"/>
        <w:jc w:val="both"/>
        <w:rPr>
          <w:rFonts w:asciiTheme="majorHAnsi" w:hAnsiTheme="majorHAnsi"/>
          <w:b/>
          <w:bCs/>
          <w:sz w:val="20"/>
          <w:szCs w:val="20"/>
        </w:rPr>
      </w:pPr>
      <w:r w:rsidRPr="00A608EE">
        <w:rPr>
          <w:rFonts w:asciiTheme="majorHAnsi" w:hAnsiTheme="majorHAnsi"/>
          <w:b/>
          <w:bCs/>
          <w:sz w:val="20"/>
          <w:szCs w:val="20"/>
        </w:rPr>
        <w:t>Evidence to provide</w:t>
      </w:r>
      <w:r w:rsidRPr="00A608EE">
        <w:rPr>
          <w:b/>
          <w:bCs/>
          <w:sz w:val="20"/>
          <w:szCs w:val="20"/>
        </w:rPr>
        <w:t> </w:t>
      </w:r>
    </w:p>
    <w:p w14:paraId="024E6810" w14:textId="77777777" w:rsidR="00D555FE" w:rsidRPr="00A608EE" w:rsidRDefault="00D555FE"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Note if the provider has a written set of outcomes indicators in any of the documents that management reviews, or if the provider’s MIS has fields that collect and store data on outcomes. Also see if reports that the board and/or management review include social data. And check whether client feedback mechanisms, such as focus groups or satisfaction surveys also include questions about client outcomes.</w:t>
      </w:r>
    </w:p>
    <w:p w14:paraId="7606980C" w14:textId="77777777" w:rsidR="00D555FE" w:rsidRPr="00A608EE" w:rsidRDefault="00D555FE" w:rsidP="00A27AAA">
      <w:pPr>
        <w:pStyle w:val="paragraph"/>
        <w:spacing w:before="120" w:beforeAutospacing="0" w:after="120" w:afterAutospacing="0"/>
        <w:jc w:val="both"/>
        <w:rPr>
          <w:rFonts w:asciiTheme="majorHAnsi" w:hAnsiTheme="majorHAnsi"/>
          <w:b/>
          <w:bCs/>
          <w:sz w:val="20"/>
          <w:szCs w:val="20"/>
        </w:rPr>
      </w:pPr>
      <w:r w:rsidRPr="00A608EE">
        <w:rPr>
          <w:rFonts w:asciiTheme="majorHAnsi" w:hAnsiTheme="majorHAnsi"/>
          <w:b/>
          <w:bCs/>
          <w:sz w:val="20"/>
          <w:szCs w:val="20"/>
        </w:rPr>
        <w:t>Field examples / Guidance for implementation</w:t>
      </w:r>
    </w:p>
    <w:p w14:paraId="7604029C" w14:textId="77777777" w:rsidR="00D555FE" w:rsidRPr="00A608EE" w:rsidRDefault="00D555FE"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When selecting indicators, consider how well they meet each of the following criteria: relevance, usability, clarity, feasibility, and comparability. Click here for examples of indicators that meet the criteria.</w:t>
      </w:r>
    </w:p>
    <w:p w14:paraId="0B88622C" w14:textId="7AA690B9" w:rsidR="00A77701" w:rsidRPr="00A608EE" w:rsidRDefault="00D555FE" w:rsidP="00A27AAA">
      <w:pPr>
        <w:pStyle w:val="paragraph"/>
        <w:spacing w:before="120" w:beforeAutospacing="0" w:after="120" w:afterAutospacing="0"/>
        <w:jc w:val="both"/>
        <w:rPr>
          <w:rFonts w:asciiTheme="majorHAnsi" w:hAnsiTheme="majorHAnsi"/>
          <w:b/>
          <w:bCs/>
          <w:sz w:val="20"/>
          <w:szCs w:val="20"/>
        </w:rPr>
      </w:pPr>
      <w:r w:rsidRPr="00A608EE">
        <w:rPr>
          <w:rFonts w:asciiTheme="majorHAnsi" w:hAnsiTheme="majorHAnsi"/>
          <w:b/>
          <w:bCs/>
          <w:sz w:val="20"/>
          <w:szCs w:val="20"/>
        </w:rPr>
        <w:t>Resources for indicator 1.A.2.1</w:t>
      </w:r>
    </w:p>
    <w:p w14:paraId="511728BD" w14:textId="6A0AE7F2" w:rsidR="007F13A2" w:rsidRPr="00A608EE" w:rsidRDefault="007F13A2">
      <w:pPr>
        <w:pStyle w:val="paragraph"/>
        <w:numPr>
          <w:ilvl w:val="0"/>
          <w:numId w:val="2"/>
        </w:numPr>
        <w:spacing w:before="0" w:beforeAutospacing="0" w:after="0" w:afterAutospacing="0"/>
        <w:jc w:val="both"/>
        <w:rPr>
          <w:rFonts w:ascii="Work Sans" w:eastAsia="Work Sans" w:hAnsi="Work Sans" w:cs="Work Sans"/>
          <w:sz w:val="20"/>
          <w:szCs w:val="20"/>
        </w:rPr>
      </w:pPr>
      <w:hyperlink r:id="rId32">
        <w:r w:rsidRPr="00A608EE">
          <w:rPr>
            <w:rStyle w:val="Hyperlink"/>
            <w:rFonts w:ascii="Work Sans" w:eastAsia="Work Sans" w:hAnsi="Work Sans" w:cs="Work Sans"/>
            <w:color w:val="auto"/>
            <w:sz w:val="20"/>
            <w:szCs w:val="20"/>
          </w:rPr>
          <w:t>Criteria for Outcomes Indicators</w:t>
        </w:r>
      </w:hyperlink>
      <w:r w:rsidR="00D555FE" w:rsidRPr="00A608EE">
        <w:t xml:space="preserve"> </w:t>
      </w:r>
    </w:p>
    <w:p w14:paraId="0082C2BD" w14:textId="3C78B6F7" w:rsidR="007F13A2" w:rsidRPr="00A608EE" w:rsidRDefault="007F13A2">
      <w:pPr>
        <w:pStyle w:val="ListParagraph"/>
        <w:numPr>
          <w:ilvl w:val="0"/>
          <w:numId w:val="2"/>
        </w:numPr>
        <w:spacing w:after="0" w:line="240" w:lineRule="auto"/>
        <w:jc w:val="both"/>
        <w:rPr>
          <w:rFonts w:ascii="Work Sans" w:eastAsia="Work Sans" w:hAnsi="Work Sans" w:cs="Work Sans"/>
          <w:szCs w:val="20"/>
        </w:rPr>
      </w:pPr>
      <w:hyperlink r:id="rId33">
        <w:r w:rsidRPr="00A608EE">
          <w:rPr>
            <w:rStyle w:val="Hyperlink"/>
            <w:rFonts w:ascii="Work Sans" w:eastAsia="Work Sans" w:hAnsi="Work Sans" w:cs="Work Sans"/>
            <w:color w:val="auto"/>
            <w:szCs w:val="20"/>
          </w:rPr>
          <w:t>A</w:t>
        </w:r>
        <w:r w:rsidR="00641524" w:rsidRPr="00A608EE">
          <w:rPr>
            <w:rStyle w:val="Hyperlink"/>
            <w:rFonts w:ascii="Work Sans" w:eastAsia="Work Sans" w:hAnsi="Work Sans" w:cs="Work Sans"/>
            <w:color w:val="auto"/>
            <w:szCs w:val="20"/>
          </w:rPr>
          <w:t>SKI</w:t>
        </w:r>
        <w:r w:rsidRPr="00A608EE">
          <w:rPr>
            <w:rStyle w:val="Hyperlink"/>
            <w:rFonts w:ascii="Work Sans" w:eastAsia="Work Sans" w:hAnsi="Work Sans" w:cs="Work Sans"/>
            <w:color w:val="auto"/>
            <w:szCs w:val="20"/>
          </w:rPr>
          <w:t xml:space="preserve"> Selects Social Indicators for Its Social Dashboard</w:t>
        </w:r>
      </w:hyperlink>
    </w:p>
    <w:p w14:paraId="39859A87" w14:textId="77777777" w:rsidR="00D555FE" w:rsidRPr="00A608EE" w:rsidRDefault="00D555FE">
      <w:pPr>
        <w:pStyle w:val="ListParagraph"/>
        <w:numPr>
          <w:ilvl w:val="0"/>
          <w:numId w:val="2"/>
        </w:numPr>
        <w:spacing w:after="0" w:line="240" w:lineRule="auto"/>
        <w:jc w:val="both"/>
        <w:rPr>
          <w:rFonts w:ascii="Work Sans" w:eastAsia="Work Sans" w:hAnsi="Work Sans" w:cs="Work Sans"/>
          <w:szCs w:val="20"/>
        </w:rPr>
      </w:pPr>
      <w:hyperlink r:id="rId34" w:history="1">
        <w:r w:rsidRPr="00A608EE">
          <w:rPr>
            <w:rStyle w:val="Hyperlink"/>
            <w:rFonts w:ascii="Work Sans" w:eastAsia="Work Sans" w:hAnsi="Work Sans" w:cs="Work Sans"/>
            <w:color w:val="auto"/>
            <w:szCs w:val="20"/>
          </w:rPr>
          <w:t>Building MIS Capacity for Social Performance Reporting</w:t>
        </w:r>
      </w:hyperlink>
    </w:p>
    <w:p w14:paraId="33758B9A" w14:textId="77777777" w:rsidR="007F13A2" w:rsidRPr="00A608EE" w:rsidRDefault="007F13A2">
      <w:pPr>
        <w:pStyle w:val="ListParagraph"/>
        <w:numPr>
          <w:ilvl w:val="0"/>
          <w:numId w:val="2"/>
        </w:numPr>
        <w:spacing w:after="0" w:line="240" w:lineRule="auto"/>
        <w:jc w:val="both"/>
        <w:rPr>
          <w:rFonts w:ascii="Work Sans" w:eastAsia="Work Sans" w:hAnsi="Work Sans" w:cs="Work Sans"/>
          <w:szCs w:val="20"/>
        </w:rPr>
      </w:pPr>
      <w:hyperlink r:id="rId35">
        <w:r w:rsidRPr="00A608EE">
          <w:rPr>
            <w:rStyle w:val="Hyperlink"/>
            <w:rFonts w:ascii="Work Sans" w:eastAsia="Work Sans" w:hAnsi="Work Sans" w:cs="Work Sans"/>
            <w:color w:val="auto"/>
            <w:szCs w:val="20"/>
          </w:rPr>
          <w:t>KASHF Foundation Selects Social Indicators for its Social Dashboard</w:t>
        </w:r>
      </w:hyperlink>
    </w:p>
    <w:p w14:paraId="2DE25421" w14:textId="77777777" w:rsidR="007F13A2" w:rsidRPr="00A608EE" w:rsidRDefault="007F13A2">
      <w:pPr>
        <w:pStyle w:val="ListParagraph"/>
        <w:numPr>
          <w:ilvl w:val="0"/>
          <w:numId w:val="2"/>
        </w:numPr>
        <w:spacing w:after="0" w:line="240" w:lineRule="auto"/>
        <w:jc w:val="both"/>
        <w:rPr>
          <w:rFonts w:ascii="Work Sans" w:eastAsia="Work Sans" w:hAnsi="Work Sans" w:cs="Work Sans"/>
          <w:szCs w:val="20"/>
        </w:rPr>
      </w:pPr>
      <w:hyperlink r:id="rId36">
        <w:r w:rsidRPr="00A608EE">
          <w:rPr>
            <w:rStyle w:val="Hyperlink"/>
            <w:rFonts w:ascii="Work Sans" w:eastAsia="Work Sans" w:hAnsi="Work Sans" w:cs="Work Sans"/>
            <w:color w:val="auto"/>
            <w:szCs w:val="20"/>
          </w:rPr>
          <w:t>Selection of Outcomes Indicators</w:t>
        </w:r>
      </w:hyperlink>
    </w:p>
    <w:p w14:paraId="7972B7CB" w14:textId="77777777" w:rsidR="00537D20" w:rsidRPr="00A608EE" w:rsidRDefault="00537D20" w:rsidP="00EE208A">
      <w:pPr>
        <w:pStyle w:val="paragraph"/>
        <w:spacing w:before="0" w:beforeAutospacing="0" w:after="0" w:afterAutospacing="0"/>
        <w:jc w:val="both"/>
        <w:textAlignment w:val="baseline"/>
        <w:rPr>
          <w:rFonts w:asciiTheme="majorHAnsi" w:hAnsiTheme="majorHAnsi"/>
          <w:sz w:val="20"/>
          <w:szCs w:val="20"/>
        </w:rPr>
      </w:pPr>
    </w:p>
    <w:p w14:paraId="457E5CFC" w14:textId="4FB9FBB0" w:rsidR="009F7985" w:rsidRPr="00A608EE" w:rsidRDefault="009F7985" w:rsidP="00EE208A">
      <w:pPr>
        <w:jc w:val="both"/>
        <w:rPr>
          <w:rFonts w:asciiTheme="majorHAnsi" w:hAnsiTheme="majorHAnsi"/>
          <w:szCs w:val="20"/>
        </w:rPr>
      </w:pPr>
    </w:p>
    <w:p w14:paraId="1112E1F8" w14:textId="77777777" w:rsidR="0053439B" w:rsidRPr="00A608EE" w:rsidRDefault="0053439B">
      <w:pPr>
        <w:spacing w:after="160" w:line="259" w:lineRule="auto"/>
        <w:rPr>
          <w:rFonts w:asciiTheme="majorHAnsi" w:eastAsiaTheme="majorEastAsia" w:hAnsiTheme="majorHAnsi" w:cstheme="majorBidi"/>
          <w:sz w:val="32"/>
          <w:szCs w:val="26"/>
          <w:lang w:eastAsia="en-US"/>
        </w:rPr>
      </w:pPr>
      <w:r w:rsidRPr="00A608EE">
        <w:br w:type="page"/>
      </w:r>
    </w:p>
    <w:p w14:paraId="1BC1FF46" w14:textId="3DA22930" w:rsidR="009F7985" w:rsidRPr="00A608EE" w:rsidRDefault="000F4899" w:rsidP="00EE208A">
      <w:pPr>
        <w:pStyle w:val="Heading2"/>
        <w:spacing w:before="0" w:line="240" w:lineRule="auto"/>
        <w:jc w:val="both"/>
        <w:rPr>
          <w:rStyle w:val="eop"/>
        </w:rPr>
      </w:pPr>
      <w:bookmarkStart w:id="21" w:name="_Toc230938772"/>
      <w:r w:rsidRPr="00A608EE">
        <w:rPr>
          <w:rStyle w:val="normaltextrun"/>
        </w:rPr>
        <w:lastRenderedPageBreak/>
        <w:t>Standard 1B. The provider collects, analyzes, and reports data that are specific to its social goals.</w:t>
      </w:r>
      <w:bookmarkEnd w:id="21"/>
    </w:p>
    <w:p w14:paraId="21BC3A79" w14:textId="77777777" w:rsidR="00AA039D" w:rsidRPr="00A608EE" w:rsidRDefault="00AA039D" w:rsidP="00EE208A">
      <w:pPr>
        <w:jc w:val="both"/>
        <w:rPr>
          <w:rFonts w:asciiTheme="majorHAnsi" w:hAnsiTheme="majorHAnsi"/>
          <w:szCs w:val="20"/>
        </w:rPr>
      </w:pPr>
    </w:p>
    <w:p w14:paraId="19B3FC91" w14:textId="77777777" w:rsidR="000F4899" w:rsidRPr="00A608EE" w:rsidRDefault="000F4899" w:rsidP="00EE208A">
      <w:pPr>
        <w:shd w:val="clear" w:color="auto" w:fill="FFFFFF"/>
        <w:jc w:val="both"/>
        <w:rPr>
          <w:rStyle w:val="normaltextrun"/>
          <w:rFonts w:asciiTheme="majorHAnsi" w:hAnsiTheme="majorHAnsi"/>
          <w:sz w:val="20"/>
          <w:szCs w:val="20"/>
          <w:lang w:eastAsia="fr-FR"/>
        </w:rPr>
      </w:pPr>
      <w:r w:rsidRPr="00A608EE">
        <w:rPr>
          <w:rStyle w:val="normaltextrun"/>
          <w:rFonts w:asciiTheme="majorHAnsi" w:hAnsiTheme="majorHAnsi"/>
          <w:sz w:val="20"/>
          <w:szCs w:val="20"/>
          <w:lang w:eastAsia="fr-FR"/>
        </w:rPr>
        <w:t>A provider does not know whether its products are creating benefits for clients unless it collects and analyses data about it. Frequently, providers answer questions about client benefits by showing just easily available transactional portfolio data like numbers of accounts and loan repayments. These data s can look satisfactory, like client outreach, loan portfolio, and deposits (in the case of deposit-taking FSPs) are increasing, loan repayments are mostly on time. However, these transactional data inform about outreach and access only, but not on client outcomes.  Do the use of financial and non-financial services lead to behavioural changes of clients in managing better their household budget and their family businesses, in saving more than before for the education of the children, in seizing economic opportunities to grow their family businesses, in improving their housing conditions, in accessing better health care and so forth? How do such positive client outcomes vary among different client segments?  Are there also negative client outcomes for specific client segments of becoming over-indebted in terms of eating less, reducing the use of health care services, and taking children out of school in order to meet loan repayment obligations and/or loosing household and business assets pledged?</w:t>
      </w:r>
    </w:p>
    <w:p w14:paraId="28ED16B3" w14:textId="77777777" w:rsidR="000F4899" w:rsidRPr="00A608EE" w:rsidRDefault="000F4899" w:rsidP="00EE208A">
      <w:pPr>
        <w:shd w:val="clear" w:color="auto" w:fill="FFFFFF"/>
        <w:jc w:val="both"/>
        <w:rPr>
          <w:rStyle w:val="normaltextrun"/>
          <w:rFonts w:asciiTheme="majorHAnsi" w:hAnsiTheme="majorHAnsi"/>
          <w:sz w:val="20"/>
          <w:szCs w:val="20"/>
          <w:lang w:eastAsia="fr-FR"/>
        </w:rPr>
      </w:pPr>
    </w:p>
    <w:p w14:paraId="4E89B682" w14:textId="2A8CAA91" w:rsidR="00A77701" w:rsidRPr="00A608EE" w:rsidRDefault="000F4899" w:rsidP="00EE208A">
      <w:pPr>
        <w:shd w:val="clear" w:color="auto" w:fill="FFFFFF"/>
        <w:jc w:val="both"/>
        <w:rPr>
          <w:rStyle w:val="normaltextrun"/>
          <w:rFonts w:asciiTheme="majorHAnsi" w:hAnsiTheme="majorHAnsi"/>
          <w:sz w:val="20"/>
          <w:szCs w:val="20"/>
          <w:lang w:eastAsia="fr-FR"/>
        </w:rPr>
      </w:pPr>
      <w:r w:rsidRPr="00A608EE">
        <w:rPr>
          <w:rStyle w:val="normaltextrun"/>
          <w:rFonts w:asciiTheme="majorHAnsi" w:hAnsiTheme="majorHAnsi"/>
          <w:sz w:val="20"/>
          <w:szCs w:val="20"/>
          <w:lang w:eastAsia="fr-FR"/>
        </w:rPr>
        <w:t>For achieving its social mission, the provider must monitor positive and negative outcomes for all of its client segments and understand how outcomes vary among them. If client outcomes are limited or even negative, the provider should use that information to improve its products/services and their distribution channels in order to improve client outcomes. In summary, regular and solid client data collection and analysis gives managers the information needed to make informed decisions and track progress toward social goals.</w:t>
      </w:r>
    </w:p>
    <w:p w14:paraId="450C42A3" w14:textId="77777777" w:rsidR="000F4899" w:rsidRPr="00A608EE" w:rsidRDefault="000F4899" w:rsidP="00EE208A">
      <w:pPr>
        <w:pStyle w:val="paragraph"/>
        <w:spacing w:before="0" w:beforeAutospacing="0" w:after="0" w:afterAutospacing="0"/>
        <w:jc w:val="both"/>
        <w:textAlignment w:val="baseline"/>
        <w:rPr>
          <w:rFonts w:asciiTheme="majorHAnsi" w:hAnsiTheme="majorHAnsi"/>
          <w:b/>
          <w:bCs/>
          <w:sz w:val="20"/>
          <w:szCs w:val="20"/>
        </w:rPr>
      </w:pPr>
    </w:p>
    <w:p w14:paraId="3B785E14" w14:textId="01E83A2B" w:rsidR="000F4899" w:rsidRPr="00A608EE" w:rsidRDefault="000F489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Resources for Standard 1B:</w:t>
      </w:r>
    </w:p>
    <w:p w14:paraId="13BDFF42"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rPr>
      </w:pPr>
      <w:hyperlink r:id="rId37" w:tgtFrame="_blank" w:history="1">
        <w:r w:rsidRPr="00A608EE">
          <w:rPr>
            <w:rStyle w:val="Hyperlink"/>
            <w:rFonts w:asciiTheme="majorHAnsi" w:hAnsiTheme="majorHAnsi"/>
            <w:sz w:val="20"/>
            <w:szCs w:val="20"/>
          </w:rPr>
          <w:t>Fondo Esperanza Case Study</w:t>
        </w:r>
      </w:hyperlink>
    </w:p>
    <w:p w14:paraId="7AF64038"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lang w:val="es-ES"/>
        </w:rPr>
      </w:pPr>
      <w:hyperlink r:id="rId38" w:tgtFrame="_blank" w:history="1">
        <w:r w:rsidRPr="00A608EE">
          <w:rPr>
            <w:rStyle w:val="Hyperlink"/>
            <w:rFonts w:asciiTheme="majorHAnsi" w:hAnsiTheme="majorHAnsi"/>
            <w:sz w:val="20"/>
            <w:szCs w:val="20"/>
            <w:lang w:val="es-ES"/>
          </w:rPr>
          <w:t>Fondo Esperanza Cómo usar los datos de resultados de los clientes</w:t>
        </w:r>
      </w:hyperlink>
    </w:p>
    <w:p w14:paraId="540A9BDA"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rPr>
      </w:pPr>
      <w:hyperlink r:id="rId39" w:tgtFrame="_blank" w:history="1">
        <w:r w:rsidRPr="00A608EE">
          <w:rPr>
            <w:rStyle w:val="Hyperlink"/>
            <w:rFonts w:asciiTheme="majorHAnsi" w:hAnsiTheme="majorHAnsi"/>
            <w:sz w:val="20"/>
            <w:szCs w:val="20"/>
          </w:rPr>
          <w:t>FINCA Experience with Outcomes Management case study</w:t>
        </w:r>
      </w:hyperlink>
    </w:p>
    <w:p w14:paraId="3609EF9C"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rPr>
      </w:pPr>
      <w:hyperlink r:id="rId40" w:tgtFrame="_blank" w:history="1">
        <w:r w:rsidRPr="00A608EE">
          <w:rPr>
            <w:rStyle w:val="Hyperlink"/>
            <w:rFonts w:asciiTheme="majorHAnsi" w:hAnsiTheme="majorHAnsi"/>
            <w:sz w:val="20"/>
            <w:szCs w:val="20"/>
          </w:rPr>
          <w:t>Guidelines on Outcomes Management for Financial Service Providers</w:t>
        </w:r>
      </w:hyperlink>
    </w:p>
    <w:p w14:paraId="3639FF5A"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rPr>
      </w:pPr>
      <w:hyperlink r:id="rId41" w:tgtFrame="_blank" w:history="1">
        <w:r w:rsidRPr="00A608EE">
          <w:rPr>
            <w:rStyle w:val="Hyperlink"/>
            <w:rFonts w:asciiTheme="majorHAnsi" w:hAnsiTheme="majorHAnsi"/>
            <w:sz w:val="20"/>
            <w:szCs w:val="20"/>
          </w:rPr>
          <w:t>The Drivers for Better Outcomes: How Social and Environmental Performance Management practices</w:t>
        </w:r>
      </w:hyperlink>
    </w:p>
    <w:p w14:paraId="6A05E4B4"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rPr>
      </w:pPr>
      <w:hyperlink r:id="rId42" w:tgtFrame="_blank" w:history="1">
        <w:r w:rsidRPr="00A608EE">
          <w:rPr>
            <w:rStyle w:val="Hyperlink"/>
            <w:rFonts w:asciiTheme="majorHAnsi" w:hAnsiTheme="majorHAnsi"/>
            <w:sz w:val="20"/>
            <w:szCs w:val="20"/>
          </w:rPr>
          <w:t>Outcomes Plenary Presentation: Exploring the connection between SEPM and client outcomes</w:t>
        </w:r>
      </w:hyperlink>
    </w:p>
    <w:p w14:paraId="7F23B264"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rPr>
      </w:pPr>
      <w:hyperlink r:id="rId43" w:tgtFrame="_blank" w:history="1">
        <w:r w:rsidRPr="00A608EE">
          <w:rPr>
            <w:rStyle w:val="Hyperlink"/>
            <w:rFonts w:asciiTheme="majorHAnsi" w:hAnsiTheme="majorHAnsi"/>
            <w:sz w:val="20"/>
            <w:szCs w:val="20"/>
          </w:rPr>
          <w:t>Outcomes Plenary Session Notes: Exploring the connection between SEPM and client outcomes</w:t>
        </w:r>
      </w:hyperlink>
    </w:p>
    <w:p w14:paraId="177FA0D7" w14:textId="77777777" w:rsidR="000F4899" w:rsidRPr="00A608EE" w:rsidRDefault="000F4899" w:rsidP="00A27AAA">
      <w:pPr>
        <w:pStyle w:val="paragraph"/>
        <w:numPr>
          <w:ilvl w:val="0"/>
          <w:numId w:val="84"/>
        </w:numPr>
        <w:spacing w:before="0" w:beforeAutospacing="0" w:after="0" w:afterAutospacing="0"/>
        <w:jc w:val="both"/>
        <w:textAlignment w:val="baseline"/>
        <w:rPr>
          <w:rFonts w:asciiTheme="majorHAnsi" w:hAnsiTheme="majorHAnsi"/>
          <w:sz w:val="20"/>
          <w:szCs w:val="20"/>
        </w:rPr>
      </w:pPr>
      <w:hyperlink r:id="rId44" w:tgtFrame="_blank" w:history="1">
        <w:r w:rsidRPr="00A608EE">
          <w:rPr>
            <w:rStyle w:val="Hyperlink"/>
            <w:rFonts w:asciiTheme="majorHAnsi" w:hAnsiTheme="majorHAnsi"/>
            <w:sz w:val="20"/>
            <w:szCs w:val="20"/>
          </w:rPr>
          <w:t>Understanding and Measuring Women's Economic Empowerment</w:t>
        </w:r>
      </w:hyperlink>
    </w:p>
    <w:p w14:paraId="04245BF3" w14:textId="77777777" w:rsidR="000F4899" w:rsidRPr="00A608EE" w:rsidRDefault="000F4899" w:rsidP="00EE208A">
      <w:pPr>
        <w:pStyle w:val="paragraph"/>
        <w:spacing w:before="0" w:beforeAutospacing="0" w:after="0" w:afterAutospacing="0"/>
        <w:jc w:val="both"/>
        <w:textAlignment w:val="baseline"/>
        <w:rPr>
          <w:rFonts w:asciiTheme="majorHAnsi" w:hAnsiTheme="majorHAnsi"/>
          <w:sz w:val="20"/>
          <w:szCs w:val="20"/>
        </w:rPr>
      </w:pPr>
    </w:p>
    <w:p w14:paraId="164A0AFC" w14:textId="08BADFB2" w:rsidR="000F4899" w:rsidRPr="00A608EE" w:rsidRDefault="000F489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This standard has 3 essential practices:</w:t>
      </w:r>
    </w:p>
    <w:p w14:paraId="319425D6" w14:textId="4315677B" w:rsidR="000F4899" w:rsidRPr="00A608EE" w:rsidRDefault="000F4899" w:rsidP="00A27AAA">
      <w:pPr>
        <w:pStyle w:val="paragraph"/>
        <w:numPr>
          <w:ilvl w:val="0"/>
          <w:numId w:val="8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Essential Practice 1.B.1: The provider collects data on outcomes for clients and their households.</w:t>
      </w:r>
    </w:p>
    <w:p w14:paraId="1B7C56BD" w14:textId="6C2C4BAB" w:rsidR="000F4899" w:rsidRPr="00A608EE" w:rsidRDefault="000F4899" w:rsidP="00A27AAA">
      <w:pPr>
        <w:pStyle w:val="paragraph"/>
        <w:numPr>
          <w:ilvl w:val="0"/>
          <w:numId w:val="8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Essential Practice 1.B.2: The provider analyzes outcomes data by client segment.</w:t>
      </w:r>
    </w:p>
    <w:p w14:paraId="0C185BE4" w14:textId="48AE8001" w:rsidR="000F4899" w:rsidRPr="00A608EE" w:rsidRDefault="000F4899" w:rsidP="00A27AAA">
      <w:pPr>
        <w:pStyle w:val="paragraph"/>
        <w:numPr>
          <w:ilvl w:val="0"/>
          <w:numId w:val="8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Essential Practice 1.B.3: The provider reports social performance data internally and externally.</w:t>
      </w:r>
    </w:p>
    <w:p w14:paraId="30F4F39E" w14:textId="77777777" w:rsidR="000F4899" w:rsidRPr="00A608EE" w:rsidRDefault="000F4899" w:rsidP="00EE208A">
      <w:pPr>
        <w:pStyle w:val="paragraph"/>
        <w:spacing w:before="0" w:beforeAutospacing="0" w:after="0" w:afterAutospacing="0"/>
        <w:jc w:val="both"/>
        <w:textAlignment w:val="baseline"/>
        <w:rPr>
          <w:rStyle w:val="normaltextrun"/>
          <w:rFonts w:asciiTheme="majorHAnsi" w:hAnsiTheme="majorHAnsi"/>
          <w:sz w:val="20"/>
          <w:szCs w:val="20"/>
        </w:rPr>
      </w:pPr>
    </w:p>
    <w:p w14:paraId="001C0EAC" w14:textId="77777777" w:rsidR="000F4899" w:rsidRPr="00A608EE" w:rsidRDefault="000F4899" w:rsidP="00EE208A">
      <w:pPr>
        <w:pStyle w:val="paragraph"/>
        <w:spacing w:before="0" w:beforeAutospacing="0" w:after="0" w:afterAutospacing="0"/>
        <w:jc w:val="both"/>
        <w:textAlignment w:val="baseline"/>
        <w:rPr>
          <w:rStyle w:val="normaltextrun"/>
          <w:rFonts w:asciiTheme="majorHAnsi" w:hAnsiTheme="majorHAnsi"/>
          <w:sz w:val="20"/>
          <w:szCs w:val="20"/>
        </w:rPr>
      </w:pPr>
    </w:p>
    <w:p w14:paraId="3F86D28E" w14:textId="5335627C" w:rsidR="00C37D37" w:rsidRPr="00A608EE" w:rsidRDefault="00B05A53" w:rsidP="00EE208A">
      <w:pPr>
        <w:pStyle w:val="Heading3"/>
        <w:spacing w:before="0" w:line="240" w:lineRule="auto"/>
        <w:jc w:val="both"/>
        <w:rPr>
          <w:rStyle w:val="normaltextrun"/>
        </w:rPr>
      </w:pPr>
      <w:bookmarkStart w:id="22" w:name="_Toc230938773"/>
      <w:r w:rsidRPr="00A608EE">
        <w:rPr>
          <w:rStyle w:val="normaltextrun"/>
        </w:rPr>
        <w:t xml:space="preserve">1.B.1 </w:t>
      </w:r>
      <w:r w:rsidR="000F4899" w:rsidRPr="00A608EE">
        <w:rPr>
          <w:rStyle w:val="normaltextrun"/>
        </w:rPr>
        <w:t>The provider collects data on outcomes for clients and their households</w:t>
      </w:r>
      <w:r w:rsidR="002378CB" w:rsidRPr="00A608EE">
        <w:rPr>
          <w:rStyle w:val="normaltextrun"/>
        </w:rPr>
        <w:t>.</w:t>
      </w:r>
      <w:bookmarkEnd w:id="22"/>
    </w:p>
    <w:p w14:paraId="4F3E9F30" w14:textId="77777777" w:rsidR="00F33063" w:rsidRPr="00A608EE" w:rsidRDefault="00F33063" w:rsidP="00EE208A">
      <w:pPr>
        <w:jc w:val="both"/>
      </w:pPr>
    </w:p>
    <w:p w14:paraId="272AC4A3" w14:textId="181899B4" w:rsidR="000F4899" w:rsidRPr="00A608EE" w:rsidRDefault="000F4899" w:rsidP="00EE208A">
      <w:pPr>
        <w:jc w:val="both"/>
        <w:rPr>
          <w:rFonts w:asciiTheme="majorHAnsi" w:hAnsiTheme="majorHAnsi"/>
          <w:szCs w:val="20"/>
        </w:rPr>
      </w:pPr>
      <w:r w:rsidRPr="00A608EE">
        <w:rPr>
          <w:rFonts w:asciiTheme="majorHAnsi" w:hAnsiTheme="majorHAnsi"/>
          <w:szCs w:val="20"/>
        </w:rPr>
        <w:t>The data collection is related to social client outcomes whereas the indicator 7.A.2.1 refers to environmental outcomes.</w:t>
      </w:r>
    </w:p>
    <w:p w14:paraId="6DFCFCF8" w14:textId="77777777" w:rsidR="002B2999" w:rsidRPr="00A608EE" w:rsidRDefault="002B2999" w:rsidP="00EE208A">
      <w:pPr>
        <w:jc w:val="both"/>
        <w:rPr>
          <w:rFonts w:asciiTheme="majorHAnsi" w:hAnsiTheme="majorHAnsi"/>
          <w:szCs w:val="20"/>
        </w:rPr>
      </w:pPr>
    </w:p>
    <w:p w14:paraId="67205324" w14:textId="66592A74" w:rsidR="00C37D37" w:rsidRPr="00A608EE" w:rsidRDefault="68609FFB" w:rsidP="00EE208A">
      <w:pPr>
        <w:pStyle w:val="Heading4"/>
        <w:spacing w:before="0" w:line="240" w:lineRule="auto"/>
        <w:jc w:val="both"/>
        <w:rPr>
          <w:rStyle w:val="eop"/>
        </w:rPr>
      </w:pPr>
      <w:bookmarkStart w:id="23" w:name="_Hlk226729833"/>
      <w:r w:rsidRPr="00A608EE">
        <w:rPr>
          <w:rStyle w:val="normaltextrun"/>
        </w:rPr>
        <w:lastRenderedPageBreak/>
        <w:t xml:space="preserve">1.B.1.1 </w:t>
      </w:r>
      <w:r w:rsidR="00221639" w:rsidRPr="00A608EE">
        <w:rPr>
          <w:rStyle w:val="normaltextrun"/>
        </w:rPr>
        <w:t>The provider has protocols for social performance data collection that identify who collects the data, how, and when.</w:t>
      </w:r>
    </w:p>
    <w:p w14:paraId="103D2655" w14:textId="77777777" w:rsidR="002D2A49" w:rsidRPr="00A608EE" w:rsidRDefault="002D2A49" w:rsidP="00EE208A">
      <w:pPr>
        <w:jc w:val="both"/>
        <w:rPr>
          <w:rFonts w:asciiTheme="majorHAnsi" w:hAnsiTheme="majorHAnsi"/>
          <w:szCs w:val="20"/>
        </w:rPr>
      </w:pPr>
    </w:p>
    <w:p w14:paraId="64460F8E" w14:textId="079FF104" w:rsidR="009F5E66" w:rsidRPr="00A608EE" w:rsidRDefault="004921CE" w:rsidP="00A27AAA">
      <w:pPr>
        <w:pStyle w:val="paragraph"/>
        <w:spacing w:before="240" w:beforeAutospacing="0" w:after="240" w:afterAutospacing="0"/>
        <w:jc w:val="both"/>
        <w:rPr>
          <w:rFonts w:asciiTheme="majorHAnsi" w:hAnsiTheme="majorHAnsi"/>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bookmarkStart w:id="24" w:name="_Hlk226722819"/>
      <w:r w:rsidR="009F5E66" w:rsidRPr="00A608EE">
        <w:rPr>
          <w:rFonts w:asciiTheme="majorHAnsi" w:hAnsiTheme="majorHAnsi"/>
          <w:b/>
          <w:bCs/>
          <w:color w:val="2145CC" w:themeColor="accent5" w:themeShade="BF"/>
          <w:sz w:val="20"/>
          <w:szCs w:val="20"/>
        </w:rPr>
        <w:t>Indicat</w:t>
      </w:r>
      <w:r w:rsidR="00193999" w:rsidRPr="00A608EE">
        <w:rPr>
          <w:rFonts w:asciiTheme="majorHAnsi" w:hAnsiTheme="majorHAnsi"/>
          <w:b/>
          <w:bCs/>
          <w:color w:val="2145CC" w:themeColor="accent5" w:themeShade="BF"/>
          <w:sz w:val="20"/>
          <w:szCs w:val="20"/>
        </w:rPr>
        <w:t xml:space="preserve">or in </w:t>
      </w:r>
      <w:r w:rsidR="009F5E66"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9F5E66" w:rsidRPr="00A608EE">
        <w:rPr>
          <w:rFonts w:asciiTheme="majorHAnsi" w:hAnsiTheme="majorHAnsi"/>
          <w:b/>
          <w:bCs/>
          <w:color w:val="2145CC" w:themeColor="accent5" w:themeShade="BF"/>
          <w:sz w:val="20"/>
          <w:szCs w:val="20"/>
        </w:rPr>
        <w:t>SPI5 Full </w:t>
      </w:r>
      <w:bookmarkEnd w:id="24"/>
      <w:r w:rsidR="009A58DF" w:rsidRPr="00A608EE">
        <w:rPr>
          <w:rFonts w:ascii="Work Sans" w:hAnsi="Work Sans"/>
          <w:b/>
          <w:bCs/>
          <w:color w:val="2145CC" w:themeColor="accent5" w:themeShade="BF"/>
          <w:sz w:val="20"/>
          <w:szCs w:val="20"/>
        </w:rPr>
        <w:t>| DI Focus</w:t>
      </w:r>
    </w:p>
    <w:p w14:paraId="2A44F2CD" w14:textId="3C3C9984" w:rsidR="004E7EB1" w:rsidRPr="00A608EE" w:rsidRDefault="00193999" w:rsidP="00EE208A">
      <w:pPr>
        <w:jc w:val="both"/>
        <w:rPr>
          <w:rFonts w:asciiTheme="majorHAnsi" w:hAnsiTheme="majorHAnsi"/>
          <w:sz w:val="20"/>
          <w:szCs w:val="20"/>
          <w:lang w:eastAsia="fr-FR"/>
        </w:rPr>
      </w:pPr>
      <w:r w:rsidRPr="00A608EE">
        <w:rPr>
          <w:rFonts w:asciiTheme="majorHAnsi" w:hAnsiTheme="majorHAnsi"/>
          <w:sz w:val="20"/>
          <w:szCs w:val="20"/>
          <w:lang w:eastAsia="fr-FR"/>
        </w:rPr>
        <w:t>Accurate and timely data collection happens only when the roles and responsibilities are very clear for who does what, and when. This requires also regular checks on data accuracy by internal control/operations and internal audit.</w:t>
      </w:r>
    </w:p>
    <w:p w14:paraId="142A95C6" w14:textId="77777777" w:rsidR="00672763" w:rsidRPr="00A608EE" w:rsidRDefault="00672763" w:rsidP="00EE208A">
      <w:pPr>
        <w:jc w:val="both"/>
        <w:rPr>
          <w:rFonts w:asciiTheme="majorHAnsi" w:hAnsiTheme="majorHAnsi"/>
          <w:sz w:val="20"/>
          <w:szCs w:val="20"/>
          <w:lang w:eastAsia="fr-FR"/>
        </w:rPr>
      </w:pPr>
    </w:p>
    <w:p w14:paraId="4A28A79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793408" behindDoc="1" locked="0" layoutInCell="1" allowOverlap="1" wp14:anchorId="14B34AAB" wp14:editId="0BBFAE4D">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61156669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376C2087" w14:textId="77777777" w:rsidR="00672763" w:rsidRPr="00A608EE" w:rsidRDefault="00672763" w:rsidP="00EE208A">
      <w:pPr>
        <w:jc w:val="both"/>
        <w:rPr>
          <w:rFonts w:asciiTheme="majorHAnsi" w:hAnsiTheme="majorHAnsi"/>
          <w:sz w:val="20"/>
          <w:szCs w:val="20"/>
          <w:lang w:eastAsia="fr-FR"/>
        </w:rPr>
      </w:pPr>
    </w:p>
    <w:p w14:paraId="05A4203B" w14:textId="20FFAD2E" w:rsidR="004E7EB1" w:rsidRPr="00A608EE" w:rsidRDefault="004876A2"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4E7EB1" w:rsidRPr="00A608EE">
        <w:rPr>
          <w:rFonts w:asciiTheme="majorHAnsi" w:hAnsiTheme="majorHAnsi"/>
          <w:sz w:val="20"/>
          <w:szCs w:val="20"/>
          <w:lang w:eastAsia="fr-FR"/>
        </w:rPr>
        <w:t>Social performance data collection modalities are accessible and enable fair representation and participation of persons with different types of impairments.</w:t>
      </w:r>
    </w:p>
    <w:p w14:paraId="7C5D6F75" w14:textId="2A03D03D" w:rsidR="004E7EB1" w:rsidRPr="00A608EE" w:rsidRDefault="00B5338C" w:rsidP="00EE208A">
      <w:pPr>
        <w:jc w:val="both"/>
        <w:rPr>
          <w:rFonts w:asciiTheme="majorHAnsi" w:hAnsiTheme="majorHAnsi"/>
          <w:szCs w:val="20"/>
          <w:lang w:eastAsia="fr-FR"/>
        </w:rPr>
      </w:pPr>
      <w:r w:rsidRPr="00A608EE">
        <w:rPr>
          <w:noProof/>
        </w:rPr>
        <mc:AlternateContent>
          <mc:Choice Requires="wps">
            <w:drawing>
              <wp:anchor distT="0" distB="0" distL="114300" distR="114300" simplePos="0" relativeHeight="251667456" behindDoc="0" locked="0" layoutInCell="1" allowOverlap="1" wp14:anchorId="6B7290CF" wp14:editId="25499CD7">
                <wp:simplePos x="0" y="0"/>
                <wp:positionH relativeFrom="margin">
                  <wp:align>left</wp:align>
                </wp:positionH>
                <wp:positionV relativeFrom="paragraph">
                  <wp:posOffset>181610</wp:posOffset>
                </wp:positionV>
                <wp:extent cx="1828800" cy="3149600"/>
                <wp:effectExtent l="0" t="0" r="24130" b="12700"/>
                <wp:wrapSquare wrapText="bothSides"/>
                <wp:docPr id="1742281726" name="Cuadro de texto 1"/>
                <wp:cNvGraphicFramePr/>
                <a:graphic xmlns:a="http://schemas.openxmlformats.org/drawingml/2006/main">
                  <a:graphicData uri="http://schemas.microsoft.com/office/word/2010/wordprocessingShape">
                    <wps:wsp>
                      <wps:cNvSpPr txBox="1"/>
                      <wps:spPr>
                        <a:xfrm>
                          <a:off x="0" y="0"/>
                          <a:ext cx="1828800" cy="3149600"/>
                        </a:xfrm>
                        <a:prstGeom prst="rect">
                          <a:avLst/>
                        </a:prstGeom>
                        <a:noFill/>
                        <a:ln w="6350">
                          <a:solidFill>
                            <a:prstClr val="black"/>
                          </a:solidFill>
                        </a:ln>
                      </wps:spPr>
                      <wps:txbx>
                        <w:txbxContent>
                          <w:p w14:paraId="591C77DA" w14:textId="0A148E92" w:rsidR="004E7EB1" w:rsidRPr="00820B09" w:rsidRDefault="00B53772" w:rsidP="004E7EB1">
                            <w:pPr>
                              <w:jc w:val="both"/>
                              <w:rPr>
                                <w:rFonts w:asciiTheme="majorHAnsi" w:hAnsiTheme="majorHAnsi"/>
                                <w:b/>
                                <w:bCs/>
                                <w:sz w:val="20"/>
                                <w:szCs w:val="15"/>
                                <w:lang w:eastAsia="fr-FR"/>
                              </w:rPr>
                            </w:pPr>
                            <w:r w:rsidRPr="00820B09">
                              <w:rPr>
                                <w:rFonts w:asciiTheme="majorHAnsi" w:hAnsiTheme="majorHAnsi"/>
                                <w:b/>
                                <w:bCs/>
                                <w:sz w:val="20"/>
                                <w:szCs w:val="20"/>
                              </w:rPr>
                              <w:t xml:space="preserve">Disability Inclusion – Info Box </w:t>
                            </w:r>
                            <w:r w:rsidR="004E7EB1" w:rsidRPr="00820B09">
                              <w:rPr>
                                <w:rFonts w:asciiTheme="majorHAnsi" w:hAnsiTheme="majorHAnsi"/>
                                <w:b/>
                                <w:bCs/>
                                <w:sz w:val="20"/>
                                <w:szCs w:val="15"/>
                                <w:lang w:eastAsia="fr-FR"/>
                              </w:rPr>
                              <w:t>1.B.1.1</w:t>
                            </w:r>
                          </w:p>
                          <w:p w14:paraId="0B8B0732" w14:textId="51AE3694" w:rsidR="004E7EB1" w:rsidRPr="00820B09" w:rsidRDefault="004E7EB1" w:rsidP="004E7EB1">
                            <w:pPr>
                              <w:jc w:val="both"/>
                              <w:rPr>
                                <w:rFonts w:asciiTheme="majorHAnsi" w:hAnsiTheme="majorHAnsi"/>
                                <w:sz w:val="20"/>
                                <w:szCs w:val="15"/>
                                <w:lang w:eastAsia="fr-FR"/>
                              </w:rPr>
                            </w:pPr>
                            <w:r w:rsidRPr="00820B09">
                              <w:rPr>
                                <w:rFonts w:asciiTheme="majorHAnsi" w:hAnsiTheme="majorHAnsi"/>
                                <w:sz w:val="20"/>
                                <w:szCs w:val="15"/>
                                <w:lang w:eastAsia="fr-FR"/>
                              </w:rPr>
                              <w:t xml:space="preserve">Protocol for how to collect data from persons with disabilities </w:t>
                            </w:r>
                            <w:r w:rsidR="00FD444C" w:rsidRPr="00820B09">
                              <w:rPr>
                                <w:rFonts w:asciiTheme="majorHAnsi" w:hAnsiTheme="majorHAnsi"/>
                                <w:sz w:val="20"/>
                                <w:szCs w:val="15"/>
                                <w:lang w:eastAsia="fr-FR"/>
                              </w:rPr>
                              <w:t>should be</w:t>
                            </w:r>
                            <w:r w:rsidRPr="00820B09">
                              <w:rPr>
                                <w:rFonts w:asciiTheme="majorHAnsi" w:hAnsiTheme="majorHAnsi"/>
                                <w:sz w:val="20"/>
                                <w:szCs w:val="15"/>
                                <w:lang w:eastAsia="fr-FR"/>
                              </w:rPr>
                              <w:t xml:space="preserve"> developed in consultation with diverse groups representing clients and employees, including </w:t>
                            </w:r>
                            <w:r w:rsidR="001840FB" w:rsidRPr="00820B09">
                              <w:rPr>
                                <w:rFonts w:asciiTheme="majorHAnsi" w:hAnsiTheme="majorHAnsi"/>
                                <w:sz w:val="20"/>
                                <w:szCs w:val="15"/>
                                <w:lang w:eastAsia="fr-FR"/>
                              </w:rPr>
                              <w:t>organizations of persons with disabilities (</w:t>
                            </w:r>
                            <w:r w:rsidRPr="00820B09">
                              <w:rPr>
                                <w:rFonts w:asciiTheme="majorHAnsi" w:hAnsiTheme="majorHAnsi"/>
                                <w:sz w:val="20"/>
                                <w:szCs w:val="15"/>
                                <w:lang w:eastAsia="fr-FR"/>
                              </w:rPr>
                              <w:t>OPDs</w:t>
                            </w:r>
                            <w:r w:rsidR="001840FB" w:rsidRPr="00820B09">
                              <w:rPr>
                                <w:rFonts w:asciiTheme="majorHAnsi" w:hAnsiTheme="majorHAnsi"/>
                                <w:sz w:val="20"/>
                                <w:szCs w:val="15"/>
                                <w:lang w:eastAsia="fr-FR"/>
                              </w:rPr>
                              <w:t>)</w:t>
                            </w:r>
                            <w:r w:rsidRPr="00820B09">
                              <w:rPr>
                                <w:rFonts w:asciiTheme="majorHAnsi" w:hAnsiTheme="majorHAnsi"/>
                                <w:sz w:val="20"/>
                                <w:szCs w:val="15"/>
                                <w:lang w:eastAsia="fr-FR"/>
                              </w:rPr>
                              <w:t>.</w:t>
                            </w:r>
                          </w:p>
                          <w:p w14:paraId="7D8721B8" w14:textId="77777777" w:rsidR="00B5338C" w:rsidRPr="00820B09" w:rsidRDefault="00B5338C" w:rsidP="004E7EB1">
                            <w:pPr>
                              <w:jc w:val="both"/>
                              <w:rPr>
                                <w:rFonts w:asciiTheme="majorHAnsi" w:hAnsiTheme="majorHAnsi"/>
                                <w:sz w:val="20"/>
                                <w:szCs w:val="15"/>
                                <w:lang w:eastAsia="fr-FR"/>
                              </w:rPr>
                            </w:pPr>
                          </w:p>
                          <w:p w14:paraId="6F9FD0A5" w14:textId="342C5E23" w:rsidR="004E7EB1" w:rsidRPr="00820B09" w:rsidRDefault="004E7EB1" w:rsidP="004E7EB1">
                            <w:pPr>
                              <w:jc w:val="both"/>
                              <w:rPr>
                                <w:rFonts w:asciiTheme="majorHAnsi" w:hAnsiTheme="majorHAnsi"/>
                                <w:sz w:val="20"/>
                                <w:szCs w:val="15"/>
                                <w:lang w:eastAsia="fr-FR"/>
                              </w:rPr>
                            </w:pPr>
                            <w:r w:rsidRPr="00820B09">
                              <w:rPr>
                                <w:rFonts w:asciiTheme="majorHAnsi" w:hAnsiTheme="majorHAnsi"/>
                                <w:sz w:val="20"/>
                                <w:szCs w:val="15"/>
                                <w:lang w:eastAsia="fr-FR"/>
                              </w:rPr>
                              <w:t xml:space="preserve">Protocols should identify how social and communication barriers are overcome, which are otherwise likely to prevent data </w:t>
                            </w:r>
                            <w:r w:rsidR="001840FB" w:rsidRPr="00820B09">
                              <w:rPr>
                                <w:rFonts w:asciiTheme="majorHAnsi" w:hAnsiTheme="majorHAnsi"/>
                                <w:sz w:val="20"/>
                                <w:szCs w:val="15"/>
                                <w:lang w:eastAsia="fr-FR"/>
                              </w:rPr>
                              <w:t>from</w:t>
                            </w:r>
                            <w:r w:rsidRPr="00820B09">
                              <w:rPr>
                                <w:rFonts w:asciiTheme="majorHAnsi" w:hAnsiTheme="majorHAnsi"/>
                                <w:sz w:val="20"/>
                                <w:szCs w:val="15"/>
                                <w:lang w:eastAsia="fr-FR"/>
                              </w:rPr>
                              <w:t xml:space="preserve"> be</w:t>
                            </w:r>
                            <w:r w:rsidR="001840FB" w:rsidRPr="00820B09">
                              <w:rPr>
                                <w:rFonts w:asciiTheme="majorHAnsi" w:hAnsiTheme="majorHAnsi"/>
                                <w:sz w:val="20"/>
                                <w:szCs w:val="15"/>
                                <w:lang w:eastAsia="fr-FR"/>
                              </w:rPr>
                              <w:t>ing</w:t>
                            </w:r>
                            <w:r w:rsidRPr="00820B09">
                              <w:rPr>
                                <w:rFonts w:asciiTheme="majorHAnsi" w:hAnsiTheme="majorHAnsi"/>
                                <w:sz w:val="20"/>
                                <w:szCs w:val="15"/>
                                <w:lang w:eastAsia="fr-FR"/>
                              </w:rPr>
                              <w:t xml:space="preserve"> collected directly from pe</w:t>
                            </w:r>
                            <w:r w:rsidR="00907EF8" w:rsidRPr="00820B09">
                              <w:rPr>
                                <w:rFonts w:asciiTheme="majorHAnsi" w:hAnsiTheme="majorHAnsi"/>
                                <w:sz w:val="20"/>
                                <w:szCs w:val="15"/>
                                <w:lang w:eastAsia="fr-FR"/>
                              </w:rPr>
                              <w:t>rsons</w:t>
                            </w:r>
                            <w:r w:rsidRPr="00820B09">
                              <w:rPr>
                                <w:rFonts w:asciiTheme="majorHAnsi" w:hAnsiTheme="majorHAnsi"/>
                                <w:sz w:val="20"/>
                                <w:szCs w:val="15"/>
                                <w:lang w:eastAsia="fr-FR"/>
                              </w:rPr>
                              <w:t xml:space="preserve"> with disabilities.</w:t>
                            </w:r>
                            <w:r w:rsidR="006039DA" w:rsidRPr="00820B09">
                              <w:rPr>
                                <w:rFonts w:asciiTheme="majorHAnsi" w:hAnsiTheme="majorHAnsi"/>
                                <w:sz w:val="20"/>
                                <w:szCs w:val="15"/>
                                <w:lang w:eastAsia="fr-FR"/>
                              </w:rPr>
                              <w:t xml:space="preserve"> Ensure staff conducting research are trained to follow these protocols, and in communication with persons with different types of impairments. </w:t>
                            </w:r>
                            <w:bookmarkStart w:id="25" w:name="_Hlk227086197"/>
                            <w:r w:rsidR="006039DA" w:rsidRPr="00820B09">
                              <w:rPr>
                                <w:rFonts w:asciiTheme="majorHAnsi" w:hAnsiTheme="majorHAnsi"/>
                                <w:sz w:val="20"/>
                                <w:szCs w:val="15"/>
                                <w:lang w:eastAsia="fr-FR"/>
                              </w:rPr>
                              <w:t xml:space="preserve">Data </w:t>
                            </w:r>
                            <w:r w:rsidR="00A27AAA" w:rsidRPr="00820B09">
                              <w:rPr>
                                <w:rFonts w:asciiTheme="majorHAnsi" w:hAnsiTheme="majorHAnsi"/>
                                <w:sz w:val="20"/>
                                <w:szCs w:val="15"/>
                                <w:lang w:eastAsia="fr-FR"/>
                              </w:rPr>
                              <w:t>collection tools</w:t>
                            </w:r>
                            <w:r w:rsidR="006039DA" w:rsidRPr="00820B09">
                              <w:rPr>
                                <w:rFonts w:asciiTheme="majorHAnsi" w:hAnsiTheme="majorHAnsi"/>
                                <w:sz w:val="20"/>
                                <w:szCs w:val="15"/>
                                <w:lang w:eastAsia="fr-FR"/>
                              </w:rPr>
                              <w:t xml:space="preserve"> should be accessible, for instance including sign language interpreters in interviews with persons with hearing impairment, providing Easy read versions of surveys for persons with cognitive disabilities, braille or large print versions for persons with visual impairments, and digital surveys compatible with screen readers.</w:t>
                            </w:r>
                          </w:p>
                          <w:bookmarkEnd w:id="25"/>
                          <w:p w14:paraId="63474A1F" w14:textId="77777777" w:rsidR="004E7EB1" w:rsidRPr="00820B09" w:rsidRDefault="004E7EB1" w:rsidP="00BB7A23">
                            <w:pPr>
                              <w:jc w:val="both"/>
                              <w:rPr>
                                <w:rFonts w:asciiTheme="majorHAnsi" w:hAnsiTheme="majorHAnsi"/>
                                <w:sz w:val="20"/>
                                <w:szCs w:val="15"/>
                                <w:lang w:eastAsia="fr-FR"/>
                              </w:rPr>
                            </w:pPr>
                          </w:p>
                          <w:p w14:paraId="61142EB8" w14:textId="58EB4E0F" w:rsidR="004E7EB1" w:rsidRPr="00820B09" w:rsidRDefault="004E7EB1" w:rsidP="00BB7A23">
                            <w:pPr>
                              <w:jc w:val="both"/>
                              <w:rPr>
                                <w:rFonts w:asciiTheme="majorHAnsi" w:hAnsiTheme="majorHAnsi"/>
                                <w:sz w:val="20"/>
                                <w:szCs w:val="15"/>
                                <w:lang w:eastAsia="fr-FR"/>
                              </w:rPr>
                            </w:pPr>
                            <w:r w:rsidRPr="00820B09">
                              <w:rPr>
                                <w:rFonts w:asciiTheme="majorHAnsi" w:hAnsiTheme="majorHAnsi"/>
                                <w:sz w:val="20"/>
                                <w:szCs w:val="15"/>
                                <w:lang w:eastAsia="fr-FR"/>
                              </w:rPr>
                              <w:t>Protocols should specify data collection methodologies t</w:t>
                            </w:r>
                            <w:r w:rsidR="001840FB" w:rsidRPr="00820B09">
                              <w:rPr>
                                <w:rFonts w:asciiTheme="majorHAnsi" w:hAnsiTheme="majorHAnsi"/>
                                <w:sz w:val="20"/>
                                <w:szCs w:val="15"/>
                                <w:lang w:eastAsia="fr-FR"/>
                              </w:rPr>
                              <w:t xml:space="preserve">o </w:t>
                            </w:r>
                            <w:r w:rsidR="006039DA" w:rsidRPr="00820B09">
                              <w:rPr>
                                <w:rFonts w:asciiTheme="majorHAnsi" w:hAnsiTheme="majorHAnsi"/>
                                <w:sz w:val="20"/>
                                <w:szCs w:val="15"/>
                                <w:lang w:eastAsia="fr-FR"/>
                              </w:rPr>
                              <w:t xml:space="preserve">collect data on disability from respondents, to </w:t>
                            </w:r>
                            <w:r w:rsidRPr="00820B09">
                              <w:rPr>
                                <w:rFonts w:asciiTheme="majorHAnsi" w:hAnsiTheme="majorHAnsi"/>
                                <w:sz w:val="20"/>
                                <w:szCs w:val="15"/>
                                <w:lang w:eastAsia="fr-FR"/>
                              </w:rPr>
                              <w:t>enable accurate disaggregation of the data by disability status</w:t>
                            </w:r>
                            <w:r w:rsidR="006039DA" w:rsidRPr="00820B09">
                              <w:rPr>
                                <w:rFonts w:asciiTheme="majorHAnsi" w:hAnsiTheme="majorHAnsi"/>
                                <w:sz w:val="20"/>
                                <w:szCs w:val="15"/>
                                <w:lang w:eastAsia="fr-FR"/>
                              </w:rPr>
                              <w:t xml:space="preserve"> (see indicator 1.B.1.3 for information about tools and methodologies for disability data collection). </w:t>
                            </w:r>
                          </w:p>
                          <w:p w14:paraId="0BD26D62" w14:textId="77777777" w:rsidR="008E5CA3" w:rsidRPr="00820B09" w:rsidRDefault="008E5CA3" w:rsidP="00BB7A23">
                            <w:pPr>
                              <w:jc w:val="both"/>
                              <w:rPr>
                                <w:rFonts w:asciiTheme="majorHAnsi" w:hAnsiTheme="majorHAnsi"/>
                                <w:sz w:val="20"/>
                                <w:szCs w:val="15"/>
                                <w:lang w:eastAsia="fr-FR"/>
                              </w:rPr>
                            </w:pPr>
                          </w:p>
                          <w:p w14:paraId="06D49914" w14:textId="5585A6B8" w:rsidR="008E5CA3" w:rsidRPr="00820B09" w:rsidRDefault="008E5CA3" w:rsidP="00BB7A23">
                            <w:pPr>
                              <w:jc w:val="both"/>
                              <w:rPr>
                                <w:rFonts w:asciiTheme="majorHAnsi" w:hAnsiTheme="majorHAnsi"/>
                                <w:sz w:val="20"/>
                                <w:szCs w:val="15"/>
                                <w:lang w:eastAsia="fr-FR"/>
                              </w:rPr>
                            </w:pPr>
                            <w:r w:rsidRPr="00820B09">
                              <w:rPr>
                                <w:rFonts w:asciiTheme="majorHAnsi" w:hAnsiTheme="majorHAnsi"/>
                                <w:sz w:val="20"/>
                                <w:szCs w:val="15"/>
                                <w:lang w:eastAsia="fr-FR"/>
                              </w:rPr>
                              <w:t>See the resources for this indicator for practical guidance on disability-inclusive research.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7290CF" id="_x0000_s1029" type="#_x0000_t202" style="position:absolute;left:0;text-align:left;margin-left:0;margin-top:14.3pt;width:2in;height:248pt;z-index:251667456;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" filled="f" strokeweight=".5pt">
                <v:textbox>
                  <w:txbxContent>
                    <w:p w14:paraId="591C77DA" w14:textId="0A148E92" w:rsidR="004E7EB1" w:rsidRPr="00820B09" w:rsidRDefault="00B53772" w:rsidP="004E7EB1">
                      <w:pPr>
                        <w:jc w:val="both"/>
                        <w:rPr>
                          <w:rFonts w:asciiTheme="majorHAnsi" w:hAnsiTheme="majorHAnsi"/>
                          <w:b/>
                          <w:bCs/>
                          <w:sz w:val="20"/>
                          <w:szCs w:val="15"/>
                          <w:lang w:eastAsia="fr-FR"/>
                        </w:rPr>
                      </w:pPr>
                      <w:r w:rsidRPr="00820B09">
                        <w:rPr>
                          <w:rFonts w:asciiTheme="majorHAnsi" w:hAnsiTheme="majorHAnsi"/>
                          <w:b/>
                          <w:bCs/>
                          <w:sz w:val="20"/>
                          <w:szCs w:val="20"/>
                        </w:rPr>
                        <w:t xml:space="preserve">Disability Inclusion – Info Box </w:t>
                      </w:r>
                      <w:r w:rsidR="004E7EB1" w:rsidRPr="00820B09">
                        <w:rPr>
                          <w:rFonts w:asciiTheme="majorHAnsi" w:hAnsiTheme="majorHAnsi"/>
                          <w:b/>
                          <w:bCs/>
                          <w:sz w:val="20"/>
                          <w:szCs w:val="15"/>
                          <w:lang w:eastAsia="fr-FR"/>
                        </w:rPr>
                        <w:t>1.B.1.1</w:t>
                      </w:r>
                    </w:p>
                    <w:p w14:paraId="0B8B0732" w14:textId="51AE3694" w:rsidR="004E7EB1" w:rsidRPr="00820B09" w:rsidRDefault="004E7EB1" w:rsidP="004E7EB1">
                      <w:pPr>
                        <w:jc w:val="both"/>
                        <w:rPr>
                          <w:rFonts w:asciiTheme="majorHAnsi" w:hAnsiTheme="majorHAnsi"/>
                          <w:sz w:val="20"/>
                          <w:szCs w:val="15"/>
                          <w:lang w:eastAsia="fr-FR"/>
                        </w:rPr>
                      </w:pPr>
                      <w:r w:rsidRPr="00820B09">
                        <w:rPr>
                          <w:rFonts w:asciiTheme="majorHAnsi" w:hAnsiTheme="majorHAnsi"/>
                          <w:sz w:val="20"/>
                          <w:szCs w:val="15"/>
                          <w:lang w:eastAsia="fr-FR"/>
                        </w:rPr>
                        <w:t xml:space="preserve">Protocol for how to collect data from persons with disabilities </w:t>
                      </w:r>
                      <w:r w:rsidR="00FD444C" w:rsidRPr="00820B09">
                        <w:rPr>
                          <w:rFonts w:asciiTheme="majorHAnsi" w:hAnsiTheme="majorHAnsi"/>
                          <w:sz w:val="20"/>
                          <w:szCs w:val="15"/>
                          <w:lang w:eastAsia="fr-FR"/>
                        </w:rPr>
                        <w:t>should be</w:t>
                      </w:r>
                      <w:r w:rsidRPr="00820B09">
                        <w:rPr>
                          <w:rFonts w:asciiTheme="majorHAnsi" w:hAnsiTheme="majorHAnsi"/>
                          <w:sz w:val="20"/>
                          <w:szCs w:val="15"/>
                          <w:lang w:eastAsia="fr-FR"/>
                        </w:rPr>
                        <w:t xml:space="preserve"> developed in consultation with diverse groups representing clients and employees, including </w:t>
                      </w:r>
                      <w:r w:rsidR="001840FB" w:rsidRPr="00820B09">
                        <w:rPr>
                          <w:rFonts w:asciiTheme="majorHAnsi" w:hAnsiTheme="majorHAnsi"/>
                          <w:sz w:val="20"/>
                          <w:szCs w:val="15"/>
                          <w:lang w:eastAsia="fr-FR"/>
                        </w:rPr>
                        <w:t>organizations of persons with disabilities (</w:t>
                      </w:r>
                      <w:r w:rsidRPr="00820B09">
                        <w:rPr>
                          <w:rFonts w:asciiTheme="majorHAnsi" w:hAnsiTheme="majorHAnsi"/>
                          <w:sz w:val="20"/>
                          <w:szCs w:val="15"/>
                          <w:lang w:eastAsia="fr-FR"/>
                        </w:rPr>
                        <w:t>OPDs</w:t>
                      </w:r>
                      <w:r w:rsidR="001840FB" w:rsidRPr="00820B09">
                        <w:rPr>
                          <w:rFonts w:asciiTheme="majorHAnsi" w:hAnsiTheme="majorHAnsi"/>
                          <w:sz w:val="20"/>
                          <w:szCs w:val="15"/>
                          <w:lang w:eastAsia="fr-FR"/>
                        </w:rPr>
                        <w:t>)</w:t>
                      </w:r>
                      <w:r w:rsidRPr="00820B09">
                        <w:rPr>
                          <w:rFonts w:asciiTheme="majorHAnsi" w:hAnsiTheme="majorHAnsi"/>
                          <w:sz w:val="20"/>
                          <w:szCs w:val="15"/>
                          <w:lang w:eastAsia="fr-FR"/>
                        </w:rPr>
                        <w:t>.</w:t>
                      </w:r>
                    </w:p>
                    <w:p w14:paraId="7D8721B8" w14:textId="77777777" w:rsidR="00B5338C" w:rsidRPr="00820B09" w:rsidRDefault="00B5338C" w:rsidP="004E7EB1">
                      <w:pPr>
                        <w:jc w:val="both"/>
                        <w:rPr>
                          <w:rFonts w:asciiTheme="majorHAnsi" w:hAnsiTheme="majorHAnsi"/>
                          <w:sz w:val="20"/>
                          <w:szCs w:val="15"/>
                          <w:lang w:eastAsia="fr-FR"/>
                        </w:rPr>
                      </w:pPr>
                    </w:p>
                    <w:p w14:paraId="6F9FD0A5" w14:textId="342C5E23" w:rsidR="004E7EB1" w:rsidRPr="00820B09" w:rsidRDefault="004E7EB1" w:rsidP="004E7EB1">
                      <w:pPr>
                        <w:jc w:val="both"/>
                        <w:rPr>
                          <w:rFonts w:asciiTheme="majorHAnsi" w:hAnsiTheme="majorHAnsi"/>
                          <w:sz w:val="20"/>
                          <w:szCs w:val="15"/>
                          <w:lang w:eastAsia="fr-FR"/>
                        </w:rPr>
                      </w:pPr>
                      <w:r w:rsidRPr="00820B09">
                        <w:rPr>
                          <w:rFonts w:asciiTheme="majorHAnsi" w:hAnsiTheme="majorHAnsi"/>
                          <w:sz w:val="20"/>
                          <w:szCs w:val="15"/>
                          <w:lang w:eastAsia="fr-FR"/>
                        </w:rPr>
                        <w:t xml:space="preserve">Protocols should identify how social and communication barriers are overcome, which are otherwise likely to prevent data </w:t>
                      </w:r>
                      <w:r w:rsidR="001840FB" w:rsidRPr="00820B09">
                        <w:rPr>
                          <w:rFonts w:asciiTheme="majorHAnsi" w:hAnsiTheme="majorHAnsi"/>
                          <w:sz w:val="20"/>
                          <w:szCs w:val="15"/>
                          <w:lang w:eastAsia="fr-FR"/>
                        </w:rPr>
                        <w:t>from</w:t>
                      </w:r>
                      <w:r w:rsidRPr="00820B09">
                        <w:rPr>
                          <w:rFonts w:asciiTheme="majorHAnsi" w:hAnsiTheme="majorHAnsi"/>
                          <w:sz w:val="20"/>
                          <w:szCs w:val="15"/>
                          <w:lang w:eastAsia="fr-FR"/>
                        </w:rPr>
                        <w:t xml:space="preserve"> be</w:t>
                      </w:r>
                      <w:r w:rsidR="001840FB" w:rsidRPr="00820B09">
                        <w:rPr>
                          <w:rFonts w:asciiTheme="majorHAnsi" w:hAnsiTheme="majorHAnsi"/>
                          <w:sz w:val="20"/>
                          <w:szCs w:val="15"/>
                          <w:lang w:eastAsia="fr-FR"/>
                        </w:rPr>
                        <w:t>ing</w:t>
                      </w:r>
                      <w:r w:rsidRPr="00820B09">
                        <w:rPr>
                          <w:rFonts w:asciiTheme="majorHAnsi" w:hAnsiTheme="majorHAnsi"/>
                          <w:sz w:val="20"/>
                          <w:szCs w:val="15"/>
                          <w:lang w:eastAsia="fr-FR"/>
                        </w:rPr>
                        <w:t xml:space="preserve"> collected directly from pe</w:t>
                      </w:r>
                      <w:r w:rsidR="00907EF8" w:rsidRPr="00820B09">
                        <w:rPr>
                          <w:rFonts w:asciiTheme="majorHAnsi" w:hAnsiTheme="majorHAnsi"/>
                          <w:sz w:val="20"/>
                          <w:szCs w:val="15"/>
                          <w:lang w:eastAsia="fr-FR"/>
                        </w:rPr>
                        <w:t>rsons</w:t>
                      </w:r>
                      <w:r w:rsidRPr="00820B09">
                        <w:rPr>
                          <w:rFonts w:asciiTheme="majorHAnsi" w:hAnsiTheme="majorHAnsi"/>
                          <w:sz w:val="20"/>
                          <w:szCs w:val="15"/>
                          <w:lang w:eastAsia="fr-FR"/>
                        </w:rPr>
                        <w:t xml:space="preserve"> with disabilities.</w:t>
                      </w:r>
                      <w:r w:rsidR="006039DA" w:rsidRPr="00820B09">
                        <w:rPr>
                          <w:rFonts w:asciiTheme="majorHAnsi" w:hAnsiTheme="majorHAnsi"/>
                          <w:sz w:val="20"/>
                          <w:szCs w:val="15"/>
                          <w:lang w:eastAsia="fr-FR"/>
                        </w:rPr>
                        <w:t xml:space="preserve"> Ensure staff conducting research are trained to follow these protocols, and in communication with persons with different types of impairments. </w:t>
                      </w:r>
                      <w:bookmarkStart w:id="26" w:name="_Hlk227086197"/>
                      <w:r w:rsidR="006039DA" w:rsidRPr="00820B09">
                        <w:rPr>
                          <w:rFonts w:asciiTheme="majorHAnsi" w:hAnsiTheme="majorHAnsi"/>
                          <w:sz w:val="20"/>
                          <w:szCs w:val="15"/>
                          <w:lang w:eastAsia="fr-FR"/>
                        </w:rPr>
                        <w:t xml:space="preserve">Data </w:t>
                      </w:r>
                      <w:r w:rsidR="00A27AAA" w:rsidRPr="00820B09">
                        <w:rPr>
                          <w:rFonts w:asciiTheme="majorHAnsi" w:hAnsiTheme="majorHAnsi"/>
                          <w:sz w:val="20"/>
                          <w:szCs w:val="15"/>
                          <w:lang w:eastAsia="fr-FR"/>
                        </w:rPr>
                        <w:t>collection tools</w:t>
                      </w:r>
                      <w:r w:rsidR="006039DA" w:rsidRPr="00820B09">
                        <w:rPr>
                          <w:rFonts w:asciiTheme="majorHAnsi" w:hAnsiTheme="majorHAnsi"/>
                          <w:sz w:val="20"/>
                          <w:szCs w:val="15"/>
                          <w:lang w:eastAsia="fr-FR"/>
                        </w:rPr>
                        <w:t xml:space="preserve"> should be accessible, for instance including sign language interpreters in interviews with persons with hearing impairment, providing Easy read versions of surveys for persons with cognitive disabilities, braille or large print versions for persons with visual impairments, and digital surveys compatible with screen readers.</w:t>
                      </w:r>
                    </w:p>
                    <w:bookmarkEnd w:id="26"/>
                    <w:p w14:paraId="63474A1F" w14:textId="77777777" w:rsidR="004E7EB1" w:rsidRPr="00820B09" w:rsidRDefault="004E7EB1" w:rsidP="00BB7A23">
                      <w:pPr>
                        <w:jc w:val="both"/>
                        <w:rPr>
                          <w:rFonts w:asciiTheme="majorHAnsi" w:hAnsiTheme="majorHAnsi"/>
                          <w:sz w:val="20"/>
                          <w:szCs w:val="15"/>
                          <w:lang w:eastAsia="fr-FR"/>
                        </w:rPr>
                      </w:pPr>
                    </w:p>
                    <w:p w14:paraId="61142EB8" w14:textId="58EB4E0F" w:rsidR="004E7EB1" w:rsidRPr="00820B09" w:rsidRDefault="004E7EB1" w:rsidP="00BB7A23">
                      <w:pPr>
                        <w:jc w:val="both"/>
                        <w:rPr>
                          <w:rFonts w:asciiTheme="majorHAnsi" w:hAnsiTheme="majorHAnsi"/>
                          <w:sz w:val="20"/>
                          <w:szCs w:val="15"/>
                          <w:lang w:eastAsia="fr-FR"/>
                        </w:rPr>
                      </w:pPr>
                      <w:r w:rsidRPr="00820B09">
                        <w:rPr>
                          <w:rFonts w:asciiTheme="majorHAnsi" w:hAnsiTheme="majorHAnsi"/>
                          <w:sz w:val="20"/>
                          <w:szCs w:val="15"/>
                          <w:lang w:eastAsia="fr-FR"/>
                        </w:rPr>
                        <w:t>Protocols should specify data collection methodologies t</w:t>
                      </w:r>
                      <w:r w:rsidR="001840FB" w:rsidRPr="00820B09">
                        <w:rPr>
                          <w:rFonts w:asciiTheme="majorHAnsi" w:hAnsiTheme="majorHAnsi"/>
                          <w:sz w:val="20"/>
                          <w:szCs w:val="15"/>
                          <w:lang w:eastAsia="fr-FR"/>
                        </w:rPr>
                        <w:t xml:space="preserve">o </w:t>
                      </w:r>
                      <w:r w:rsidR="006039DA" w:rsidRPr="00820B09">
                        <w:rPr>
                          <w:rFonts w:asciiTheme="majorHAnsi" w:hAnsiTheme="majorHAnsi"/>
                          <w:sz w:val="20"/>
                          <w:szCs w:val="15"/>
                          <w:lang w:eastAsia="fr-FR"/>
                        </w:rPr>
                        <w:t xml:space="preserve">collect data on disability from respondents, to </w:t>
                      </w:r>
                      <w:r w:rsidRPr="00820B09">
                        <w:rPr>
                          <w:rFonts w:asciiTheme="majorHAnsi" w:hAnsiTheme="majorHAnsi"/>
                          <w:sz w:val="20"/>
                          <w:szCs w:val="15"/>
                          <w:lang w:eastAsia="fr-FR"/>
                        </w:rPr>
                        <w:t>enable accurate disaggregation of the data by disability status</w:t>
                      </w:r>
                      <w:r w:rsidR="006039DA" w:rsidRPr="00820B09">
                        <w:rPr>
                          <w:rFonts w:asciiTheme="majorHAnsi" w:hAnsiTheme="majorHAnsi"/>
                          <w:sz w:val="20"/>
                          <w:szCs w:val="15"/>
                          <w:lang w:eastAsia="fr-FR"/>
                        </w:rPr>
                        <w:t xml:space="preserve"> (see indicator 1.B.1.3 for information about tools and methodologies for disability data collection). </w:t>
                      </w:r>
                    </w:p>
                    <w:p w14:paraId="0BD26D62" w14:textId="77777777" w:rsidR="008E5CA3" w:rsidRPr="00820B09" w:rsidRDefault="008E5CA3" w:rsidP="00BB7A23">
                      <w:pPr>
                        <w:jc w:val="both"/>
                        <w:rPr>
                          <w:rFonts w:asciiTheme="majorHAnsi" w:hAnsiTheme="majorHAnsi"/>
                          <w:sz w:val="20"/>
                          <w:szCs w:val="15"/>
                          <w:lang w:eastAsia="fr-FR"/>
                        </w:rPr>
                      </w:pPr>
                    </w:p>
                    <w:p w14:paraId="06D49914" w14:textId="5585A6B8" w:rsidR="008E5CA3" w:rsidRPr="00820B09" w:rsidRDefault="008E5CA3" w:rsidP="00BB7A23">
                      <w:pPr>
                        <w:jc w:val="both"/>
                        <w:rPr>
                          <w:rFonts w:asciiTheme="majorHAnsi" w:hAnsiTheme="majorHAnsi"/>
                          <w:sz w:val="20"/>
                          <w:szCs w:val="15"/>
                          <w:lang w:eastAsia="fr-FR"/>
                        </w:rPr>
                      </w:pPr>
                      <w:r w:rsidRPr="00820B09">
                        <w:rPr>
                          <w:rFonts w:asciiTheme="majorHAnsi" w:hAnsiTheme="majorHAnsi"/>
                          <w:sz w:val="20"/>
                          <w:szCs w:val="15"/>
                          <w:lang w:eastAsia="fr-FR"/>
                        </w:rPr>
                        <w:t>See the resources for this indicator for practical guidance on disability-inclusive research.</w:t>
                      </w:r>
                    </w:p>
                  </w:txbxContent>
                </v:textbox>
                <w10:wrap type="square" anchorx="margin"/>
              </v:shape>
            </w:pict>
          </mc:Fallback>
        </mc:AlternateContent>
      </w:r>
    </w:p>
    <w:bookmarkEnd w:id="23"/>
    <w:p w14:paraId="7286F79D" w14:textId="77777777" w:rsidR="00193999" w:rsidRPr="00A608EE" w:rsidRDefault="00193999" w:rsidP="00A27AAA">
      <w:pPr>
        <w:spacing w:before="120" w:after="120"/>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3ED627B7" w14:textId="77777777" w:rsidR="00193999" w:rsidRPr="00A608EE" w:rsidRDefault="00193999" w:rsidP="00A27AAA">
      <w:pPr>
        <w:numPr>
          <w:ilvl w:val="0"/>
          <w:numId w:val="86"/>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collects a range of client outcomes data consistently and regularly at least annually for tracking progress on all social targets and their corresponding goals. For efficiency reasons the client outcomes data are entered into the MIS, with regular data quality/accuracy checks by operations/internal control and internal audit, and job descriptions reflect employees’ responsibilities regarding client outcome data collection and quality/accuracy checks.</w:t>
      </w:r>
    </w:p>
    <w:p w14:paraId="38BE5DB0" w14:textId="77777777" w:rsidR="00193999" w:rsidRPr="00A608EE" w:rsidRDefault="00193999" w:rsidP="00A27AAA">
      <w:pPr>
        <w:numPr>
          <w:ilvl w:val="0"/>
          <w:numId w:val="86"/>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has established protocols for client outcomes data collection, but employees implement them inconsistently and/or do not carry out data quality/accuracy checks, or if the provider has collected client outcomes data as follows: (1) as a one-time activity; (2) some data collected on paper but not captured in MIS or databases to be used and analyzed; (3) collection of one or two types of client outcomes data only.</w:t>
      </w:r>
    </w:p>
    <w:p w14:paraId="7A1D0A57" w14:textId="77777777" w:rsidR="00193999" w:rsidRPr="00A608EE" w:rsidRDefault="00193999" w:rsidP="00A27AAA">
      <w:pPr>
        <w:numPr>
          <w:ilvl w:val="0"/>
          <w:numId w:val="86"/>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does not collect client outcomes data in a consistent and regular way that data can be used and analyzed.</w:t>
      </w:r>
    </w:p>
    <w:p w14:paraId="7A424CDE" w14:textId="2621A9CE" w:rsidR="00193999" w:rsidRPr="00A608EE" w:rsidRDefault="00193999" w:rsidP="00A27AAA">
      <w:pPr>
        <w:spacing w:before="120" w:after="120"/>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r w:rsidRPr="00A608EE">
        <w:rPr>
          <w:b/>
          <w:bCs/>
          <w:sz w:val="20"/>
          <w:szCs w:val="20"/>
          <w:lang w:eastAsia="fr-FR"/>
        </w:rPr>
        <w:t> </w:t>
      </w:r>
    </w:p>
    <w:p w14:paraId="5C8BD54F" w14:textId="77777777" w:rsidR="00193999" w:rsidRPr="00A608EE" w:rsidRDefault="00193999" w:rsidP="00A27AAA">
      <w:pPr>
        <w:numPr>
          <w:ilvl w:val="0"/>
          <w:numId w:val="87"/>
        </w:numPr>
        <w:jc w:val="both"/>
        <w:rPr>
          <w:rFonts w:asciiTheme="majorHAnsi" w:hAnsiTheme="majorHAnsi"/>
          <w:sz w:val="20"/>
          <w:szCs w:val="20"/>
          <w:lang w:eastAsia="fr-FR"/>
        </w:rPr>
      </w:pPr>
      <w:r w:rsidRPr="00A608EE">
        <w:rPr>
          <w:rFonts w:asciiTheme="majorHAnsi" w:hAnsiTheme="majorHAnsi"/>
          <w:sz w:val="20"/>
          <w:szCs w:val="20"/>
          <w:lang w:eastAsia="fr-FR"/>
        </w:rPr>
        <w:t>MIS</w:t>
      </w:r>
    </w:p>
    <w:p w14:paraId="7B8330DB" w14:textId="77777777" w:rsidR="00193999" w:rsidRPr="00A608EE" w:rsidRDefault="00193999" w:rsidP="00A27AAA">
      <w:pPr>
        <w:numPr>
          <w:ilvl w:val="0"/>
          <w:numId w:val="87"/>
        </w:numPr>
        <w:jc w:val="both"/>
        <w:rPr>
          <w:rFonts w:asciiTheme="majorHAnsi" w:hAnsiTheme="majorHAnsi"/>
          <w:sz w:val="20"/>
          <w:szCs w:val="20"/>
          <w:lang w:eastAsia="fr-FR"/>
        </w:rPr>
      </w:pPr>
      <w:r w:rsidRPr="00A608EE">
        <w:rPr>
          <w:rFonts w:asciiTheme="majorHAnsi" w:hAnsiTheme="majorHAnsi"/>
          <w:sz w:val="20"/>
          <w:szCs w:val="20"/>
          <w:lang w:eastAsia="fr-FR"/>
        </w:rPr>
        <w:t>Relevant job descriptions</w:t>
      </w:r>
    </w:p>
    <w:p w14:paraId="72F636BE" w14:textId="77777777" w:rsidR="00193999" w:rsidRPr="00A608EE" w:rsidRDefault="00193999" w:rsidP="00A27AAA">
      <w:pPr>
        <w:numPr>
          <w:ilvl w:val="0"/>
          <w:numId w:val="87"/>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Data protocols</w:t>
      </w:r>
    </w:p>
    <w:p w14:paraId="6A9F1A85" w14:textId="77777777" w:rsidR="00193999" w:rsidRPr="00A608EE" w:rsidRDefault="00193999" w:rsidP="00A27AAA">
      <w:pPr>
        <w:numPr>
          <w:ilvl w:val="0"/>
          <w:numId w:val="87"/>
        </w:numPr>
        <w:jc w:val="both"/>
        <w:rPr>
          <w:rFonts w:asciiTheme="majorHAnsi" w:hAnsiTheme="majorHAnsi"/>
          <w:sz w:val="20"/>
          <w:szCs w:val="20"/>
          <w:lang w:eastAsia="fr-FR"/>
        </w:rPr>
      </w:pPr>
      <w:r w:rsidRPr="00A608EE">
        <w:rPr>
          <w:rFonts w:asciiTheme="majorHAnsi" w:hAnsiTheme="majorHAnsi"/>
          <w:sz w:val="20"/>
          <w:szCs w:val="20"/>
          <w:lang w:eastAsia="fr-FR"/>
        </w:rPr>
        <w:t>Interviews with IT department / Internal audit / branch staff (tellers, field staff)</w:t>
      </w:r>
    </w:p>
    <w:p w14:paraId="74C95820" w14:textId="77777777" w:rsidR="00193999" w:rsidRPr="00A608EE" w:rsidRDefault="00193999" w:rsidP="00A27AAA">
      <w:pPr>
        <w:spacing w:before="120" w:after="120"/>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r w:rsidRPr="00A608EE">
        <w:rPr>
          <w:b/>
          <w:bCs/>
          <w:sz w:val="20"/>
          <w:szCs w:val="20"/>
          <w:lang w:eastAsia="fr-FR"/>
        </w:rPr>
        <w:t> </w:t>
      </w:r>
    </w:p>
    <w:p w14:paraId="6B46AE78" w14:textId="77777777" w:rsidR="00193999" w:rsidRPr="00A608EE" w:rsidRDefault="00193999" w:rsidP="00EE208A">
      <w:pPr>
        <w:jc w:val="both"/>
        <w:rPr>
          <w:rFonts w:asciiTheme="majorHAnsi" w:hAnsiTheme="majorHAnsi"/>
          <w:sz w:val="20"/>
          <w:szCs w:val="20"/>
          <w:lang w:eastAsia="fr-FR"/>
        </w:rPr>
      </w:pPr>
      <w:r w:rsidRPr="00A608EE">
        <w:rPr>
          <w:rFonts w:asciiTheme="majorHAnsi" w:hAnsiTheme="majorHAnsi"/>
          <w:sz w:val="20"/>
          <w:szCs w:val="20"/>
          <w:lang w:eastAsia="fr-FR"/>
        </w:rPr>
        <w:t>A formal system refers to a system based on written procedures, that staff are trained on, that is explicitly referenced in the strategic or operational plans, that generates reports used by senior management and/or board of directors. Discuss with MIS and Operations managers if/how the provider collects social performance data, and the regularity of data collection. Make sure to assess the MIS and identify which social data are available and at which frequency. The MIS must produce regular, reliable information.</w:t>
      </w:r>
      <w:r w:rsidRPr="00A608EE">
        <w:rPr>
          <w:rFonts w:asciiTheme="majorHAnsi" w:hAnsiTheme="majorHAnsi"/>
          <w:sz w:val="20"/>
          <w:szCs w:val="20"/>
          <w:lang w:eastAsia="fr-FR"/>
        </w:rPr>
        <w:br/>
      </w:r>
      <w:r w:rsidRPr="00A608EE">
        <w:rPr>
          <w:rFonts w:asciiTheme="majorHAnsi" w:hAnsiTheme="majorHAnsi"/>
          <w:sz w:val="20"/>
          <w:szCs w:val="20"/>
          <w:lang w:eastAsia="fr-FR"/>
        </w:rPr>
        <w:br/>
        <w:t>Often social data, gender, location is collected through loan or savings applications, so it is important to talk to front-office employees to see how data is collected, and then stored, and analyzed. It also allows the auditor to verify that the reality on the ground matches the provider’s data protocols. A verification of the job descriptions can reveal if data collection responsibilities are included for relevant staff and staff interviews can reveal whether they understand their data collection and quality control tasks.</w:t>
      </w:r>
    </w:p>
    <w:p w14:paraId="11A032B3" w14:textId="77777777" w:rsidR="00193999" w:rsidRPr="00A608EE" w:rsidRDefault="00193999" w:rsidP="00EE208A">
      <w:pPr>
        <w:jc w:val="both"/>
        <w:rPr>
          <w:rFonts w:asciiTheme="majorHAnsi" w:hAnsiTheme="majorHAnsi"/>
          <w:sz w:val="20"/>
          <w:szCs w:val="20"/>
          <w:lang w:eastAsia="fr-FR"/>
        </w:rPr>
      </w:pPr>
      <w:r w:rsidRPr="00A608EE">
        <w:rPr>
          <w:rFonts w:asciiTheme="majorHAnsi" w:hAnsiTheme="majorHAnsi"/>
          <w:sz w:val="20"/>
          <w:szCs w:val="20"/>
          <w:lang w:eastAsia="fr-FR"/>
        </w:rPr>
        <w:t>A good practice for providers is to collect notably quantitative client outcomes data at least annually through statistically representative client satisfaction and/or client perception surveys.</w:t>
      </w:r>
    </w:p>
    <w:p w14:paraId="49C5AF4E" w14:textId="77777777" w:rsidR="00193999" w:rsidRPr="00A608EE" w:rsidRDefault="00193999" w:rsidP="00A27AAA">
      <w:pPr>
        <w:spacing w:before="120" w:after="120"/>
        <w:jc w:val="both"/>
        <w:rPr>
          <w:rFonts w:asciiTheme="majorHAnsi" w:hAnsiTheme="majorHAnsi"/>
          <w:b/>
          <w:bCs/>
          <w:sz w:val="20"/>
          <w:szCs w:val="20"/>
          <w:lang w:eastAsia="fr-FR"/>
        </w:rPr>
      </w:pPr>
      <w:r w:rsidRPr="00A608EE">
        <w:rPr>
          <w:rFonts w:asciiTheme="majorHAnsi" w:hAnsiTheme="majorHAnsi"/>
          <w:b/>
          <w:bCs/>
          <w:sz w:val="20"/>
          <w:szCs w:val="20"/>
          <w:lang w:eastAsia="fr-FR"/>
        </w:rPr>
        <w:t>Field examples / Guidance for implementation</w:t>
      </w:r>
      <w:r w:rsidRPr="00A608EE">
        <w:rPr>
          <w:b/>
          <w:bCs/>
          <w:sz w:val="20"/>
          <w:szCs w:val="20"/>
          <w:lang w:eastAsia="fr-FR"/>
        </w:rPr>
        <w:t> </w:t>
      </w:r>
    </w:p>
    <w:p w14:paraId="2DB473D7" w14:textId="7ECCD8DE" w:rsidR="00193999" w:rsidRPr="00A608EE" w:rsidRDefault="00193999" w:rsidP="00EE208A">
      <w:pPr>
        <w:jc w:val="both"/>
        <w:rPr>
          <w:rFonts w:asciiTheme="majorHAnsi" w:hAnsiTheme="majorHAnsi"/>
          <w:sz w:val="20"/>
          <w:szCs w:val="20"/>
          <w:lang w:eastAsia="fr-FR"/>
        </w:rPr>
      </w:pPr>
      <w:r w:rsidRPr="00A608EE">
        <w:rPr>
          <w:rFonts w:asciiTheme="majorHAnsi" w:hAnsiTheme="majorHAnsi"/>
          <w:sz w:val="20"/>
          <w:szCs w:val="20"/>
          <w:lang w:eastAsia="fr-FR"/>
        </w:rPr>
        <w:t>A provider must put in place strong systems in order to ensure efficiency and accuracy in the collection and capture of data. This involves all of the following:</w:t>
      </w:r>
    </w:p>
    <w:p w14:paraId="0A7C72E1" w14:textId="77777777" w:rsidR="00193999" w:rsidRPr="00A608EE" w:rsidRDefault="00193999" w:rsidP="00A27AAA">
      <w:pPr>
        <w:numPr>
          <w:ilvl w:val="0"/>
          <w:numId w:val="88"/>
        </w:numPr>
        <w:jc w:val="both"/>
        <w:rPr>
          <w:rFonts w:asciiTheme="majorHAnsi" w:hAnsiTheme="majorHAnsi"/>
          <w:sz w:val="20"/>
          <w:szCs w:val="20"/>
          <w:lang w:eastAsia="fr-FR"/>
        </w:rPr>
      </w:pPr>
      <w:r w:rsidRPr="00A608EE">
        <w:rPr>
          <w:rFonts w:asciiTheme="majorHAnsi" w:hAnsiTheme="majorHAnsi"/>
          <w:sz w:val="20"/>
          <w:szCs w:val="20"/>
          <w:lang w:eastAsia="fr-FR"/>
        </w:rPr>
        <w:t>Designing the data collection format</w:t>
      </w:r>
    </w:p>
    <w:p w14:paraId="634FD91C" w14:textId="77777777" w:rsidR="00193999" w:rsidRPr="00A608EE" w:rsidRDefault="00193999" w:rsidP="00A27AAA">
      <w:pPr>
        <w:numPr>
          <w:ilvl w:val="0"/>
          <w:numId w:val="88"/>
        </w:numPr>
        <w:jc w:val="both"/>
        <w:rPr>
          <w:rFonts w:asciiTheme="majorHAnsi" w:hAnsiTheme="majorHAnsi"/>
          <w:sz w:val="20"/>
          <w:szCs w:val="20"/>
          <w:lang w:eastAsia="fr-FR"/>
        </w:rPr>
      </w:pPr>
      <w:r w:rsidRPr="00A608EE">
        <w:rPr>
          <w:rFonts w:asciiTheme="majorHAnsi" w:hAnsiTheme="majorHAnsi"/>
          <w:sz w:val="20"/>
          <w:szCs w:val="20"/>
          <w:lang w:eastAsia="fr-FR"/>
        </w:rPr>
        <w:t>Piloting the data collection</w:t>
      </w:r>
    </w:p>
    <w:p w14:paraId="0948E9EE" w14:textId="77777777" w:rsidR="00193999" w:rsidRPr="00A608EE" w:rsidRDefault="00193999" w:rsidP="00A27AAA">
      <w:pPr>
        <w:numPr>
          <w:ilvl w:val="0"/>
          <w:numId w:val="88"/>
        </w:numPr>
        <w:jc w:val="both"/>
        <w:rPr>
          <w:rFonts w:asciiTheme="majorHAnsi" w:hAnsiTheme="majorHAnsi"/>
          <w:sz w:val="20"/>
          <w:szCs w:val="20"/>
          <w:lang w:eastAsia="fr-FR"/>
        </w:rPr>
      </w:pPr>
      <w:r w:rsidRPr="00A608EE">
        <w:rPr>
          <w:rFonts w:asciiTheme="majorHAnsi" w:hAnsiTheme="majorHAnsi"/>
          <w:sz w:val="20"/>
          <w:szCs w:val="20"/>
          <w:lang w:eastAsia="fr-FR"/>
        </w:rPr>
        <w:t>Choosing the data collection team</w:t>
      </w:r>
    </w:p>
    <w:p w14:paraId="4D43125F" w14:textId="77777777" w:rsidR="00193999" w:rsidRPr="00A608EE" w:rsidRDefault="00193999" w:rsidP="00A27AAA">
      <w:pPr>
        <w:numPr>
          <w:ilvl w:val="0"/>
          <w:numId w:val="88"/>
        </w:numPr>
        <w:jc w:val="both"/>
        <w:rPr>
          <w:rFonts w:asciiTheme="majorHAnsi" w:hAnsiTheme="majorHAnsi"/>
          <w:sz w:val="20"/>
          <w:szCs w:val="20"/>
          <w:lang w:eastAsia="fr-FR"/>
        </w:rPr>
      </w:pPr>
      <w:r w:rsidRPr="00A608EE">
        <w:rPr>
          <w:rFonts w:asciiTheme="majorHAnsi" w:hAnsiTheme="majorHAnsi"/>
          <w:sz w:val="20"/>
          <w:szCs w:val="20"/>
          <w:lang w:eastAsia="fr-FR"/>
        </w:rPr>
        <w:t>Training and incentivizing the data collection team</w:t>
      </w:r>
    </w:p>
    <w:p w14:paraId="2124A838" w14:textId="77777777" w:rsidR="00193999" w:rsidRPr="00A608EE" w:rsidRDefault="00193999" w:rsidP="00A27AAA">
      <w:pPr>
        <w:numPr>
          <w:ilvl w:val="0"/>
          <w:numId w:val="88"/>
        </w:numPr>
        <w:jc w:val="both"/>
        <w:rPr>
          <w:rFonts w:asciiTheme="majorHAnsi" w:hAnsiTheme="majorHAnsi"/>
          <w:sz w:val="20"/>
          <w:szCs w:val="20"/>
          <w:lang w:eastAsia="fr-FR"/>
        </w:rPr>
      </w:pPr>
      <w:r w:rsidRPr="00A608EE">
        <w:rPr>
          <w:rFonts w:asciiTheme="majorHAnsi" w:hAnsiTheme="majorHAnsi"/>
          <w:sz w:val="20"/>
          <w:szCs w:val="20"/>
          <w:lang w:eastAsia="fr-FR"/>
        </w:rPr>
        <w:t>Capturing – and retaining – digital data</w:t>
      </w:r>
    </w:p>
    <w:p w14:paraId="137C607D" w14:textId="77777777" w:rsidR="00193999" w:rsidRPr="00A608EE" w:rsidRDefault="00193999" w:rsidP="00EE208A">
      <w:pPr>
        <w:jc w:val="both"/>
        <w:rPr>
          <w:rFonts w:asciiTheme="majorHAnsi" w:hAnsiTheme="majorHAnsi"/>
          <w:sz w:val="20"/>
          <w:szCs w:val="20"/>
          <w:lang w:eastAsia="fr-FR"/>
        </w:rPr>
      </w:pPr>
    </w:p>
    <w:p w14:paraId="165640CA" w14:textId="0FA04B7B" w:rsidR="00193999" w:rsidRPr="00A608EE" w:rsidRDefault="00193999" w:rsidP="00EE208A">
      <w:pPr>
        <w:jc w:val="both"/>
        <w:rPr>
          <w:rFonts w:asciiTheme="majorHAnsi" w:hAnsiTheme="majorHAnsi"/>
          <w:sz w:val="20"/>
          <w:szCs w:val="20"/>
          <w:lang w:eastAsia="fr-FR"/>
        </w:rPr>
      </w:pPr>
      <w:r w:rsidRPr="00A608EE">
        <w:rPr>
          <w:rFonts w:asciiTheme="majorHAnsi" w:hAnsiTheme="majorHAnsi"/>
          <w:sz w:val="20"/>
          <w:szCs w:val="20"/>
          <w:lang w:eastAsia="fr-FR"/>
        </w:rPr>
        <w:t>Data protocols should integrate:</w:t>
      </w:r>
    </w:p>
    <w:p w14:paraId="06005410"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Who defines the indicators to be collected</w:t>
      </w:r>
    </w:p>
    <w:p w14:paraId="55A592A6"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Who collects the data</w:t>
      </w:r>
    </w:p>
    <w:p w14:paraId="4BF7C3EB"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How the data are collected  </w:t>
      </w:r>
    </w:p>
    <w:p w14:paraId="7B23F17F"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Where the data are stored  </w:t>
      </w:r>
    </w:p>
    <w:p w14:paraId="2CF4A141"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Who analyzes the data  </w:t>
      </w:r>
    </w:p>
    <w:p w14:paraId="3FDB07DD"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Who verifies the accuracy of the data  </w:t>
      </w:r>
    </w:p>
    <w:p w14:paraId="50C98D8A"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How the data are reported  </w:t>
      </w:r>
    </w:p>
    <w:p w14:paraId="5F47C252" w14:textId="77777777" w:rsidR="00193999" w:rsidRPr="00A608EE" w:rsidRDefault="00193999" w:rsidP="00A27AAA">
      <w:pPr>
        <w:numPr>
          <w:ilvl w:val="0"/>
          <w:numId w:val="89"/>
        </w:numPr>
        <w:jc w:val="both"/>
        <w:rPr>
          <w:rFonts w:asciiTheme="majorHAnsi" w:hAnsiTheme="majorHAnsi"/>
          <w:sz w:val="20"/>
          <w:szCs w:val="20"/>
          <w:lang w:eastAsia="fr-FR"/>
        </w:rPr>
      </w:pPr>
      <w:r w:rsidRPr="00A608EE">
        <w:rPr>
          <w:rFonts w:asciiTheme="majorHAnsi" w:hAnsiTheme="majorHAnsi"/>
          <w:sz w:val="20"/>
          <w:szCs w:val="20"/>
          <w:lang w:eastAsia="fr-FR"/>
        </w:rPr>
        <w:t>To whom the data are reported</w:t>
      </w:r>
    </w:p>
    <w:p w14:paraId="5EF69FCD" w14:textId="258E54BB" w:rsidR="00193999" w:rsidRPr="00A608EE" w:rsidRDefault="00193999" w:rsidP="00A27AAA">
      <w:pPr>
        <w:spacing w:before="120" w:after="120"/>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1.B.1.1</w:t>
      </w:r>
      <w:r w:rsidRPr="00A608EE">
        <w:rPr>
          <w:b/>
          <w:bCs/>
          <w:sz w:val="20"/>
          <w:szCs w:val="20"/>
          <w:lang w:eastAsia="fr-FR"/>
        </w:rPr>
        <w:t> </w:t>
      </w:r>
    </w:p>
    <w:p w14:paraId="6B6F18BC" w14:textId="77777777" w:rsidR="00983B16" w:rsidRPr="00A608EE" w:rsidRDefault="00983B16" w:rsidP="004A1E7D">
      <w:pPr>
        <w:pStyle w:val="ListParagraph"/>
        <w:numPr>
          <w:ilvl w:val="0"/>
          <w:numId w:val="3"/>
        </w:numPr>
        <w:spacing w:after="0" w:line="240" w:lineRule="auto"/>
        <w:jc w:val="both"/>
        <w:rPr>
          <w:rStyle w:val="Hyperlink"/>
          <w:rFonts w:ascii="Work Sans" w:eastAsia="Work Sans" w:hAnsi="Work Sans" w:cs="Work Sans"/>
          <w:szCs w:val="20"/>
        </w:rPr>
      </w:pPr>
      <w:hyperlink r:id="rId45">
        <w:r w:rsidRPr="00A608EE">
          <w:rPr>
            <w:rStyle w:val="Hyperlink"/>
            <w:rFonts w:ascii="Work Sans" w:eastAsia="Work Sans" w:hAnsi="Work Sans" w:cs="Work Sans"/>
            <w:szCs w:val="20"/>
          </w:rPr>
          <w:t>Outcomes Data Collection: The experience of Cashpor Micro Credit India</w:t>
        </w:r>
      </w:hyperlink>
    </w:p>
    <w:p w14:paraId="2014D0DF" w14:textId="77777777" w:rsidR="00983B16" w:rsidRPr="00A608EE" w:rsidRDefault="00983B16">
      <w:pPr>
        <w:pStyle w:val="ListParagraph"/>
        <w:numPr>
          <w:ilvl w:val="0"/>
          <w:numId w:val="3"/>
        </w:numPr>
        <w:spacing w:after="0" w:line="240" w:lineRule="auto"/>
        <w:jc w:val="both"/>
        <w:rPr>
          <w:rFonts w:ascii="Work Sans" w:eastAsia="Work Sans" w:hAnsi="Work Sans" w:cs="Work Sans"/>
          <w:szCs w:val="20"/>
        </w:rPr>
      </w:pPr>
      <w:hyperlink r:id="rId46">
        <w:r w:rsidRPr="00A608EE">
          <w:rPr>
            <w:rStyle w:val="Hyperlink"/>
            <w:rFonts w:ascii="Work Sans" w:eastAsia="Work Sans" w:hAnsi="Work Sans" w:cs="Work Sans"/>
            <w:szCs w:val="20"/>
          </w:rPr>
          <w:t>MicroLoan Foundation (Malawi) Uses a Data Protocol</w:t>
        </w:r>
      </w:hyperlink>
    </w:p>
    <w:p w14:paraId="30CE4EFC" w14:textId="11AE6F0D" w:rsidR="009C0DD2" w:rsidRPr="00A608EE" w:rsidRDefault="008E5CA3">
      <w:pPr>
        <w:pStyle w:val="ListParagraph"/>
        <w:numPr>
          <w:ilvl w:val="0"/>
          <w:numId w:val="3"/>
        </w:numPr>
        <w:spacing w:after="0" w:line="240" w:lineRule="auto"/>
        <w:jc w:val="both"/>
        <w:rPr>
          <w:rFonts w:ascii="Work Sans" w:eastAsia="Work Sans" w:hAnsi="Work Sans" w:cs="Work Sans"/>
          <w:szCs w:val="20"/>
        </w:rPr>
      </w:pPr>
      <w:r w:rsidRPr="00A608EE">
        <w:rPr>
          <w:rFonts w:ascii="Work Sans" w:eastAsia="Work Sans" w:hAnsi="Work Sans" w:cs="Work Sans"/>
          <w:b/>
          <w:bCs/>
          <w:szCs w:val="20"/>
        </w:rPr>
        <w:t>[DI Focus]:</w:t>
      </w:r>
      <w:r w:rsidRPr="00A608EE">
        <w:rPr>
          <w:rFonts w:ascii="Work Sans" w:eastAsia="Work Sans" w:hAnsi="Work Sans" w:cs="Work Sans"/>
          <w:szCs w:val="20"/>
        </w:rPr>
        <w:t xml:space="preserve"> </w:t>
      </w:r>
      <w:hyperlink r:id="rId47" w:history="1">
        <w:r w:rsidRPr="00A608EE">
          <w:rPr>
            <w:rStyle w:val="Hyperlink"/>
            <w:rFonts w:ascii="Work Sans" w:eastAsia="Work Sans" w:hAnsi="Work Sans" w:cs="Work Sans"/>
            <w:szCs w:val="20"/>
          </w:rPr>
          <w:t>Institute of Development Studies’ guidance for Disability Inclusive Research</w:t>
        </w:r>
      </w:hyperlink>
    </w:p>
    <w:p w14:paraId="32709261" w14:textId="1AC6A63F" w:rsidR="008E5CA3" w:rsidRPr="00A608EE" w:rsidRDefault="008E5CA3">
      <w:pPr>
        <w:pStyle w:val="ListParagraph"/>
        <w:numPr>
          <w:ilvl w:val="0"/>
          <w:numId w:val="3"/>
        </w:numPr>
        <w:spacing w:after="0" w:line="240" w:lineRule="auto"/>
        <w:jc w:val="both"/>
        <w:rPr>
          <w:rFonts w:ascii="Work Sans" w:eastAsia="Work Sans" w:hAnsi="Work Sans" w:cs="Work Sans"/>
          <w:szCs w:val="20"/>
        </w:rPr>
      </w:pPr>
      <w:r w:rsidRPr="00A608EE">
        <w:rPr>
          <w:rFonts w:ascii="Work Sans" w:eastAsia="Work Sans" w:hAnsi="Work Sans" w:cs="Work Sans"/>
          <w:b/>
          <w:bCs/>
          <w:szCs w:val="20"/>
        </w:rPr>
        <w:t xml:space="preserve">[DI Focus]: </w:t>
      </w:r>
      <w:hyperlink r:id="rId48" w:history="1">
        <w:r w:rsidRPr="00A608EE">
          <w:rPr>
            <w:rStyle w:val="Hyperlink"/>
            <w:rFonts w:ascii="Work Sans" w:eastAsia="Work Sans" w:hAnsi="Work Sans" w:cs="Work Sans"/>
            <w:szCs w:val="20"/>
          </w:rPr>
          <w:t>Opportunity International’s Cheat Sheet for disability data collection using the Washington Group Shirt Set (WGSS) tool</w:t>
        </w:r>
      </w:hyperlink>
    </w:p>
    <w:p w14:paraId="052612F3" w14:textId="77777777" w:rsidR="006D016F" w:rsidRPr="00A608EE" w:rsidRDefault="006D016F" w:rsidP="00EE208A">
      <w:pPr>
        <w:jc w:val="both"/>
        <w:rPr>
          <w:rFonts w:ascii="Work Sans" w:eastAsia="Work Sans" w:hAnsi="Work Sans" w:cs="Work Sans"/>
          <w:szCs w:val="20"/>
        </w:rPr>
      </w:pPr>
    </w:p>
    <w:p w14:paraId="6F72180E" w14:textId="462FED92" w:rsidR="009318C1" w:rsidRPr="00A608EE" w:rsidRDefault="009318C1" w:rsidP="00EE208A">
      <w:pPr>
        <w:pStyle w:val="Heading4"/>
        <w:spacing w:before="0" w:line="240" w:lineRule="auto"/>
        <w:jc w:val="both"/>
      </w:pPr>
      <w:r w:rsidRPr="00A608EE">
        <w:t xml:space="preserve">1.B.1.2 </w:t>
      </w:r>
      <w:r w:rsidR="00EA4372" w:rsidRPr="00A608EE">
        <w:t>The provider ensures the accuracy of the social performance data that it collects</w:t>
      </w:r>
      <w:r w:rsidR="001827AA" w:rsidRPr="00A608EE">
        <w:t>.</w:t>
      </w:r>
    </w:p>
    <w:p w14:paraId="1288CA23" w14:textId="4C9CCDF7" w:rsidR="00EA4372" w:rsidRPr="00A608EE" w:rsidRDefault="00EA4372" w:rsidP="00EE208A">
      <w:pPr>
        <w:pStyle w:val="Heading5"/>
        <w:spacing w:line="240" w:lineRule="auto"/>
        <w:ind w:left="708"/>
        <w:jc w:val="both"/>
        <w:rPr>
          <w:rFonts w:eastAsia="Times New Roman"/>
          <w:i/>
          <w:color w:val="auto"/>
          <w:szCs w:val="20"/>
        </w:rPr>
      </w:pPr>
      <w:r w:rsidRPr="00A608EE">
        <w:rPr>
          <w:rFonts w:eastAsia="Times New Roman"/>
          <w:i/>
          <w:color w:val="auto"/>
          <w:szCs w:val="20"/>
        </w:rPr>
        <w:t xml:space="preserve"> 1.B.1.2.1 Employees in relevant positions receive specific training on social performance data collection and entry.</w:t>
      </w:r>
    </w:p>
    <w:p w14:paraId="7590F78D" w14:textId="1CD0156B" w:rsidR="001A3E3E" w:rsidRPr="00A608EE" w:rsidRDefault="00EA4372" w:rsidP="00A27AAA">
      <w:pPr>
        <w:pStyle w:val="Heading5"/>
        <w:spacing w:before="0" w:line="240" w:lineRule="auto"/>
        <w:ind w:left="708"/>
        <w:jc w:val="both"/>
      </w:pPr>
      <w:r w:rsidRPr="00A608EE">
        <w:rPr>
          <w:rFonts w:eastAsia="Times New Roman"/>
          <w:i/>
          <w:color w:val="auto"/>
          <w:szCs w:val="20"/>
        </w:rPr>
        <w:t>1.B.1.2.2 The provider validates client data by periodic internal audit or management review, including some field-level checks.</w:t>
      </w:r>
    </w:p>
    <w:p w14:paraId="0C841F0E" w14:textId="26E1B9B7" w:rsidR="009F5E66" w:rsidRPr="00A608EE" w:rsidRDefault="004921CE" w:rsidP="00A27AAA">
      <w:pPr>
        <w:pStyle w:val="paragraph"/>
        <w:spacing w:before="240" w:beforeAutospacing="0" w:after="24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EA4372" w:rsidRPr="00A608EE">
        <w:rPr>
          <w:rFonts w:asciiTheme="majorHAnsi" w:hAnsiTheme="majorHAnsi"/>
          <w:b/>
          <w:bCs/>
          <w:color w:val="2145CC" w:themeColor="accent5" w:themeShade="BF"/>
          <w:sz w:val="20"/>
          <w:szCs w:val="20"/>
        </w:rPr>
        <w:t>Indicator in</w:t>
      </w:r>
      <w:r w:rsidR="009F5E66" w:rsidRPr="00A608EE">
        <w:rPr>
          <w:rFonts w:asciiTheme="majorHAnsi" w:hAnsiTheme="majorHAnsi"/>
          <w:b/>
          <w:bCs/>
          <w:color w:val="2145CC" w:themeColor="accent5" w:themeShade="BF"/>
          <w:sz w:val="20"/>
          <w:szCs w:val="20"/>
        </w:rPr>
        <w:t xml:space="preserve"> 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9F5E66"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2C3948CC" w14:textId="4139FCB5" w:rsidR="00FF685E"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lastRenderedPageBreak/>
        <w:t>Only accurate data are not useful. Data accuracy requires good data quality and completeness based on regular data checks by both internal control/operations and internal audit.</w:t>
      </w:r>
    </w:p>
    <w:p w14:paraId="2A028E14" w14:textId="77777777" w:rsidR="00672763" w:rsidRPr="00A608EE" w:rsidRDefault="00672763" w:rsidP="00EE208A">
      <w:pPr>
        <w:pStyle w:val="paragraph"/>
        <w:spacing w:before="0" w:beforeAutospacing="0" w:after="0" w:afterAutospacing="0"/>
        <w:jc w:val="both"/>
        <w:textAlignment w:val="baseline"/>
        <w:rPr>
          <w:rFonts w:asciiTheme="majorHAnsi" w:hAnsiTheme="majorHAnsi"/>
          <w:sz w:val="20"/>
          <w:szCs w:val="20"/>
        </w:rPr>
      </w:pPr>
    </w:p>
    <w:p w14:paraId="090A3E03"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795456" behindDoc="1" locked="0" layoutInCell="1" allowOverlap="1" wp14:anchorId="68F9AED0" wp14:editId="11AF4390">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8101594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58ACDEA" w14:textId="77777777" w:rsidR="00672763" w:rsidRPr="00A608EE" w:rsidRDefault="00672763" w:rsidP="00EE208A">
      <w:pPr>
        <w:pStyle w:val="paragraph"/>
        <w:spacing w:before="0" w:beforeAutospacing="0" w:after="0" w:afterAutospacing="0"/>
        <w:jc w:val="both"/>
        <w:textAlignment w:val="baseline"/>
        <w:rPr>
          <w:rFonts w:asciiTheme="majorHAnsi" w:hAnsiTheme="majorHAnsi"/>
          <w:sz w:val="20"/>
          <w:szCs w:val="20"/>
        </w:rPr>
      </w:pPr>
    </w:p>
    <w:p w14:paraId="225D381B" w14:textId="05F5FEE8" w:rsidR="00FF685E" w:rsidRPr="00A608EE" w:rsidRDefault="004876A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F685E" w:rsidRPr="00A608EE">
        <w:rPr>
          <w:rFonts w:asciiTheme="majorHAnsi" w:hAnsiTheme="majorHAnsi"/>
          <w:sz w:val="20"/>
          <w:szCs w:val="20"/>
        </w:rPr>
        <w:t>Employees in relevant positions receive specific training on social performance data collection and entry, including accessibility and inclusion, inclusive data collection, and inclusive interaction and communication with persons with disabilities.</w:t>
      </w:r>
    </w:p>
    <w:p w14:paraId="66A451FA"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p>
    <w:p w14:paraId="04840982" w14:textId="77777777" w:rsidR="00EA4372" w:rsidRPr="00A608EE" w:rsidRDefault="00EA4372"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Scoring guidance</w:t>
      </w:r>
    </w:p>
    <w:p w14:paraId="586D62B1"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u w:val="single"/>
        </w:rPr>
        <w:t>Detail 1.B.1.2.1</w:t>
      </w:r>
    </w:p>
    <w:p w14:paraId="77700F6B" w14:textId="77777777" w:rsidR="00EA4372" w:rsidRPr="00A608EE" w:rsidRDefault="00EA4372" w:rsidP="00A27AAA">
      <w:pPr>
        <w:pStyle w:val="paragraph"/>
        <w:numPr>
          <w:ilvl w:val="0"/>
          <w:numId w:val="9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“yes” if the provider has trained and motivated effectively of relevant staff (branch staff, notably tellers and field officers, IT team, internal audit etc.) on accurate social performance data collection and data entry as verified by internal control and/or internal audit reports.</w:t>
      </w:r>
    </w:p>
    <w:p w14:paraId="210C6406" w14:textId="77777777" w:rsidR="00EA4372" w:rsidRPr="00A608EE" w:rsidRDefault="00EA4372" w:rsidP="00A27AAA">
      <w:pPr>
        <w:pStyle w:val="paragraph"/>
        <w:numPr>
          <w:ilvl w:val="0"/>
          <w:numId w:val="9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“partially” if training is not systematically/effectively done for all relevant staff (branch staff, notably tellers and field officers, IT team, internal audit etc.).</w:t>
      </w:r>
    </w:p>
    <w:p w14:paraId="7366003C" w14:textId="77777777" w:rsidR="00EA4372" w:rsidRPr="00A608EE" w:rsidRDefault="00EA4372" w:rsidP="00A27AAA">
      <w:pPr>
        <w:pStyle w:val="paragraph"/>
        <w:numPr>
          <w:ilvl w:val="0"/>
          <w:numId w:val="9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“no” if staff has not been trained in the collection and entry of social performance data.</w:t>
      </w:r>
    </w:p>
    <w:p w14:paraId="4BC73AED"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u w:val="single"/>
        </w:rPr>
      </w:pPr>
    </w:p>
    <w:p w14:paraId="2B23F7A2" w14:textId="48E9C8C0"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u w:val="single"/>
        </w:rPr>
        <w:t>Detail 1.B.1.2.2</w:t>
      </w:r>
    </w:p>
    <w:p w14:paraId="1DDFC2D1" w14:textId="77777777" w:rsidR="00EA4372" w:rsidRPr="00A608EE" w:rsidRDefault="00EA4372" w:rsidP="00A27AAA">
      <w:pPr>
        <w:pStyle w:val="paragraph"/>
        <w:numPr>
          <w:ilvl w:val="0"/>
          <w:numId w:val="9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“yes” if both internal control/operations and audit procedures require regular checks of the quality of client data collection and data entry at branch and head office unit level as verified by respective internal control and audit reports.  </w:t>
      </w:r>
    </w:p>
    <w:p w14:paraId="2C4191E9" w14:textId="77777777" w:rsidR="00EA4372" w:rsidRPr="00A608EE" w:rsidRDefault="00EA4372" w:rsidP="00A27AAA">
      <w:pPr>
        <w:pStyle w:val="paragraph"/>
        <w:numPr>
          <w:ilvl w:val="0"/>
          <w:numId w:val="9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“partially” if internal control/operations and audit procedures are only partially in place to verify regularly the accuracy of client data collection and data entry but they are not comprehensive enough to ensure accuracy of all client data.</w:t>
      </w:r>
    </w:p>
    <w:p w14:paraId="6A876425" w14:textId="77777777" w:rsidR="00EA4372" w:rsidRPr="00A608EE" w:rsidRDefault="00EA4372" w:rsidP="00A27AAA">
      <w:pPr>
        <w:pStyle w:val="paragraph"/>
        <w:numPr>
          <w:ilvl w:val="0"/>
          <w:numId w:val="9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“no” if the provider has not implemented an internal control and audit system to check the accuracy of client data collection and data entry and thus not correct errors of client data collection and data entry, as needed, or when client data from the MIS cannot be used due to lack of accuracy.</w:t>
      </w:r>
    </w:p>
    <w:p w14:paraId="055355EA"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p>
    <w:p w14:paraId="6719CABD" w14:textId="352C7362" w:rsidR="00EA4372" w:rsidRPr="00A608EE" w:rsidRDefault="00EA4372"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Sources of information</w:t>
      </w:r>
    </w:p>
    <w:p w14:paraId="638392B1" w14:textId="77777777" w:rsidR="00EA4372" w:rsidRPr="00A608EE" w:rsidRDefault="00EA4372" w:rsidP="00A27AAA">
      <w:pPr>
        <w:pStyle w:val="paragraph"/>
        <w:numPr>
          <w:ilvl w:val="0"/>
          <w:numId w:val="9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Staff training materials</w:t>
      </w:r>
    </w:p>
    <w:p w14:paraId="499F8EEE" w14:textId="77777777" w:rsidR="00EA4372" w:rsidRPr="00A608EE" w:rsidRDefault="00EA4372" w:rsidP="00A27AAA">
      <w:pPr>
        <w:pStyle w:val="paragraph"/>
        <w:numPr>
          <w:ilvl w:val="0"/>
          <w:numId w:val="9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Interview with internal audit, IT manager, and branch staff</w:t>
      </w:r>
    </w:p>
    <w:p w14:paraId="093B1941" w14:textId="77777777" w:rsidR="00EA4372" w:rsidRPr="00A608EE" w:rsidRDefault="00EA4372" w:rsidP="00A27AAA">
      <w:pPr>
        <w:pStyle w:val="paragraph"/>
        <w:numPr>
          <w:ilvl w:val="0"/>
          <w:numId w:val="9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Operational client data collection and data entry manuals</w:t>
      </w:r>
    </w:p>
    <w:p w14:paraId="3B448F75" w14:textId="77777777" w:rsidR="00EA4372" w:rsidRPr="00A608EE" w:rsidRDefault="00EA4372" w:rsidP="00A27AAA">
      <w:pPr>
        <w:pStyle w:val="paragraph"/>
        <w:numPr>
          <w:ilvl w:val="0"/>
          <w:numId w:val="9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Internal control and audit reports of the past year</w:t>
      </w:r>
    </w:p>
    <w:p w14:paraId="504041DC" w14:textId="77777777" w:rsidR="00EA4372" w:rsidRPr="00A608EE" w:rsidRDefault="00EA4372" w:rsidP="00A27AAA">
      <w:pPr>
        <w:pStyle w:val="paragraph"/>
        <w:numPr>
          <w:ilvl w:val="0"/>
          <w:numId w:val="9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Review of quality and completeness of MIS data based on a sample of client data</w:t>
      </w:r>
    </w:p>
    <w:p w14:paraId="3205549E"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p>
    <w:p w14:paraId="4C2B8444" w14:textId="6913A748" w:rsidR="00EA4372" w:rsidRPr="00A608EE" w:rsidRDefault="00EA4372"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Evidence to provide</w:t>
      </w:r>
      <w:r w:rsidRPr="00A608EE">
        <w:rPr>
          <w:b/>
          <w:bCs/>
          <w:sz w:val="20"/>
          <w:szCs w:val="20"/>
        </w:rPr>
        <w:t> </w:t>
      </w:r>
    </w:p>
    <w:p w14:paraId="3C7DFB65"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Analyze the social performance data chain from the source of the information (clients, employees) via the accuracy check of data collection and data entry, the analysis of client data up to the reporting of analyzed client data. Verify that this chain is coherent, with no missing link to ensure high quality, complete and timely social performance data. Specify how and when employees such as field officers or tellers / data entry clerks are trained on data collection and data entry. Discuss with internal audit team and with the branch managers how the quality of client data is verified.</w:t>
      </w:r>
      <w:r w:rsidRPr="00A608EE">
        <w:rPr>
          <w:sz w:val="20"/>
          <w:szCs w:val="20"/>
        </w:rPr>
        <w:t> </w:t>
      </w:r>
      <w:r w:rsidRPr="00A608EE">
        <w:rPr>
          <w:rFonts w:asciiTheme="majorHAnsi" w:hAnsiTheme="majorHAnsi"/>
          <w:sz w:val="20"/>
          <w:szCs w:val="20"/>
        </w:rPr>
        <w:t>Specify how (incl. sampling methodology) and when client data are validated. If possible, add how many clients or what % of clients are included in these checks.</w:t>
      </w:r>
    </w:p>
    <w:p w14:paraId="4133DBE3"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p>
    <w:p w14:paraId="48223199" w14:textId="118BF49D"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You can ask the IT manager to print out a sample of client data and see if any important fields are empty or with many nonsensical data (e.g., number of children is 100 or age is 2).</w:t>
      </w:r>
    </w:p>
    <w:p w14:paraId="280C57B4"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p>
    <w:p w14:paraId="62D5A79A" w14:textId="77777777" w:rsidR="00EA4372" w:rsidRPr="00A608EE" w:rsidRDefault="00EA4372"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Field examples / Guidance for implementation</w:t>
      </w:r>
    </w:p>
    <w:p w14:paraId="398BA3CD" w14:textId="7D877DC9"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 xml:space="preserve">The provider should regularly and consistently validate social data, just as it validates financial information. This includes evaluating employees on how well they adhere to the </w:t>
      </w:r>
      <w:r w:rsidRPr="00A608EE">
        <w:rPr>
          <w:rFonts w:asciiTheme="majorHAnsi" w:hAnsiTheme="majorHAnsi"/>
          <w:sz w:val="20"/>
          <w:szCs w:val="20"/>
        </w:rPr>
        <w:lastRenderedPageBreak/>
        <w:t>institution’s process for collecting quality social data. Validation techniques, that can be used by the internal audit team, may include the following:</w:t>
      </w:r>
    </w:p>
    <w:p w14:paraId="3D17B5AE" w14:textId="77777777" w:rsidR="00EA4372" w:rsidRPr="00A608EE" w:rsidRDefault="00EA4372" w:rsidP="00A27AAA">
      <w:pPr>
        <w:pStyle w:val="paragraph"/>
        <w:numPr>
          <w:ilvl w:val="0"/>
          <w:numId w:val="9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Field level checks</w:t>
      </w:r>
    </w:p>
    <w:p w14:paraId="51A1B59E" w14:textId="77777777" w:rsidR="00EA4372" w:rsidRPr="00A608EE" w:rsidRDefault="00EA4372" w:rsidP="00A27AAA">
      <w:pPr>
        <w:pStyle w:val="paragraph"/>
        <w:numPr>
          <w:ilvl w:val="0"/>
          <w:numId w:val="9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Visiting or calling a random sample of clients to confirm that interviews with branch employees happened</w:t>
      </w:r>
    </w:p>
    <w:p w14:paraId="43C14D55" w14:textId="77777777" w:rsidR="00EA4372" w:rsidRPr="00A608EE" w:rsidRDefault="00EA4372" w:rsidP="00A27AAA">
      <w:pPr>
        <w:pStyle w:val="paragraph"/>
        <w:numPr>
          <w:ilvl w:val="0"/>
          <w:numId w:val="9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Observing the data collector in action and providing feedback on his/her performance.</w:t>
      </w:r>
    </w:p>
    <w:p w14:paraId="69C09509" w14:textId="77777777" w:rsidR="00EA4372" w:rsidRPr="00A608EE" w:rsidRDefault="00EA4372" w:rsidP="00A27AAA">
      <w:pPr>
        <w:pStyle w:val="paragraph"/>
        <w:numPr>
          <w:ilvl w:val="0"/>
          <w:numId w:val="9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Data verification</w:t>
      </w:r>
    </w:p>
    <w:p w14:paraId="1C226E56" w14:textId="77777777" w:rsidR="00EA4372" w:rsidRPr="00A608EE" w:rsidRDefault="00EA4372" w:rsidP="00A27AAA">
      <w:pPr>
        <w:pStyle w:val="paragraph"/>
        <w:numPr>
          <w:ilvl w:val="0"/>
          <w:numId w:val="9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Verifying a random sample of data entered by the data entry personnel to confirm accuracy.</w:t>
      </w:r>
    </w:p>
    <w:p w14:paraId="2C1BFA7A"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p>
    <w:p w14:paraId="6FEF9A94" w14:textId="3890F536"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w:t>
      </w:r>
      <w:hyperlink r:id="rId49" w:history="1">
        <w:r w:rsidRPr="00A608EE">
          <w:rPr>
            <w:rStyle w:val="Hyperlink"/>
            <w:rFonts w:asciiTheme="majorHAnsi" w:hAnsiTheme="majorHAnsi"/>
            <w:sz w:val="20"/>
            <w:szCs w:val="20"/>
          </w:rPr>
          <w:t>MicroLoan Foundation Malawi case study</w:t>
        </w:r>
      </w:hyperlink>
      <w:r w:rsidRPr="00A608EE">
        <w:rPr>
          <w:rFonts w:asciiTheme="majorHAnsi" w:hAnsiTheme="majorHAnsi"/>
          <w:sz w:val="20"/>
          <w:szCs w:val="20"/>
        </w:rPr>
        <w:t> includes information on how MicroLoan verifies the accuracy of the social performance data that its staff collect.</w:t>
      </w:r>
    </w:p>
    <w:p w14:paraId="560A0897"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See also the field example from VisionFund International.</w:t>
      </w:r>
    </w:p>
    <w:p w14:paraId="5F7F8E09" w14:textId="77777777" w:rsidR="00EA4372" w:rsidRPr="00A608EE" w:rsidRDefault="00EA4372" w:rsidP="00EE208A">
      <w:pPr>
        <w:pStyle w:val="paragraph"/>
        <w:spacing w:before="0" w:beforeAutospacing="0" w:after="0" w:afterAutospacing="0"/>
        <w:jc w:val="both"/>
        <w:textAlignment w:val="baseline"/>
        <w:rPr>
          <w:rFonts w:asciiTheme="majorHAnsi" w:hAnsiTheme="majorHAnsi"/>
          <w:sz w:val="20"/>
          <w:szCs w:val="20"/>
        </w:rPr>
      </w:pPr>
    </w:p>
    <w:p w14:paraId="59F86730" w14:textId="77777777" w:rsidR="00EA4372" w:rsidRPr="00A608EE" w:rsidRDefault="00EA4372"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Resources for indicator 1.B.1.2</w:t>
      </w:r>
    </w:p>
    <w:p w14:paraId="299B9094" w14:textId="77777777" w:rsidR="00EA4372" w:rsidRPr="00A608EE" w:rsidRDefault="00EA4372" w:rsidP="00A27AAA">
      <w:pPr>
        <w:pStyle w:val="paragraph"/>
        <w:numPr>
          <w:ilvl w:val="0"/>
          <w:numId w:val="94"/>
        </w:numPr>
        <w:spacing w:before="0" w:beforeAutospacing="0" w:after="0" w:afterAutospacing="0"/>
        <w:jc w:val="both"/>
        <w:textAlignment w:val="baseline"/>
        <w:rPr>
          <w:rFonts w:asciiTheme="majorHAnsi" w:hAnsiTheme="majorHAnsi"/>
          <w:sz w:val="20"/>
          <w:szCs w:val="20"/>
        </w:rPr>
      </w:pPr>
      <w:hyperlink r:id="rId50" w:history="1">
        <w:r w:rsidRPr="00A608EE">
          <w:rPr>
            <w:rStyle w:val="Hyperlink"/>
            <w:rFonts w:asciiTheme="majorHAnsi" w:hAnsiTheme="majorHAnsi"/>
            <w:sz w:val="20"/>
            <w:szCs w:val="20"/>
          </w:rPr>
          <w:t>Guidelines on Outcomes Management for Financial Service Providers</w:t>
        </w:r>
      </w:hyperlink>
      <w:r w:rsidRPr="00A608EE">
        <w:rPr>
          <w:rFonts w:asciiTheme="majorHAnsi" w:hAnsiTheme="majorHAnsi"/>
          <w:sz w:val="20"/>
          <w:szCs w:val="20"/>
        </w:rPr>
        <w:t>. See in particular the section entitled, “STEP 6 Put systems in place to check data quality.”</w:t>
      </w:r>
    </w:p>
    <w:p w14:paraId="727F0E0C" w14:textId="7B1B6A34" w:rsidR="004D124C" w:rsidRPr="00A608EE" w:rsidRDefault="00EA4372" w:rsidP="00A27AAA">
      <w:pPr>
        <w:pStyle w:val="paragraph"/>
        <w:numPr>
          <w:ilvl w:val="0"/>
          <w:numId w:val="94"/>
        </w:numPr>
        <w:spacing w:before="0" w:beforeAutospacing="0" w:after="0" w:afterAutospacing="0"/>
        <w:jc w:val="both"/>
        <w:textAlignment w:val="baseline"/>
        <w:rPr>
          <w:rFonts w:asciiTheme="majorHAnsi" w:hAnsiTheme="majorHAnsi"/>
          <w:szCs w:val="20"/>
        </w:rPr>
      </w:pPr>
      <w:hyperlink r:id="rId51" w:history="1">
        <w:r w:rsidRPr="00A608EE">
          <w:rPr>
            <w:rStyle w:val="Hyperlink"/>
            <w:rFonts w:asciiTheme="majorHAnsi" w:hAnsiTheme="majorHAnsi"/>
            <w:sz w:val="20"/>
            <w:szCs w:val="20"/>
          </w:rPr>
          <w:t>Vision Fund International Verifies Data Quality</w:t>
        </w:r>
      </w:hyperlink>
    </w:p>
    <w:p w14:paraId="258DA5A2" w14:textId="77777777" w:rsidR="0074041B" w:rsidRPr="00A608EE" w:rsidRDefault="0074041B" w:rsidP="00EE208A">
      <w:pPr>
        <w:pStyle w:val="paragraph"/>
        <w:spacing w:before="0" w:beforeAutospacing="0" w:after="0" w:afterAutospacing="0"/>
        <w:jc w:val="both"/>
        <w:textAlignment w:val="baseline"/>
        <w:rPr>
          <w:rFonts w:asciiTheme="majorHAnsi" w:hAnsiTheme="majorHAnsi"/>
          <w:sz w:val="20"/>
          <w:szCs w:val="20"/>
        </w:rPr>
      </w:pPr>
    </w:p>
    <w:p w14:paraId="0BB839BB" w14:textId="15801A07" w:rsidR="00182E18" w:rsidRPr="00A608EE" w:rsidRDefault="00D11AEC" w:rsidP="00EE208A">
      <w:pPr>
        <w:pStyle w:val="Heading4"/>
        <w:spacing w:before="0" w:line="240" w:lineRule="auto"/>
        <w:jc w:val="both"/>
      </w:pPr>
      <w:r w:rsidRPr="00A608EE">
        <w:t xml:space="preserve">1.B.1.3 </w:t>
      </w:r>
      <w:r w:rsidR="00A60D80" w:rsidRPr="00A608EE">
        <w:t>The provider collects data on an ongoing basis to measure whether it is achieving its social goals.</w:t>
      </w:r>
    </w:p>
    <w:p w14:paraId="1EF536BA" w14:textId="1F73B180" w:rsidR="00A60D80" w:rsidRPr="00A608EE" w:rsidRDefault="00A60D80" w:rsidP="00EE208A">
      <w:pPr>
        <w:pStyle w:val="Heading5"/>
        <w:spacing w:line="240" w:lineRule="auto"/>
        <w:ind w:left="708"/>
        <w:jc w:val="both"/>
        <w:rPr>
          <w:rFonts w:eastAsia="Times New Roman"/>
          <w:i/>
          <w:color w:val="auto"/>
          <w:szCs w:val="20"/>
        </w:rPr>
      </w:pPr>
      <w:r w:rsidRPr="00A608EE">
        <w:rPr>
          <w:rFonts w:eastAsia="Times New Roman"/>
          <w:i/>
          <w:color w:val="auto"/>
          <w:szCs w:val="20"/>
        </w:rPr>
        <w:t>1.B.1.3.1 The provider collects quantitative data that measures both positive and negative changes for clients and their households. Minimum frequency: annually</w:t>
      </w:r>
    </w:p>
    <w:p w14:paraId="0CBBA81F" w14:textId="40412D4D" w:rsidR="00CD4501" w:rsidRPr="00A608EE" w:rsidRDefault="00A60D80" w:rsidP="00EE208A">
      <w:pPr>
        <w:pStyle w:val="Heading5"/>
        <w:spacing w:before="0" w:line="240" w:lineRule="auto"/>
        <w:ind w:left="708"/>
        <w:jc w:val="both"/>
        <w:rPr>
          <w:rFonts w:eastAsia="Times New Roman"/>
          <w:i/>
          <w:iCs/>
          <w:color w:val="auto"/>
          <w:szCs w:val="20"/>
          <w:lang w:eastAsia="fr-FR"/>
        </w:rPr>
      </w:pPr>
      <w:r w:rsidRPr="00A608EE">
        <w:rPr>
          <w:rFonts w:eastAsia="Times New Roman"/>
          <w:i/>
          <w:color w:val="auto"/>
          <w:szCs w:val="20"/>
        </w:rPr>
        <w:t>1.B.1.3.2 The provider collects qualitative data that measures both positive and negative changes for clients and their households. Minimum frequency: annually</w:t>
      </w:r>
    </w:p>
    <w:p w14:paraId="2EE3668F" w14:textId="77777777" w:rsidR="009F5E66" w:rsidRPr="00A608EE" w:rsidRDefault="009F5E66"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 </w:t>
      </w:r>
    </w:p>
    <w:p w14:paraId="580DCE8E" w14:textId="031AEACB" w:rsidR="009F5E66" w:rsidRPr="00A608EE" w:rsidRDefault="004921CE" w:rsidP="004A1E7D">
      <w:pPr>
        <w:pStyle w:val="paragraph"/>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9F5E66" w:rsidRPr="00A608EE">
        <w:rPr>
          <w:rFonts w:asciiTheme="majorHAnsi" w:hAnsiTheme="majorHAnsi"/>
          <w:b/>
          <w:bCs/>
          <w:color w:val="2145CC" w:themeColor="accent5" w:themeShade="BF"/>
          <w:sz w:val="20"/>
          <w:szCs w:val="20"/>
        </w:rPr>
        <w:t>Indicat</w:t>
      </w:r>
      <w:r w:rsidR="00A60D80" w:rsidRPr="00A608EE">
        <w:rPr>
          <w:rFonts w:asciiTheme="majorHAnsi" w:hAnsiTheme="majorHAnsi"/>
          <w:b/>
          <w:bCs/>
          <w:color w:val="2145CC" w:themeColor="accent5" w:themeShade="BF"/>
          <w:sz w:val="20"/>
          <w:szCs w:val="20"/>
        </w:rPr>
        <w:t>or in</w:t>
      </w:r>
      <w:r w:rsidR="009F5E66" w:rsidRPr="00A608EE">
        <w:rPr>
          <w:rFonts w:asciiTheme="majorHAnsi" w:hAnsiTheme="majorHAnsi"/>
          <w:b/>
          <w:bCs/>
          <w:color w:val="2145CC" w:themeColor="accent5" w:themeShade="BF"/>
          <w:sz w:val="20"/>
          <w:szCs w:val="20"/>
        </w:rPr>
        <w:t xml:space="preserve"> ALINUS</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9F5E66"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9F5E66"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4181016E" w14:textId="77777777" w:rsidR="004A1E7D" w:rsidRPr="00A608EE" w:rsidRDefault="004A1E7D" w:rsidP="004A1E7D">
      <w:pPr>
        <w:pStyle w:val="paragraph"/>
        <w:spacing w:before="0" w:beforeAutospacing="0" w:after="0" w:afterAutospacing="0"/>
        <w:jc w:val="both"/>
        <w:rPr>
          <w:rFonts w:asciiTheme="majorHAnsi" w:hAnsiTheme="majorHAnsi"/>
          <w:b/>
          <w:bCs/>
          <w:color w:val="2145CC" w:themeColor="accent5" w:themeShade="BF"/>
          <w:sz w:val="20"/>
          <w:szCs w:val="20"/>
        </w:rPr>
      </w:pPr>
    </w:p>
    <w:p w14:paraId="3D088E18" w14:textId="43A5D83D" w:rsidR="00A60D80" w:rsidRPr="00A608EE" w:rsidRDefault="00A60D80"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Quantitative data and qualitative data both have unique value but also limitations. It is relatively easy to verify the accuracy of quantitative data, and it is much easier to aggregate quantitative data for analysis, but quantitative data tell you only what is happening, not why. When collecting both quantitative and qualitative client outcome data and conduct analysis on positive but also negative changes, the provider gains the most insightful and useful information about clients’ changing behaviours and is able to know with more confidence whether it is achieving its social goals, but also what steps it needs to take to address any weaknesses that the data reveal.</w:t>
      </w:r>
    </w:p>
    <w:p w14:paraId="21A8C06C" w14:textId="77777777" w:rsidR="00672763" w:rsidRPr="00A608EE" w:rsidRDefault="00672763" w:rsidP="00EE208A">
      <w:pPr>
        <w:pStyle w:val="paragraph"/>
        <w:spacing w:before="0" w:beforeAutospacing="0" w:after="0" w:afterAutospacing="0"/>
        <w:jc w:val="both"/>
        <w:textAlignment w:val="baseline"/>
        <w:rPr>
          <w:rFonts w:asciiTheme="majorHAnsi" w:hAnsiTheme="majorHAnsi"/>
          <w:sz w:val="20"/>
          <w:szCs w:val="20"/>
        </w:rPr>
      </w:pPr>
    </w:p>
    <w:p w14:paraId="1190F4FE"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797504" behindDoc="1" locked="0" layoutInCell="1" allowOverlap="1" wp14:anchorId="011374CA" wp14:editId="39306C15">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379011545"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5A1218E" w14:textId="77777777" w:rsidR="00672763" w:rsidRPr="00A608EE" w:rsidRDefault="00672763" w:rsidP="00EE208A">
      <w:pPr>
        <w:pStyle w:val="paragraph"/>
        <w:spacing w:before="0" w:beforeAutospacing="0" w:after="0" w:afterAutospacing="0"/>
        <w:jc w:val="both"/>
        <w:textAlignment w:val="baseline"/>
        <w:rPr>
          <w:rFonts w:asciiTheme="majorHAnsi" w:hAnsiTheme="majorHAnsi"/>
          <w:sz w:val="20"/>
          <w:szCs w:val="20"/>
        </w:rPr>
      </w:pPr>
    </w:p>
    <w:p w14:paraId="0F904FF6" w14:textId="7C6B5633" w:rsidR="00FF685E" w:rsidRPr="00A608EE" w:rsidRDefault="004876A2" w:rsidP="00642251">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F685E" w:rsidRPr="00A608EE">
        <w:rPr>
          <w:rFonts w:asciiTheme="majorHAnsi" w:hAnsiTheme="majorHAnsi"/>
          <w:sz w:val="20"/>
          <w:szCs w:val="20"/>
        </w:rPr>
        <w:t>The provider collects data on an ongoing basis to measure whether it is achieving its social goals, including data on clients' disability status (preferably using a methodology aligned to the Washington Group Short Set questions</w:t>
      </w:r>
      <w:r w:rsidR="00D800ED" w:rsidRPr="00A608EE">
        <w:rPr>
          <w:rFonts w:asciiTheme="majorHAnsi" w:hAnsiTheme="majorHAnsi"/>
          <w:sz w:val="20"/>
          <w:szCs w:val="20"/>
        </w:rPr>
        <w:t xml:space="preserve"> (WGSS</w:t>
      </w:r>
      <w:r w:rsidR="00FF685E" w:rsidRPr="00A608EE">
        <w:rPr>
          <w:rFonts w:asciiTheme="majorHAnsi" w:hAnsiTheme="majorHAnsi"/>
          <w:sz w:val="20"/>
          <w:szCs w:val="20"/>
        </w:rPr>
        <w:t>).</w:t>
      </w:r>
    </w:p>
    <w:p w14:paraId="16B5B073" w14:textId="77777777" w:rsidR="004A1E7D" w:rsidRPr="00A608EE" w:rsidRDefault="004A1E7D" w:rsidP="00642251">
      <w:pPr>
        <w:pStyle w:val="paragraph"/>
        <w:spacing w:before="0" w:beforeAutospacing="0" w:after="0" w:afterAutospacing="0"/>
        <w:jc w:val="both"/>
        <w:textAlignment w:val="baseline"/>
        <w:rPr>
          <w:rFonts w:asciiTheme="majorHAnsi" w:hAnsiTheme="majorHAnsi"/>
          <w:sz w:val="20"/>
          <w:szCs w:val="20"/>
        </w:rPr>
      </w:pPr>
    </w:p>
    <w:p w14:paraId="14F38544" w14:textId="4C658656" w:rsidR="00642251" w:rsidRPr="00A608EE" w:rsidRDefault="005160B6" w:rsidP="00EE208A">
      <w:pPr>
        <w:pStyle w:val="paragraph"/>
        <w:spacing w:before="0" w:beforeAutospacing="0" w:after="0" w:afterAutospacing="0"/>
        <w:jc w:val="both"/>
        <w:textAlignment w:val="baseline"/>
        <w:rPr>
          <w:rFonts w:asciiTheme="majorHAnsi" w:hAnsiTheme="majorHAnsi"/>
          <w:b/>
          <w:bCs/>
          <w:sz w:val="20"/>
          <w:szCs w:val="20"/>
        </w:rPr>
      </w:pPr>
      <w:r w:rsidRPr="00A608EE">
        <w:rPr>
          <w:noProof/>
        </w:rPr>
        <w:lastRenderedPageBreak/>
        <mc:AlternateContent>
          <mc:Choice Requires="wps">
            <w:drawing>
              <wp:anchor distT="0" distB="0" distL="114300" distR="114300" simplePos="0" relativeHeight="251669504" behindDoc="0" locked="0" layoutInCell="1" allowOverlap="1" wp14:anchorId="270C80B6" wp14:editId="76BE3910">
                <wp:simplePos x="0" y="0"/>
                <wp:positionH relativeFrom="column">
                  <wp:posOffset>0</wp:posOffset>
                </wp:positionH>
                <wp:positionV relativeFrom="paragraph">
                  <wp:posOffset>0</wp:posOffset>
                </wp:positionV>
                <wp:extent cx="1828800" cy="1828800"/>
                <wp:effectExtent l="0" t="0" r="0" b="0"/>
                <wp:wrapSquare wrapText="bothSides"/>
                <wp:docPr id="477523937"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7D80FD86" w14:textId="561E7AAD" w:rsidR="00642251" w:rsidRPr="00820B09" w:rsidRDefault="00B53772" w:rsidP="00642251">
                            <w:pPr>
                              <w:pStyle w:val="paragraph"/>
                              <w:spacing w:after="0"/>
                              <w:jc w:val="both"/>
                              <w:textAlignment w:val="baseline"/>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642251" w:rsidRPr="00820B09">
                              <w:rPr>
                                <w:rFonts w:asciiTheme="majorHAnsi" w:hAnsiTheme="majorHAnsi"/>
                                <w:b/>
                                <w:bCs/>
                                <w:sz w:val="20"/>
                                <w:szCs w:val="20"/>
                              </w:rPr>
                              <w:t>1.B.1.3</w:t>
                            </w:r>
                          </w:p>
                          <w:p w14:paraId="776E51C7" w14:textId="1B1B2F0E" w:rsidR="00642251" w:rsidRPr="00820B09" w:rsidRDefault="0064225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To effectively measure impact and inform the improvement or development of financial services, it is essential to collect intersectional data disaggregated by gender, age, disability, socioeconomic status, and other relevant factors such as geographic location and cultural background, ensuring that diverse needs and experiences are accurately represented.</w:t>
                            </w:r>
                          </w:p>
                          <w:p w14:paraId="1F12896E" w14:textId="77777777" w:rsidR="005433CC" w:rsidRPr="00820B09" w:rsidRDefault="005433CC" w:rsidP="00642251">
                            <w:pPr>
                              <w:pStyle w:val="paragraph"/>
                              <w:spacing w:before="0" w:beforeAutospacing="0" w:after="0" w:afterAutospacing="0"/>
                              <w:jc w:val="both"/>
                              <w:textAlignment w:val="baseline"/>
                              <w:rPr>
                                <w:rFonts w:asciiTheme="majorHAnsi" w:hAnsiTheme="majorHAnsi"/>
                                <w:sz w:val="20"/>
                                <w:szCs w:val="20"/>
                              </w:rPr>
                            </w:pPr>
                          </w:p>
                          <w:p w14:paraId="1E11E088" w14:textId="6E898A2A" w:rsidR="00D800ED" w:rsidRPr="00820B09" w:rsidRDefault="0064225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 xml:space="preserve">The provider should collect data on disability status of clients as well as other demographic data, to understand its reach to persons with disabilities within its target segments, and how well it is serving them, as a measure of whether it is achieving its social goals (including at a minimum level non-discrimination, inclusion and accessibility for persons with disabilities). </w:t>
                            </w:r>
                          </w:p>
                          <w:p w14:paraId="14DA4492" w14:textId="05D0123B" w:rsidR="005433CC" w:rsidRPr="00820B09" w:rsidDel="00D800ED" w:rsidRDefault="005433CC" w:rsidP="00642251">
                            <w:pPr>
                              <w:pStyle w:val="paragraph"/>
                              <w:spacing w:before="0" w:beforeAutospacing="0" w:after="0" w:afterAutospacing="0"/>
                              <w:jc w:val="both"/>
                              <w:textAlignment w:val="baseline"/>
                              <w:rPr>
                                <w:rFonts w:asciiTheme="majorHAnsi" w:hAnsiTheme="majorHAnsi"/>
                                <w:sz w:val="20"/>
                                <w:szCs w:val="20"/>
                              </w:rPr>
                            </w:pPr>
                          </w:p>
                          <w:p w14:paraId="61B4C5AC" w14:textId="56C795C3" w:rsidR="00D800ED" w:rsidRPr="00820B09" w:rsidRDefault="0064225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 xml:space="preserve">It is recommended that providers </w:t>
                            </w:r>
                            <w:r w:rsidR="00D800ED" w:rsidRPr="00820B09">
                              <w:rPr>
                                <w:rFonts w:asciiTheme="majorHAnsi" w:hAnsiTheme="majorHAnsi"/>
                                <w:sz w:val="20"/>
                                <w:szCs w:val="20"/>
                              </w:rPr>
                              <w:t xml:space="preserve">collect data on both by disability status (with/without disabilities) and types of functional impairments. </w:t>
                            </w:r>
                            <w:r w:rsidR="00D800ED" w:rsidRPr="00820B09" w:rsidDel="00D800ED">
                              <w:rPr>
                                <w:rFonts w:asciiTheme="majorHAnsi" w:hAnsiTheme="majorHAnsi"/>
                                <w:sz w:val="20"/>
                                <w:szCs w:val="20"/>
                              </w:rPr>
                              <w:t>These questions are not intended for medical diagnosis, and FSPs should avoid being overly prescriptive, as they are not health professionals. The purpose is simply to identify clients who may experience barriers and to inform the design, improvement, or development of suitable financial services.</w:t>
                            </w:r>
                          </w:p>
                          <w:p w14:paraId="3E295DE3" w14:textId="77777777" w:rsidR="00D800ED" w:rsidRPr="00820B09" w:rsidRDefault="00D800ED" w:rsidP="00642251">
                            <w:pPr>
                              <w:pStyle w:val="paragraph"/>
                              <w:spacing w:before="0" w:beforeAutospacing="0" w:after="0" w:afterAutospacing="0"/>
                              <w:jc w:val="both"/>
                              <w:textAlignment w:val="baseline"/>
                              <w:rPr>
                                <w:rFonts w:asciiTheme="majorHAnsi" w:hAnsiTheme="majorHAnsi"/>
                                <w:sz w:val="20"/>
                                <w:szCs w:val="20"/>
                              </w:rPr>
                            </w:pPr>
                          </w:p>
                          <w:p w14:paraId="062A8FE4" w14:textId="280F97BA" w:rsidR="00D800ED" w:rsidRPr="00820B09" w:rsidRDefault="002009E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The data collection method chosen will impact both the accuracy and quality of the data collected, and the granularity of analysis that can be carried out. The WGSS is recommended as an internationally-accepted standard, which provides information by type and severity of functional impairments. in particular for FSPs identifying disability inclusion as a core part of their social strategy. However, recognizing potential challenges for implementation, FSPs may adopt simplified methodologies. As a minimum, an indicator of disability status based on self-identification by the client should be collected.</w:t>
                            </w:r>
                          </w:p>
                          <w:p w14:paraId="58FE9BCC" w14:textId="77777777" w:rsidR="002009E1" w:rsidRPr="00820B09" w:rsidRDefault="002009E1" w:rsidP="00642251">
                            <w:pPr>
                              <w:pStyle w:val="paragraph"/>
                              <w:spacing w:before="0" w:beforeAutospacing="0" w:after="0" w:afterAutospacing="0"/>
                              <w:jc w:val="both"/>
                              <w:textAlignment w:val="baseline"/>
                              <w:rPr>
                                <w:rFonts w:asciiTheme="majorHAnsi" w:hAnsiTheme="majorHAnsi"/>
                                <w:sz w:val="20"/>
                                <w:szCs w:val="20"/>
                              </w:rPr>
                            </w:pPr>
                          </w:p>
                          <w:p w14:paraId="5C22F337" w14:textId="096D468D" w:rsidR="00D800ED" w:rsidRPr="00820B09" w:rsidRDefault="00D800ED"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Further information on the WGSS and alternative data collection methods are provided in the box on the next page.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0C80B6" id="_x0000_s1030" type="#_x0000_t202" style="position:absolute;left:0;text-align:left;margin-left:0;margin-top:0;width:2in;height:2in;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qUh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6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CK+pSErAgAAWgQAAA4AAAAAAAAAAAAAAAAALgIAAGRycy9lMm9Eb2Mu&#10;eG1sUEsBAi0AFAAGAAgAAAAhALcMAwjXAAAABQEAAA8AAAAAAAAAAAAAAAAAhQQAAGRycy9kb3du&#10;cmV2LnhtbFBLBQYAAAAABAAEAPMAAACJBQAAAAA=&#10;" filled="f" strokeweight=".5pt">
                <v:textbox style="mso-fit-shape-to-text:t">
                  <w:txbxContent>
                    <w:p w14:paraId="7D80FD86" w14:textId="561E7AAD" w:rsidR="00642251" w:rsidRPr="00820B09" w:rsidRDefault="00B53772" w:rsidP="00642251">
                      <w:pPr>
                        <w:pStyle w:val="paragraph"/>
                        <w:spacing w:after="0"/>
                        <w:jc w:val="both"/>
                        <w:textAlignment w:val="baseline"/>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642251" w:rsidRPr="00820B09">
                        <w:rPr>
                          <w:rFonts w:asciiTheme="majorHAnsi" w:hAnsiTheme="majorHAnsi"/>
                          <w:b/>
                          <w:bCs/>
                          <w:sz w:val="20"/>
                          <w:szCs w:val="20"/>
                        </w:rPr>
                        <w:t>1.B.1.3</w:t>
                      </w:r>
                    </w:p>
                    <w:p w14:paraId="776E51C7" w14:textId="1B1B2F0E" w:rsidR="00642251" w:rsidRPr="00820B09" w:rsidRDefault="0064225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To effectively measure impact and inform the improvement or development of financial services, it is essential to collect intersectional data disaggregated by gender, age, disability, socioeconomic status, and other relevant factors such as geographic location and cultural background, ensuring that diverse needs and experiences are accurately represented.</w:t>
                      </w:r>
                    </w:p>
                    <w:p w14:paraId="1F12896E" w14:textId="77777777" w:rsidR="005433CC" w:rsidRPr="00820B09" w:rsidRDefault="005433CC" w:rsidP="00642251">
                      <w:pPr>
                        <w:pStyle w:val="paragraph"/>
                        <w:spacing w:before="0" w:beforeAutospacing="0" w:after="0" w:afterAutospacing="0"/>
                        <w:jc w:val="both"/>
                        <w:textAlignment w:val="baseline"/>
                        <w:rPr>
                          <w:rFonts w:asciiTheme="majorHAnsi" w:hAnsiTheme="majorHAnsi"/>
                          <w:sz w:val="20"/>
                          <w:szCs w:val="20"/>
                        </w:rPr>
                      </w:pPr>
                    </w:p>
                    <w:p w14:paraId="1E11E088" w14:textId="6E898A2A" w:rsidR="00D800ED" w:rsidRPr="00820B09" w:rsidRDefault="0064225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 xml:space="preserve">The provider should collect data on disability status of clients as well as other demographic data, to understand its reach to persons with disabilities within its target segments, and how well it is serving them, as a measure of whether it is achieving its social goals (including at a minimum level non-discrimination, inclusion and accessibility for persons with disabilities). </w:t>
                      </w:r>
                    </w:p>
                    <w:p w14:paraId="14DA4492" w14:textId="05D0123B" w:rsidR="005433CC" w:rsidRPr="00820B09" w:rsidDel="00D800ED" w:rsidRDefault="005433CC" w:rsidP="00642251">
                      <w:pPr>
                        <w:pStyle w:val="paragraph"/>
                        <w:spacing w:before="0" w:beforeAutospacing="0" w:after="0" w:afterAutospacing="0"/>
                        <w:jc w:val="both"/>
                        <w:textAlignment w:val="baseline"/>
                        <w:rPr>
                          <w:rFonts w:asciiTheme="majorHAnsi" w:hAnsiTheme="majorHAnsi"/>
                          <w:sz w:val="20"/>
                          <w:szCs w:val="20"/>
                        </w:rPr>
                      </w:pPr>
                    </w:p>
                    <w:p w14:paraId="61B4C5AC" w14:textId="56C795C3" w:rsidR="00D800ED" w:rsidRPr="00820B09" w:rsidRDefault="0064225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 xml:space="preserve">It is recommended that providers </w:t>
                      </w:r>
                      <w:r w:rsidR="00D800ED" w:rsidRPr="00820B09">
                        <w:rPr>
                          <w:rFonts w:asciiTheme="majorHAnsi" w:hAnsiTheme="majorHAnsi"/>
                          <w:sz w:val="20"/>
                          <w:szCs w:val="20"/>
                        </w:rPr>
                        <w:t xml:space="preserve">collect data on both by disability status (with/without disabilities) and types of functional impairments. </w:t>
                      </w:r>
                      <w:r w:rsidR="00D800ED" w:rsidRPr="00820B09" w:rsidDel="00D800ED">
                        <w:rPr>
                          <w:rFonts w:asciiTheme="majorHAnsi" w:hAnsiTheme="majorHAnsi"/>
                          <w:sz w:val="20"/>
                          <w:szCs w:val="20"/>
                        </w:rPr>
                        <w:t>These questions are not intended for medical diagnosis, and FSPs should avoid being overly prescriptive, as they are not health professionals. The purpose is simply to identify clients who may experience barriers and to inform the design, improvement, or development of suitable financial services.</w:t>
                      </w:r>
                    </w:p>
                    <w:p w14:paraId="3E295DE3" w14:textId="77777777" w:rsidR="00D800ED" w:rsidRPr="00820B09" w:rsidRDefault="00D800ED" w:rsidP="00642251">
                      <w:pPr>
                        <w:pStyle w:val="paragraph"/>
                        <w:spacing w:before="0" w:beforeAutospacing="0" w:after="0" w:afterAutospacing="0"/>
                        <w:jc w:val="both"/>
                        <w:textAlignment w:val="baseline"/>
                        <w:rPr>
                          <w:rFonts w:asciiTheme="majorHAnsi" w:hAnsiTheme="majorHAnsi"/>
                          <w:sz w:val="20"/>
                          <w:szCs w:val="20"/>
                        </w:rPr>
                      </w:pPr>
                    </w:p>
                    <w:p w14:paraId="062A8FE4" w14:textId="280F97BA" w:rsidR="00D800ED" w:rsidRPr="00820B09" w:rsidRDefault="002009E1"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The data collection method chosen will impact both the accuracy and quality of the data collected, and the granularity of analysis that can be carried out. The WGSS is recommended as an internationally-accepted standard, which provides information by type and severity of functional impairments. in particular for FSPs identifying disability inclusion as a core part of their social strategy. However, recognizing potential challenges for implementation, FSPs may adopt simplified methodologies. As a minimum, an indicator of disability status based on self-identification by the client should be collected.</w:t>
                      </w:r>
                    </w:p>
                    <w:p w14:paraId="58FE9BCC" w14:textId="77777777" w:rsidR="002009E1" w:rsidRPr="00820B09" w:rsidRDefault="002009E1" w:rsidP="00642251">
                      <w:pPr>
                        <w:pStyle w:val="paragraph"/>
                        <w:spacing w:before="0" w:beforeAutospacing="0" w:after="0" w:afterAutospacing="0"/>
                        <w:jc w:val="both"/>
                        <w:textAlignment w:val="baseline"/>
                        <w:rPr>
                          <w:rFonts w:asciiTheme="majorHAnsi" w:hAnsiTheme="majorHAnsi"/>
                          <w:sz w:val="20"/>
                          <w:szCs w:val="20"/>
                        </w:rPr>
                      </w:pPr>
                    </w:p>
                    <w:p w14:paraId="5C22F337" w14:textId="096D468D" w:rsidR="00D800ED" w:rsidRPr="00820B09" w:rsidRDefault="00D800ED" w:rsidP="0064225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Further information on the WGSS and alternative data collection methods are provided in the box on the next page.</w:t>
                      </w:r>
                    </w:p>
                  </w:txbxContent>
                </v:textbox>
                <w10:wrap type="square"/>
              </v:shape>
            </w:pict>
          </mc:Fallback>
        </mc:AlternateContent>
      </w:r>
    </w:p>
    <w:p w14:paraId="15CDD25D" w14:textId="77777777" w:rsidR="001B44FC" w:rsidRPr="00A608EE" w:rsidRDefault="001B44FC" w:rsidP="00EE208A">
      <w:pPr>
        <w:pStyle w:val="paragraph"/>
        <w:spacing w:before="0" w:beforeAutospacing="0" w:after="0" w:afterAutospacing="0"/>
        <w:jc w:val="both"/>
        <w:textAlignment w:val="baseline"/>
        <w:rPr>
          <w:rFonts w:asciiTheme="majorHAnsi" w:hAnsiTheme="majorHAnsi"/>
          <w:b/>
          <w:bCs/>
          <w:sz w:val="20"/>
          <w:szCs w:val="20"/>
        </w:rPr>
      </w:pPr>
    </w:p>
    <w:p w14:paraId="33093866" w14:textId="1078DF82" w:rsidR="002009E1" w:rsidRPr="00A608EE" w:rsidRDefault="002009E1" w:rsidP="00EE208A">
      <w:pPr>
        <w:pStyle w:val="paragraph"/>
        <w:spacing w:before="0" w:beforeAutospacing="0" w:after="0" w:afterAutospacing="0"/>
        <w:jc w:val="both"/>
        <w:textAlignment w:val="baseline"/>
        <w:rPr>
          <w:rFonts w:asciiTheme="majorHAnsi" w:hAnsiTheme="majorHAnsi"/>
          <w:b/>
          <w:bCs/>
          <w:sz w:val="20"/>
          <w:szCs w:val="20"/>
        </w:rPr>
      </w:pPr>
      <w:r w:rsidRPr="00A608EE">
        <w:rPr>
          <w:noProof/>
        </w:rPr>
        <w:lastRenderedPageBreak/>
        <mc:AlternateContent>
          <mc:Choice Requires="wps">
            <w:drawing>
              <wp:anchor distT="0" distB="0" distL="114300" distR="114300" simplePos="0" relativeHeight="251745280" behindDoc="0" locked="0" layoutInCell="1" allowOverlap="1" wp14:anchorId="08232E56" wp14:editId="36982A39">
                <wp:simplePos x="0" y="0"/>
                <wp:positionH relativeFrom="margin">
                  <wp:align>right</wp:align>
                </wp:positionH>
                <wp:positionV relativeFrom="paragraph">
                  <wp:posOffset>151130</wp:posOffset>
                </wp:positionV>
                <wp:extent cx="5734050" cy="8172450"/>
                <wp:effectExtent l="0" t="0" r="19050" b="19050"/>
                <wp:wrapSquare wrapText="bothSides"/>
                <wp:docPr id="786570353" name="Cuadro de texto 1"/>
                <wp:cNvGraphicFramePr/>
                <a:graphic xmlns:a="http://schemas.openxmlformats.org/drawingml/2006/main">
                  <a:graphicData uri="http://schemas.microsoft.com/office/word/2010/wordprocessingShape">
                    <wps:wsp>
                      <wps:cNvSpPr txBox="1"/>
                      <wps:spPr>
                        <a:xfrm>
                          <a:off x="0" y="0"/>
                          <a:ext cx="5734050" cy="8172450"/>
                        </a:xfrm>
                        <a:prstGeom prst="rect">
                          <a:avLst/>
                        </a:prstGeom>
                        <a:noFill/>
                        <a:ln w="6350">
                          <a:solidFill>
                            <a:prstClr val="black"/>
                          </a:solidFill>
                        </a:ln>
                      </wps:spPr>
                      <wps:txbx>
                        <w:txbxContent>
                          <w:p w14:paraId="5C1A88DC" w14:textId="3CC19235" w:rsidR="002009E1" w:rsidRPr="00820B09" w:rsidRDefault="00B53772" w:rsidP="002009E1">
                            <w:pPr>
                              <w:pStyle w:val="paragraph"/>
                              <w:jc w:val="both"/>
                              <w:textAlignment w:val="baseline"/>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2009E1" w:rsidRPr="00820B09">
                              <w:rPr>
                                <w:rFonts w:asciiTheme="majorHAnsi" w:hAnsiTheme="majorHAnsi"/>
                                <w:b/>
                                <w:bCs/>
                                <w:sz w:val="20"/>
                                <w:szCs w:val="20"/>
                              </w:rPr>
                              <w:t>1.B.1.3 (Continued)</w:t>
                            </w:r>
                          </w:p>
                          <w:p w14:paraId="0208FDD4"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u w:val="single"/>
                              </w:rPr>
                            </w:pPr>
                            <w:r w:rsidRPr="00820B09">
                              <w:rPr>
                                <w:rFonts w:asciiTheme="majorHAnsi" w:hAnsiTheme="majorHAnsi"/>
                                <w:sz w:val="20"/>
                                <w:szCs w:val="20"/>
                                <w:u w:val="single"/>
                              </w:rPr>
                              <w:t>The Washington Group Short Set of Questions on Disability (WGSS)</w:t>
                            </w:r>
                          </w:p>
                          <w:p w14:paraId="01014DD9" w14:textId="40383882"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The WGSS is a globally recognized tool designed to identify persons with disabilities in a way that is comparable across different cultural and economic contexts. The WGSS was originally designed to be used in national population censuses, and is widely used by governments for this purpose.</w:t>
                            </w:r>
                          </w:p>
                          <w:p w14:paraId="2A141CDB" w14:textId="77777777" w:rsidR="002009E1" w:rsidRPr="00820B09" w:rsidRDefault="002009E1" w:rsidP="002009E1">
                            <w:pPr>
                              <w:pStyle w:val="paragraph"/>
                              <w:jc w:val="both"/>
                              <w:textAlignment w:val="baseline"/>
                              <w:rPr>
                                <w:rFonts w:asciiTheme="majorHAnsi" w:hAnsiTheme="majorHAnsi"/>
                                <w:sz w:val="20"/>
                                <w:szCs w:val="20"/>
                              </w:rPr>
                            </w:pPr>
                            <w:r w:rsidRPr="00820B09">
                              <w:rPr>
                                <w:rFonts w:asciiTheme="majorHAnsi" w:hAnsiTheme="majorHAnsi"/>
                                <w:sz w:val="20"/>
                                <w:szCs w:val="20"/>
                              </w:rPr>
                              <w:t>It assess difficulties across six functional domains, through a survey of six questions asking whether respondents experience difficulty in carrying out activities:</w:t>
                            </w:r>
                          </w:p>
                          <w:p w14:paraId="60A3B8AD" w14:textId="77777777" w:rsidR="002009E1" w:rsidRPr="00820B09" w:rsidRDefault="002009E1" w:rsidP="00A02AC4">
                            <w:pPr>
                              <w:pStyle w:val="paragraph"/>
                              <w:ind w:left="708"/>
                              <w:jc w:val="both"/>
                              <w:textAlignment w:val="baseline"/>
                              <w:rPr>
                                <w:rFonts w:asciiTheme="majorHAnsi" w:hAnsiTheme="majorHAnsi"/>
                                <w:sz w:val="20"/>
                                <w:szCs w:val="20"/>
                              </w:rPr>
                            </w:pPr>
                            <w:r w:rsidRPr="00820B09">
                              <w:rPr>
                                <w:rFonts w:asciiTheme="majorHAnsi" w:hAnsiTheme="majorHAnsi"/>
                                <w:sz w:val="20"/>
                                <w:szCs w:val="20"/>
                              </w:rPr>
                              <w:t xml:space="preserve">Seeing / Hearing / Walking or climbing stairs / Remembering or concentrating / Self-care / Communicating </w:t>
                            </w:r>
                          </w:p>
                          <w:p w14:paraId="03F0B641" w14:textId="77777777" w:rsidR="002009E1" w:rsidRPr="00820B09" w:rsidRDefault="002009E1" w:rsidP="002009E1">
                            <w:pPr>
                              <w:pStyle w:val="paragraph"/>
                              <w:jc w:val="both"/>
                              <w:textAlignment w:val="baseline"/>
                              <w:rPr>
                                <w:rFonts w:asciiTheme="majorHAnsi" w:hAnsiTheme="majorHAnsi"/>
                                <w:sz w:val="20"/>
                                <w:szCs w:val="20"/>
                              </w:rPr>
                            </w:pPr>
                            <w:r w:rsidRPr="00820B09">
                              <w:rPr>
                                <w:rFonts w:asciiTheme="majorHAnsi" w:hAnsiTheme="majorHAnsi"/>
                                <w:sz w:val="20"/>
                                <w:szCs w:val="20"/>
                              </w:rPr>
                              <w:t xml:space="preserve">For each question, it captures the degree of difficulty people experience in these daily activities through four response options: </w:t>
                            </w:r>
                          </w:p>
                          <w:p w14:paraId="448C9EE6" w14:textId="47DCB04A" w:rsidR="002009E1" w:rsidRPr="00820B09" w:rsidRDefault="002009E1" w:rsidP="002009E1">
                            <w:pPr>
                              <w:pStyle w:val="paragraph"/>
                              <w:spacing w:before="0" w:beforeAutospacing="0" w:after="0" w:afterAutospacing="0"/>
                              <w:ind w:left="708"/>
                              <w:jc w:val="both"/>
                              <w:textAlignment w:val="baseline"/>
                              <w:rPr>
                                <w:rFonts w:asciiTheme="majorHAnsi" w:hAnsiTheme="majorHAnsi"/>
                                <w:sz w:val="20"/>
                                <w:szCs w:val="20"/>
                              </w:rPr>
                            </w:pPr>
                            <w:r w:rsidRPr="00820B09">
                              <w:rPr>
                                <w:rFonts w:asciiTheme="majorHAnsi" w:hAnsiTheme="majorHAnsi"/>
                                <w:sz w:val="20"/>
                                <w:szCs w:val="20"/>
                              </w:rPr>
                              <w:t xml:space="preserve">no difficulty / some difficulty / a lot of difficulty / cannot do at all </w:t>
                            </w:r>
                          </w:p>
                          <w:p w14:paraId="61B8BBBD"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p>
                          <w:p w14:paraId="070727DE"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More information can be found and in this link: ‘</w:t>
                            </w:r>
                            <w:hyperlink r:id="rId52" w:history="1">
                              <w:r w:rsidRPr="00820B09">
                                <w:rPr>
                                  <w:rStyle w:val="Hyperlink"/>
                                  <w:rFonts w:asciiTheme="majorHAnsi" w:hAnsiTheme="majorHAnsi"/>
                                  <w:sz w:val="20"/>
                                  <w:szCs w:val="20"/>
                                </w:rPr>
                                <w:t>Washington Group on Disability Statistics, ‘WG Short Set on Functioning (WG-SS)</w:t>
                              </w:r>
                            </w:hyperlink>
                            <w:r w:rsidRPr="00820B09">
                              <w:rPr>
                                <w:rFonts w:asciiTheme="majorHAnsi" w:hAnsiTheme="majorHAnsi"/>
                                <w:sz w:val="20"/>
                                <w:szCs w:val="20"/>
                              </w:rPr>
                              <w:t>’, and in BFFI’s Disability Inclusion Guide for FSPs,</w:t>
                            </w:r>
                          </w:p>
                          <w:p w14:paraId="3E1D8FCE"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p>
                          <w:p w14:paraId="4E4BC285" w14:textId="715775A9"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u w:val="single"/>
                              </w:rPr>
                            </w:pPr>
                            <w:r w:rsidRPr="00820B09">
                              <w:rPr>
                                <w:rFonts w:asciiTheme="majorHAnsi" w:hAnsiTheme="majorHAnsi"/>
                                <w:sz w:val="20"/>
                                <w:szCs w:val="20"/>
                                <w:u w:val="single"/>
                              </w:rPr>
                              <w:t>Alternative data collection methodologies</w:t>
                            </w:r>
                          </w:p>
                          <w:p w14:paraId="088FFD59" w14:textId="4575BAF6"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FSPs may use simplified disability data collection methodologies adapted to their operating and cultural context, for example:</w:t>
                            </w:r>
                          </w:p>
                          <w:p w14:paraId="331E5DF1" w14:textId="705F4D71" w:rsidR="002009E1" w:rsidRPr="00820B09" w:rsidRDefault="002009E1" w:rsidP="00A27AAA">
                            <w:pPr>
                              <w:pStyle w:val="paragraph"/>
                              <w:numPr>
                                <w:ilvl w:val="0"/>
                                <w:numId w:val="403"/>
                              </w:numPr>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Simplified versions of the WGSS, for instance collecting Yes / No responses for the six questions instead of the four responses on degree of difficulty, and / or by removing the question relating to self-care.</w:t>
                            </w:r>
                          </w:p>
                          <w:p w14:paraId="2460DDB7" w14:textId="77777777" w:rsidR="002009E1" w:rsidRPr="00820B09" w:rsidRDefault="002009E1" w:rsidP="00A27AAA">
                            <w:pPr>
                              <w:pStyle w:val="paragraph"/>
                              <w:numPr>
                                <w:ilvl w:val="0"/>
                                <w:numId w:val="403"/>
                              </w:numPr>
                              <w:jc w:val="both"/>
                              <w:textAlignment w:val="baseline"/>
                              <w:rPr>
                                <w:rFonts w:asciiTheme="majorHAnsi" w:hAnsiTheme="majorHAnsi"/>
                                <w:sz w:val="20"/>
                                <w:szCs w:val="20"/>
                              </w:rPr>
                            </w:pPr>
                            <w:r w:rsidRPr="00820B09">
                              <w:rPr>
                                <w:rFonts w:asciiTheme="majorHAnsi" w:hAnsiTheme="majorHAnsi"/>
                                <w:sz w:val="20"/>
                                <w:szCs w:val="20"/>
                              </w:rPr>
                              <w:t>Ask a self-identification question: “Do you consider yourself a person with a disability?” with response options (allowing multiple response):</w:t>
                            </w:r>
                          </w:p>
                          <w:p w14:paraId="6B04E898" w14:textId="78A67198" w:rsidR="002009E1" w:rsidRPr="00820B09" w:rsidRDefault="002009E1" w:rsidP="00A27AAA">
                            <w:pPr>
                              <w:pStyle w:val="paragraph"/>
                              <w:numPr>
                                <w:ilvl w:val="1"/>
                                <w:numId w:val="403"/>
                              </w:numPr>
                              <w:jc w:val="both"/>
                              <w:textAlignment w:val="baseline"/>
                              <w:rPr>
                                <w:rFonts w:asciiTheme="majorHAnsi" w:hAnsiTheme="majorHAnsi"/>
                                <w:sz w:val="20"/>
                                <w:szCs w:val="20"/>
                              </w:rPr>
                            </w:pPr>
                            <w:r w:rsidRPr="00820B09">
                              <w:rPr>
                                <w:rFonts w:asciiTheme="majorHAnsi" w:hAnsiTheme="majorHAnsi"/>
                                <w:sz w:val="20"/>
                                <w:szCs w:val="20"/>
                              </w:rPr>
                              <w:t>No / Yes: physical / Yes: visual / Yes: Hearing / Yes: communication / Yes: remembering / concentrating / Yes: other / Prefer not to answer.</w:t>
                            </w:r>
                          </w:p>
                          <w:p w14:paraId="26A8DAE0" w14:textId="61B10D0A" w:rsidR="002009E1" w:rsidRPr="00820B09" w:rsidRDefault="002009E1" w:rsidP="00A02AC4">
                            <w:pPr>
                              <w:pStyle w:val="paragraph"/>
                              <w:contextualSpacing/>
                              <w:jc w:val="both"/>
                              <w:textAlignment w:val="baseline"/>
                              <w:rPr>
                                <w:rFonts w:asciiTheme="majorHAnsi" w:hAnsiTheme="majorHAnsi"/>
                                <w:sz w:val="20"/>
                                <w:szCs w:val="20"/>
                                <w:u w:val="single"/>
                              </w:rPr>
                            </w:pPr>
                            <w:r w:rsidRPr="00820B09">
                              <w:rPr>
                                <w:rFonts w:asciiTheme="majorHAnsi" w:hAnsiTheme="majorHAnsi"/>
                                <w:sz w:val="20"/>
                                <w:szCs w:val="20"/>
                                <w:u w:val="single"/>
                              </w:rPr>
                              <w:t xml:space="preserve">Advantages of using the WGSS rather than simplified methodologies: </w:t>
                            </w:r>
                          </w:p>
                          <w:p w14:paraId="36E18D1B" w14:textId="062D1C47" w:rsidR="002009E1" w:rsidRPr="00820B09" w:rsidRDefault="002009E1" w:rsidP="00A27AAA">
                            <w:pPr>
                              <w:pStyle w:val="paragraph"/>
                              <w:numPr>
                                <w:ilvl w:val="0"/>
                                <w:numId w:val="404"/>
                              </w:numPr>
                              <w:jc w:val="both"/>
                              <w:textAlignment w:val="baseline"/>
                              <w:rPr>
                                <w:rFonts w:asciiTheme="majorHAnsi" w:hAnsiTheme="majorHAnsi"/>
                                <w:sz w:val="20"/>
                                <w:szCs w:val="20"/>
                              </w:rPr>
                            </w:pPr>
                            <w:r w:rsidRPr="00820B09">
                              <w:rPr>
                                <w:rFonts w:asciiTheme="majorHAnsi" w:hAnsiTheme="majorHAnsi"/>
                                <w:sz w:val="20"/>
                                <w:szCs w:val="20"/>
                              </w:rPr>
                              <w:t xml:space="preserve">enables more detailed analysis to make informed decisions </w:t>
                            </w:r>
                          </w:p>
                          <w:p w14:paraId="05EF1476" w14:textId="38C0E90D" w:rsidR="002009E1" w:rsidRPr="00820B09" w:rsidRDefault="002009E1" w:rsidP="00A27AAA">
                            <w:pPr>
                              <w:pStyle w:val="paragraph"/>
                              <w:numPr>
                                <w:ilvl w:val="0"/>
                                <w:numId w:val="404"/>
                              </w:numPr>
                              <w:jc w:val="both"/>
                              <w:textAlignment w:val="baseline"/>
                              <w:rPr>
                                <w:rFonts w:asciiTheme="majorHAnsi" w:hAnsiTheme="majorHAnsi"/>
                                <w:sz w:val="20"/>
                                <w:szCs w:val="20"/>
                              </w:rPr>
                            </w:pPr>
                            <w:r w:rsidRPr="00820B09">
                              <w:rPr>
                                <w:rFonts w:asciiTheme="majorHAnsi" w:hAnsiTheme="majorHAnsi"/>
                                <w:sz w:val="20"/>
                                <w:szCs w:val="20"/>
                              </w:rPr>
                              <w:t>from FSPs' experience, using simplified methodologies can result in under-reporting</w:t>
                            </w:r>
                          </w:p>
                          <w:p w14:paraId="3FF0A991" w14:textId="330314DA" w:rsidR="002009E1" w:rsidRPr="00820B09" w:rsidRDefault="002009E1" w:rsidP="00A27AAA">
                            <w:pPr>
                              <w:pStyle w:val="paragraph"/>
                              <w:numPr>
                                <w:ilvl w:val="0"/>
                                <w:numId w:val="404"/>
                              </w:numPr>
                              <w:jc w:val="both"/>
                              <w:textAlignment w:val="baseline"/>
                              <w:rPr>
                                <w:rFonts w:asciiTheme="majorHAnsi" w:hAnsiTheme="majorHAnsi"/>
                                <w:sz w:val="20"/>
                                <w:szCs w:val="20"/>
                              </w:rPr>
                            </w:pPr>
                            <w:r w:rsidRPr="00820B09">
                              <w:rPr>
                                <w:rFonts w:asciiTheme="majorHAnsi" w:hAnsiTheme="majorHAnsi"/>
                                <w:sz w:val="20"/>
                                <w:szCs w:val="20"/>
                              </w:rPr>
                              <w:t>easier to report and benchmark</w:t>
                            </w:r>
                          </w:p>
                          <w:p w14:paraId="2452ABAA" w14:textId="690B85DD" w:rsidR="002009E1" w:rsidRPr="00820B09" w:rsidRDefault="002009E1" w:rsidP="00A02AC4">
                            <w:pPr>
                              <w:pStyle w:val="paragraph"/>
                              <w:contextualSpacing/>
                              <w:jc w:val="both"/>
                              <w:textAlignment w:val="baseline"/>
                              <w:rPr>
                                <w:rFonts w:asciiTheme="majorHAnsi" w:hAnsiTheme="majorHAnsi"/>
                                <w:sz w:val="20"/>
                                <w:szCs w:val="20"/>
                                <w:u w:val="single"/>
                              </w:rPr>
                            </w:pPr>
                            <w:r w:rsidRPr="00820B09">
                              <w:rPr>
                                <w:rFonts w:asciiTheme="majorHAnsi" w:hAnsiTheme="majorHAnsi"/>
                                <w:sz w:val="20"/>
                                <w:szCs w:val="20"/>
                                <w:u w:val="single"/>
                              </w:rPr>
                              <w:t>Potential challenges using the WGSS:</w:t>
                            </w:r>
                          </w:p>
                          <w:p w14:paraId="3928426E" w14:textId="77777777" w:rsidR="002009E1" w:rsidRPr="00820B09" w:rsidRDefault="002009E1" w:rsidP="00A27AAA">
                            <w:pPr>
                              <w:pStyle w:val="paragraph"/>
                              <w:numPr>
                                <w:ilvl w:val="0"/>
                                <w:numId w:val="405"/>
                              </w:numPr>
                              <w:jc w:val="both"/>
                              <w:textAlignment w:val="baseline"/>
                              <w:rPr>
                                <w:rFonts w:asciiTheme="majorHAnsi" w:hAnsiTheme="majorHAnsi"/>
                                <w:sz w:val="20"/>
                                <w:szCs w:val="20"/>
                              </w:rPr>
                            </w:pPr>
                            <w:r w:rsidRPr="00820B09">
                              <w:rPr>
                                <w:rFonts w:asciiTheme="majorHAnsi" w:hAnsiTheme="majorHAnsi"/>
                                <w:sz w:val="20"/>
                                <w:szCs w:val="20"/>
                              </w:rPr>
                              <w:t>Designed for data collection at national / sector level: may not fit the purpose of the FSP</w:t>
                            </w:r>
                          </w:p>
                          <w:p w14:paraId="7ABDB168" w14:textId="60A871F2" w:rsidR="002009E1" w:rsidRPr="00820B09" w:rsidRDefault="002009E1" w:rsidP="00A27AAA">
                            <w:pPr>
                              <w:pStyle w:val="paragraph"/>
                              <w:numPr>
                                <w:ilvl w:val="0"/>
                                <w:numId w:val="405"/>
                              </w:numPr>
                              <w:jc w:val="both"/>
                              <w:textAlignment w:val="baseline"/>
                              <w:rPr>
                                <w:rFonts w:asciiTheme="majorHAnsi" w:hAnsiTheme="majorHAnsi"/>
                                <w:sz w:val="20"/>
                                <w:szCs w:val="20"/>
                              </w:rPr>
                            </w:pPr>
                            <w:r w:rsidRPr="00820B09">
                              <w:rPr>
                                <w:rFonts w:asciiTheme="majorHAnsi" w:hAnsiTheme="majorHAnsi"/>
                                <w:sz w:val="20"/>
                                <w:szCs w:val="20"/>
                              </w:rPr>
                              <w:t>FSPs may not have the detailed understanding and expertise</w:t>
                            </w:r>
                          </w:p>
                          <w:p w14:paraId="14CF70AC" w14:textId="63FC8B5B" w:rsidR="002009E1" w:rsidRPr="00820B09" w:rsidRDefault="002009E1" w:rsidP="00A27AAA">
                            <w:pPr>
                              <w:pStyle w:val="paragraph"/>
                              <w:numPr>
                                <w:ilvl w:val="0"/>
                                <w:numId w:val="405"/>
                              </w:numPr>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Concerns about sensitivity / confidentiality relating to the questions</w:t>
                            </w:r>
                          </w:p>
                          <w:p w14:paraId="70AA5BFA"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p>
                          <w:p w14:paraId="13B81AF8" w14:textId="52B800C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 xml:space="preserve">Whichever methodology is used, disability data should only be collected on the basis of voluntary disclosure with informed consent, and where data collection has a clear purpose to support inclusion, the respondent is informed how and why the data will be used, and confidentiality and data protection is ensured.   </w:t>
                            </w:r>
                          </w:p>
                          <w:p w14:paraId="2D7C65B0" w14:textId="77777777" w:rsidR="008E5CA3" w:rsidRPr="00820B09" w:rsidRDefault="008E5CA3" w:rsidP="002009E1">
                            <w:pPr>
                              <w:pStyle w:val="paragraph"/>
                              <w:spacing w:before="0" w:beforeAutospacing="0" w:after="0" w:afterAutospacing="0"/>
                              <w:jc w:val="both"/>
                              <w:textAlignment w:val="baseline"/>
                              <w:rPr>
                                <w:rFonts w:asciiTheme="majorHAnsi" w:hAnsiTheme="majorHAnsi"/>
                                <w:sz w:val="20"/>
                                <w:szCs w:val="20"/>
                              </w:rPr>
                            </w:pPr>
                          </w:p>
                          <w:p w14:paraId="09EE52DC" w14:textId="70328EE3" w:rsidR="008E5CA3" w:rsidRPr="00820B09" w:rsidRDefault="008E5CA3"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See the resources for this indicator for guidance on using the WGSS for disability data collection, and gender- and disability</w:t>
                            </w:r>
                            <w:r w:rsidR="00D3208B" w:rsidRPr="00820B09">
                              <w:rPr>
                                <w:rFonts w:asciiTheme="majorHAnsi" w:hAnsiTheme="majorHAnsi"/>
                                <w:sz w:val="20"/>
                                <w:szCs w:val="20"/>
                              </w:rPr>
                              <w:t>-</w:t>
                            </w:r>
                            <w:r w:rsidRPr="00820B09">
                              <w:rPr>
                                <w:rFonts w:asciiTheme="majorHAnsi" w:hAnsiTheme="majorHAnsi"/>
                                <w:sz w:val="20"/>
                                <w:szCs w:val="20"/>
                              </w:rPr>
                              <w:t>disaggregated data analysis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232E56" id="_x0000_s1031" type="#_x0000_t202" style="position:absolute;left:0;text-align:left;margin-left:400.3pt;margin-top:11.9pt;width:451.5pt;height:643.5pt;z-index:2517452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" filled="f" strokeweight=".5pt">
                <v:textbox>
                  <w:txbxContent>
                    <w:p w14:paraId="5C1A88DC" w14:textId="3CC19235" w:rsidR="002009E1" w:rsidRPr="00820B09" w:rsidRDefault="00B53772" w:rsidP="002009E1">
                      <w:pPr>
                        <w:pStyle w:val="paragraph"/>
                        <w:jc w:val="both"/>
                        <w:textAlignment w:val="baseline"/>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2009E1" w:rsidRPr="00820B09">
                        <w:rPr>
                          <w:rFonts w:asciiTheme="majorHAnsi" w:hAnsiTheme="majorHAnsi"/>
                          <w:b/>
                          <w:bCs/>
                          <w:sz w:val="20"/>
                          <w:szCs w:val="20"/>
                        </w:rPr>
                        <w:t>1.B.1.3 (Continued)</w:t>
                      </w:r>
                    </w:p>
                    <w:p w14:paraId="0208FDD4"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u w:val="single"/>
                        </w:rPr>
                      </w:pPr>
                      <w:r w:rsidRPr="00820B09">
                        <w:rPr>
                          <w:rFonts w:asciiTheme="majorHAnsi" w:hAnsiTheme="majorHAnsi"/>
                          <w:sz w:val="20"/>
                          <w:szCs w:val="20"/>
                          <w:u w:val="single"/>
                        </w:rPr>
                        <w:t>The Washington Group Short Set of Questions on Disability (WGSS)</w:t>
                      </w:r>
                    </w:p>
                    <w:p w14:paraId="01014DD9" w14:textId="40383882"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The WGSS is a globally recognized tool designed to identify persons with disabilities in a way that is comparable across different cultural and economic contexts. The WGSS was originally designed to be used in national population censuses, and is widely used by governments for this purpose.</w:t>
                      </w:r>
                    </w:p>
                    <w:p w14:paraId="2A141CDB" w14:textId="77777777" w:rsidR="002009E1" w:rsidRPr="00820B09" w:rsidRDefault="002009E1" w:rsidP="002009E1">
                      <w:pPr>
                        <w:pStyle w:val="paragraph"/>
                        <w:jc w:val="both"/>
                        <w:textAlignment w:val="baseline"/>
                        <w:rPr>
                          <w:rFonts w:asciiTheme="majorHAnsi" w:hAnsiTheme="majorHAnsi"/>
                          <w:sz w:val="20"/>
                          <w:szCs w:val="20"/>
                        </w:rPr>
                      </w:pPr>
                      <w:r w:rsidRPr="00820B09">
                        <w:rPr>
                          <w:rFonts w:asciiTheme="majorHAnsi" w:hAnsiTheme="majorHAnsi"/>
                          <w:sz w:val="20"/>
                          <w:szCs w:val="20"/>
                        </w:rPr>
                        <w:t>It assess difficulties across six functional domains, through a survey of six questions asking whether respondents experience difficulty in carrying out activities:</w:t>
                      </w:r>
                    </w:p>
                    <w:p w14:paraId="60A3B8AD" w14:textId="77777777" w:rsidR="002009E1" w:rsidRPr="00820B09" w:rsidRDefault="002009E1" w:rsidP="00A02AC4">
                      <w:pPr>
                        <w:pStyle w:val="paragraph"/>
                        <w:ind w:left="708"/>
                        <w:jc w:val="both"/>
                        <w:textAlignment w:val="baseline"/>
                        <w:rPr>
                          <w:rFonts w:asciiTheme="majorHAnsi" w:hAnsiTheme="majorHAnsi"/>
                          <w:sz w:val="20"/>
                          <w:szCs w:val="20"/>
                        </w:rPr>
                      </w:pPr>
                      <w:r w:rsidRPr="00820B09">
                        <w:rPr>
                          <w:rFonts w:asciiTheme="majorHAnsi" w:hAnsiTheme="majorHAnsi"/>
                          <w:sz w:val="20"/>
                          <w:szCs w:val="20"/>
                        </w:rPr>
                        <w:t xml:space="preserve">Seeing / Hearing / Walking or climbing stairs / Remembering or concentrating / Self-care / Communicating </w:t>
                      </w:r>
                    </w:p>
                    <w:p w14:paraId="03F0B641" w14:textId="77777777" w:rsidR="002009E1" w:rsidRPr="00820B09" w:rsidRDefault="002009E1" w:rsidP="002009E1">
                      <w:pPr>
                        <w:pStyle w:val="paragraph"/>
                        <w:jc w:val="both"/>
                        <w:textAlignment w:val="baseline"/>
                        <w:rPr>
                          <w:rFonts w:asciiTheme="majorHAnsi" w:hAnsiTheme="majorHAnsi"/>
                          <w:sz w:val="20"/>
                          <w:szCs w:val="20"/>
                        </w:rPr>
                      </w:pPr>
                      <w:r w:rsidRPr="00820B09">
                        <w:rPr>
                          <w:rFonts w:asciiTheme="majorHAnsi" w:hAnsiTheme="majorHAnsi"/>
                          <w:sz w:val="20"/>
                          <w:szCs w:val="20"/>
                        </w:rPr>
                        <w:t xml:space="preserve">For each question, it captures the degree of difficulty people experience in these daily activities through four response options: </w:t>
                      </w:r>
                    </w:p>
                    <w:p w14:paraId="448C9EE6" w14:textId="47DCB04A" w:rsidR="002009E1" w:rsidRPr="00820B09" w:rsidRDefault="002009E1" w:rsidP="002009E1">
                      <w:pPr>
                        <w:pStyle w:val="paragraph"/>
                        <w:spacing w:before="0" w:beforeAutospacing="0" w:after="0" w:afterAutospacing="0"/>
                        <w:ind w:left="708"/>
                        <w:jc w:val="both"/>
                        <w:textAlignment w:val="baseline"/>
                        <w:rPr>
                          <w:rFonts w:asciiTheme="majorHAnsi" w:hAnsiTheme="majorHAnsi"/>
                          <w:sz w:val="20"/>
                          <w:szCs w:val="20"/>
                        </w:rPr>
                      </w:pPr>
                      <w:r w:rsidRPr="00820B09">
                        <w:rPr>
                          <w:rFonts w:asciiTheme="majorHAnsi" w:hAnsiTheme="majorHAnsi"/>
                          <w:sz w:val="20"/>
                          <w:szCs w:val="20"/>
                        </w:rPr>
                        <w:t xml:space="preserve">no difficulty / some difficulty / a lot of difficulty / cannot do at all </w:t>
                      </w:r>
                    </w:p>
                    <w:p w14:paraId="61B8BBBD"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p>
                    <w:p w14:paraId="070727DE"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More information can be found and in this link: ‘</w:t>
                      </w:r>
                      <w:hyperlink r:id="rId53" w:history="1">
                        <w:r w:rsidRPr="00820B09">
                          <w:rPr>
                            <w:rStyle w:val="Hyperlink"/>
                            <w:rFonts w:asciiTheme="majorHAnsi" w:hAnsiTheme="majorHAnsi"/>
                            <w:sz w:val="20"/>
                            <w:szCs w:val="20"/>
                          </w:rPr>
                          <w:t>Washington Group on Disability Statistics, ‘WG Short Set on Functioning (WG-SS)</w:t>
                        </w:r>
                      </w:hyperlink>
                      <w:r w:rsidRPr="00820B09">
                        <w:rPr>
                          <w:rFonts w:asciiTheme="majorHAnsi" w:hAnsiTheme="majorHAnsi"/>
                          <w:sz w:val="20"/>
                          <w:szCs w:val="20"/>
                        </w:rPr>
                        <w:t>’, and in BFFI’s Disability Inclusion Guide for FSPs,</w:t>
                      </w:r>
                    </w:p>
                    <w:p w14:paraId="3E1D8FCE"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p>
                    <w:p w14:paraId="4E4BC285" w14:textId="715775A9"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u w:val="single"/>
                        </w:rPr>
                      </w:pPr>
                      <w:r w:rsidRPr="00820B09">
                        <w:rPr>
                          <w:rFonts w:asciiTheme="majorHAnsi" w:hAnsiTheme="majorHAnsi"/>
                          <w:sz w:val="20"/>
                          <w:szCs w:val="20"/>
                          <w:u w:val="single"/>
                        </w:rPr>
                        <w:t>Alternative data collection methodologies</w:t>
                      </w:r>
                    </w:p>
                    <w:p w14:paraId="088FFD59" w14:textId="4575BAF6"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FSPs may use simplified disability data collection methodologies adapted to their operating and cultural context, for example:</w:t>
                      </w:r>
                    </w:p>
                    <w:p w14:paraId="331E5DF1" w14:textId="705F4D71" w:rsidR="002009E1" w:rsidRPr="00820B09" w:rsidRDefault="002009E1" w:rsidP="00A27AAA">
                      <w:pPr>
                        <w:pStyle w:val="paragraph"/>
                        <w:numPr>
                          <w:ilvl w:val="0"/>
                          <w:numId w:val="403"/>
                        </w:numPr>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Simplified versions of the WGSS, for instance collecting Yes / No responses for the six questions instead of the four responses on degree of difficulty, and / or by removing the question relating to self-care.</w:t>
                      </w:r>
                    </w:p>
                    <w:p w14:paraId="2460DDB7" w14:textId="77777777" w:rsidR="002009E1" w:rsidRPr="00820B09" w:rsidRDefault="002009E1" w:rsidP="00A27AAA">
                      <w:pPr>
                        <w:pStyle w:val="paragraph"/>
                        <w:numPr>
                          <w:ilvl w:val="0"/>
                          <w:numId w:val="403"/>
                        </w:numPr>
                        <w:jc w:val="both"/>
                        <w:textAlignment w:val="baseline"/>
                        <w:rPr>
                          <w:rFonts w:asciiTheme="majorHAnsi" w:hAnsiTheme="majorHAnsi"/>
                          <w:sz w:val="20"/>
                          <w:szCs w:val="20"/>
                        </w:rPr>
                      </w:pPr>
                      <w:r w:rsidRPr="00820B09">
                        <w:rPr>
                          <w:rFonts w:asciiTheme="majorHAnsi" w:hAnsiTheme="majorHAnsi"/>
                          <w:sz w:val="20"/>
                          <w:szCs w:val="20"/>
                        </w:rPr>
                        <w:t>Ask a self-identification question: “Do you consider yourself a person with a disability?” with response options (allowing multiple response):</w:t>
                      </w:r>
                    </w:p>
                    <w:p w14:paraId="6B04E898" w14:textId="78A67198" w:rsidR="002009E1" w:rsidRPr="00820B09" w:rsidRDefault="002009E1" w:rsidP="00A27AAA">
                      <w:pPr>
                        <w:pStyle w:val="paragraph"/>
                        <w:numPr>
                          <w:ilvl w:val="1"/>
                          <w:numId w:val="403"/>
                        </w:numPr>
                        <w:jc w:val="both"/>
                        <w:textAlignment w:val="baseline"/>
                        <w:rPr>
                          <w:rFonts w:asciiTheme="majorHAnsi" w:hAnsiTheme="majorHAnsi"/>
                          <w:sz w:val="20"/>
                          <w:szCs w:val="20"/>
                        </w:rPr>
                      </w:pPr>
                      <w:r w:rsidRPr="00820B09">
                        <w:rPr>
                          <w:rFonts w:asciiTheme="majorHAnsi" w:hAnsiTheme="majorHAnsi"/>
                          <w:sz w:val="20"/>
                          <w:szCs w:val="20"/>
                        </w:rPr>
                        <w:t>No / Yes: physical / Yes: visual / Yes: Hearing / Yes: communication / Yes: remembering / concentrating / Yes: other / Prefer not to answer.</w:t>
                      </w:r>
                    </w:p>
                    <w:p w14:paraId="26A8DAE0" w14:textId="61B10D0A" w:rsidR="002009E1" w:rsidRPr="00820B09" w:rsidRDefault="002009E1" w:rsidP="00A02AC4">
                      <w:pPr>
                        <w:pStyle w:val="paragraph"/>
                        <w:contextualSpacing/>
                        <w:jc w:val="both"/>
                        <w:textAlignment w:val="baseline"/>
                        <w:rPr>
                          <w:rFonts w:asciiTheme="majorHAnsi" w:hAnsiTheme="majorHAnsi"/>
                          <w:sz w:val="20"/>
                          <w:szCs w:val="20"/>
                          <w:u w:val="single"/>
                        </w:rPr>
                      </w:pPr>
                      <w:r w:rsidRPr="00820B09">
                        <w:rPr>
                          <w:rFonts w:asciiTheme="majorHAnsi" w:hAnsiTheme="majorHAnsi"/>
                          <w:sz w:val="20"/>
                          <w:szCs w:val="20"/>
                          <w:u w:val="single"/>
                        </w:rPr>
                        <w:t xml:space="preserve">Advantages of using the WGSS rather than simplified methodologies: </w:t>
                      </w:r>
                    </w:p>
                    <w:p w14:paraId="36E18D1B" w14:textId="062D1C47" w:rsidR="002009E1" w:rsidRPr="00820B09" w:rsidRDefault="002009E1" w:rsidP="00A27AAA">
                      <w:pPr>
                        <w:pStyle w:val="paragraph"/>
                        <w:numPr>
                          <w:ilvl w:val="0"/>
                          <w:numId w:val="404"/>
                        </w:numPr>
                        <w:jc w:val="both"/>
                        <w:textAlignment w:val="baseline"/>
                        <w:rPr>
                          <w:rFonts w:asciiTheme="majorHAnsi" w:hAnsiTheme="majorHAnsi"/>
                          <w:sz w:val="20"/>
                          <w:szCs w:val="20"/>
                        </w:rPr>
                      </w:pPr>
                      <w:r w:rsidRPr="00820B09">
                        <w:rPr>
                          <w:rFonts w:asciiTheme="majorHAnsi" w:hAnsiTheme="majorHAnsi"/>
                          <w:sz w:val="20"/>
                          <w:szCs w:val="20"/>
                        </w:rPr>
                        <w:t xml:space="preserve">enables more detailed analysis to make informed decisions </w:t>
                      </w:r>
                    </w:p>
                    <w:p w14:paraId="05EF1476" w14:textId="38C0E90D" w:rsidR="002009E1" w:rsidRPr="00820B09" w:rsidRDefault="002009E1" w:rsidP="00A27AAA">
                      <w:pPr>
                        <w:pStyle w:val="paragraph"/>
                        <w:numPr>
                          <w:ilvl w:val="0"/>
                          <w:numId w:val="404"/>
                        </w:numPr>
                        <w:jc w:val="both"/>
                        <w:textAlignment w:val="baseline"/>
                        <w:rPr>
                          <w:rFonts w:asciiTheme="majorHAnsi" w:hAnsiTheme="majorHAnsi"/>
                          <w:sz w:val="20"/>
                          <w:szCs w:val="20"/>
                        </w:rPr>
                      </w:pPr>
                      <w:r w:rsidRPr="00820B09">
                        <w:rPr>
                          <w:rFonts w:asciiTheme="majorHAnsi" w:hAnsiTheme="majorHAnsi"/>
                          <w:sz w:val="20"/>
                          <w:szCs w:val="20"/>
                        </w:rPr>
                        <w:t>from FSPs' experience, using simplified methodologies can result in under-reporting</w:t>
                      </w:r>
                    </w:p>
                    <w:p w14:paraId="3FF0A991" w14:textId="330314DA" w:rsidR="002009E1" w:rsidRPr="00820B09" w:rsidRDefault="002009E1" w:rsidP="00A27AAA">
                      <w:pPr>
                        <w:pStyle w:val="paragraph"/>
                        <w:numPr>
                          <w:ilvl w:val="0"/>
                          <w:numId w:val="404"/>
                        </w:numPr>
                        <w:jc w:val="both"/>
                        <w:textAlignment w:val="baseline"/>
                        <w:rPr>
                          <w:rFonts w:asciiTheme="majorHAnsi" w:hAnsiTheme="majorHAnsi"/>
                          <w:sz w:val="20"/>
                          <w:szCs w:val="20"/>
                        </w:rPr>
                      </w:pPr>
                      <w:r w:rsidRPr="00820B09">
                        <w:rPr>
                          <w:rFonts w:asciiTheme="majorHAnsi" w:hAnsiTheme="majorHAnsi"/>
                          <w:sz w:val="20"/>
                          <w:szCs w:val="20"/>
                        </w:rPr>
                        <w:t>easier to report and benchmark</w:t>
                      </w:r>
                    </w:p>
                    <w:p w14:paraId="2452ABAA" w14:textId="690B85DD" w:rsidR="002009E1" w:rsidRPr="00820B09" w:rsidRDefault="002009E1" w:rsidP="00A02AC4">
                      <w:pPr>
                        <w:pStyle w:val="paragraph"/>
                        <w:contextualSpacing/>
                        <w:jc w:val="both"/>
                        <w:textAlignment w:val="baseline"/>
                        <w:rPr>
                          <w:rFonts w:asciiTheme="majorHAnsi" w:hAnsiTheme="majorHAnsi"/>
                          <w:sz w:val="20"/>
                          <w:szCs w:val="20"/>
                          <w:u w:val="single"/>
                        </w:rPr>
                      </w:pPr>
                      <w:r w:rsidRPr="00820B09">
                        <w:rPr>
                          <w:rFonts w:asciiTheme="majorHAnsi" w:hAnsiTheme="majorHAnsi"/>
                          <w:sz w:val="20"/>
                          <w:szCs w:val="20"/>
                          <w:u w:val="single"/>
                        </w:rPr>
                        <w:t>Potential challenges using the WGSS:</w:t>
                      </w:r>
                    </w:p>
                    <w:p w14:paraId="3928426E" w14:textId="77777777" w:rsidR="002009E1" w:rsidRPr="00820B09" w:rsidRDefault="002009E1" w:rsidP="00A27AAA">
                      <w:pPr>
                        <w:pStyle w:val="paragraph"/>
                        <w:numPr>
                          <w:ilvl w:val="0"/>
                          <w:numId w:val="405"/>
                        </w:numPr>
                        <w:jc w:val="both"/>
                        <w:textAlignment w:val="baseline"/>
                        <w:rPr>
                          <w:rFonts w:asciiTheme="majorHAnsi" w:hAnsiTheme="majorHAnsi"/>
                          <w:sz w:val="20"/>
                          <w:szCs w:val="20"/>
                        </w:rPr>
                      </w:pPr>
                      <w:r w:rsidRPr="00820B09">
                        <w:rPr>
                          <w:rFonts w:asciiTheme="majorHAnsi" w:hAnsiTheme="majorHAnsi"/>
                          <w:sz w:val="20"/>
                          <w:szCs w:val="20"/>
                        </w:rPr>
                        <w:t>Designed for data collection at national / sector level: may not fit the purpose of the FSP</w:t>
                      </w:r>
                    </w:p>
                    <w:p w14:paraId="7ABDB168" w14:textId="60A871F2" w:rsidR="002009E1" w:rsidRPr="00820B09" w:rsidRDefault="002009E1" w:rsidP="00A27AAA">
                      <w:pPr>
                        <w:pStyle w:val="paragraph"/>
                        <w:numPr>
                          <w:ilvl w:val="0"/>
                          <w:numId w:val="405"/>
                        </w:numPr>
                        <w:jc w:val="both"/>
                        <w:textAlignment w:val="baseline"/>
                        <w:rPr>
                          <w:rFonts w:asciiTheme="majorHAnsi" w:hAnsiTheme="majorHAnsi"/>
                          <w:sz w:val="20"/>
                          <w:szCs w:val="20"/>
                        </w:rPr>
                      </w:pPr>
                      <w:r w:rsidRPr="00820B09">
                        <w:rPr>
                          <w:rFonts w:asciiTheme="majorHAnsi" w:hAnsiTheme="majorHAnsi"/>
                          <w:sz w:val="20"/>
                          <w:szCs w:val="20"/>
                        </w:rPr>
                        <w:t>FSPs may not have the detailed understanding and expertise</w:t>
                      </w:r>
                    </w:p>
                    <w:p w14:paraId="14CF70AC" w14:textId="63FC8B5B" w:rsidR="002009E1" w:rsidRPr="00820B09" w:rsidRDefault="002009E1" w:rsidP="00A27AAA">
                      <w:pPr>
                        <w:pStyle w:val="paragraph"/>
                        <w:numPr>
                          <w:ilvl w:val="0"/>
                          <w:numId w:val="405"/>
                        </w:numPr>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Concerns about sensitivity / confidentiality relating to the questions</w:t>
                      </w:r>
                    </w:p>
                    <w:p w14:paraId="70AA5BFA" w14:textId="7777777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p>
                    <w:p w14:paraId="13B81AF8" w14:textId="52B800C7" w:rsidR="002009E1" w:rsidRPr="00820B09" w:rsidRDefault="002009E1"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 xml:space="preserve">Whichever methodology is used, disability data should only be collected on the basis of voluntary disclosure with informed consent, and where data collection has a clear purpose to support inclusion, the respondent is informed how and why the data will be used, and confidentiality and data protection is ensured.   </w:t>
                      </w:r>
                    </w:p>
                    <w:p w14:paraId="2D7C65B0" w14:textId="77777777" w:rsidR="008E5CA3" w:rsidRPr="00820B09" w:rsidRDefault="008E5CA3" w:rsidP="002009E1">
                      <w:pPr>
                        <w:pStyle w:val="paragraph"/>
                        <w:spacing w:before="0" w:beforeAutospacing="0" w:after="0" w:afterAutospacing="0"/>
                        <w:jc w:val="both"/>
                        <w:textAlignment w:val="baseline"/>
                        <w:rPr>
                          <w:rFonts w:asciiTheme="majorHAnsi" w:hAnsiTheme="majorHAnsi"/>
                          <w:sz w:val="20"/>
                          <w:szCs w:val="20"/>
                        </w:rPr>
                      </w:pPr>
                    </w:p>
                    <w:p w14:paraId="09EE52DC" w14:textId="70328EE3" w:rsidR="008E5CA3" w:rsidRPr="00820B09" w:rsidRDefault="008E5CA3" w:rsidP="002009E1">
                      <w:pPr>
                        <w:pStyle w:val="paragraph"/>
                        <w:spacing w:before="0" w:beforeAutospacing="0" w:after="0" w:afterAutospacing="0"/>
                        <w:jc w:val="both"/>
                        <w:textAlignment w:val="baseline"/>
                        <w:rPr>
                          <w:rFonts w:asciiTheme="majorHAnsi" w:hAnsiTheme="majorHAnsi"/>
                          <w:sz w:val="20"/>
                          <w:szCs w:val="20"/>
                        </w:rPr>
                      </w:pPr>
                      <w:r w:rsidRPr="00820B09">
                        <w:rPr>
                          <w:rFonts w:asciiTheme="majorHAnsi" w:hAnsiTheme="majorHAnsi"/>
                          <w:sz w:val="20"/>
                          <w:szCs w:val="20"/>
                        </w:rPr>
                        <w:t>See the resources for this indicator for guidance on using the WGSS for disability data collection, and gender- and disability</w:t>
                      </w:r>
                      <w:r w:rsidR="00D3208B" w:rsidRPr="00820B09">
                        <w:rPr>
                          <w:rFonts w:asciiTheme="majorHAnsi" w:hAnsiTheme="majorHAnsi"/>
                          <w:sz w:val="20"/>
                          <w:szCs w:val="20"/>
                        </w:rPr>
                        <w:t>-</w:t>
                      </w:r>
                      <w:r w:rsidRPr="00820B09">
                        <w:rPr>
                          <w:rFonts w:asciiTheme="majorHAnsi" w:hAnsiTheme="majorHAnsi"/>
                          <w:sz w:val="20"/>
                          <w:szCs w:val="20"/>
                        </w:rPr>
                        <w:t>disaggregated data analysis</w:t>
                      </w:r>
                    </w:p>
                  </w:txbxContent>
                </v:textbox>
                <w10:wrap type="square" anchorx="margin"/>
              </v:shape>
            </w:pict>
          </mc:Fallback>
        </mc:AlternateContent>
      </w:r>
    </w:p>
    <w:p w14:paraId="271A809F" w14:textId="77777777" w:rsidR="002009E1" w:rsidRPr="00A608EE" w:rsidRDefault="002009E1" w:rsidP="00EE208A">
      <w:pPr>
        <w:pStyle w:val="paragraph"/>
        <w:spacing w:before="0" w:beforeAutospacing="0" w:after="0" w:afterAutospacing="0"/>
        <w:jc w:val="both"/>
        <w:textAlignment w:val="baseline"/>
        <w:rPr>
          <w:rFonts w:asciiTheme="majorHAnsi" w:hAnsiTheme="majorHAnsi"/>
          <w:b/>
          <w:bCs/>
          <w:sz w:val="20"/>
          <w:szCs w:val="20"/>
        </w:rPr>
      </w:pPr>
    </w:p>
    <w:p w14:paraId="7A533FE6" w14:textId="77777777" w:rsidR="001B44FC" w:rsidRPr="00A608EE" w:rsidRDefault="001B44FC" w:rsidP="00EE208A">
      <w:pPr>
        <w:pStyle w:val="paragraph"/>
        <w:spacing w:before="0" w:beforeAutospacing="0" w:after="0" w:afterAutospacing="0"/>
        <w:jc w:val="both"/>
        <w:textAlignment w:val="baseline"/>
        <w:rPr>
          <w:rFonts w:asciiTheme="majorHAnsi" w:hAnsiTheme="majorHAnsi"/>
          <w:b/>
          <w:bCs/>
          <w:sz w:val="20"/>
          <w:szCs w:val="20"/>
        </w:rPr>
      </w:pPr>
    </w:p>
    <w:p w14:paraId="2B04BF4A" w14:textId="77777777" w:rsidR="004A1E7D" w:rsidRPr="00A608EE" w:rsidRDefault="004A1E7D" w:rsidP="00EE208A">
      <w:pPr>
        <w:pStyle w:val="paragraph"/>
        <w:spacing w:before="0" w:beforeAutospacing="0" w:after="0" w:afterAutospacing="0"/>
        <w:jc w:val="both"/>
        <w:textAlignment w:val="baseline"/>
        <w:rPr>
          <w:rFonts w:asciiTheme="majorHAnsi" w:hAnsiTheme="majorHAnsi"/>
          <w:b/>
          <w:bCs/>
          <w:sz w:val="20"/>
          <w:szCs w:val="20"/>
        </w:rPr>
      </w:pPr>
    </w:p>
    <w:p w14:paraId="46E07463" w14:textId="1A7F91B0"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lastRenderedPageBreak/>
        <w:t>Scoring guidance</w:t>
      </w:r>
    </w:p>
    <w:p w14:paraId="2BDDC472" w14:textId="77777777" w:rsidR="00A60D80" w:rsidRPr="00A608EE" w:rsidRDefault="00A60D80" w:rsidP="00A27AAA">
      <w:pPr>
        <w:pStyle w:val="paragraph"/>
        <w:numPr>
          <w:ilvl w:val="0"/>
          <w:numId w:val="9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“yes” if the provider collects consistently and regularly (at least annually) a range of both quantitative and qualitative client outcomes data, including also analysis of negative changes. The quality of data collection and data entry is assured by regular internal control/operations and audit checks.</w:t>
      </w:r>
    </w:p>
    <w:p w14:paraId="75C61204" w14:textId="77777777" w:rsidR="00A60D80" w:rsidRPr="00A608EE" w:rsidRDefault="00A60D80" w:rsidP="00A27AAA">
      <w:pPr>
        <w:pStyle w:val="paragraph"/>
        <w:numPr>
          <w:ilvl w:val="0"/>
          <w:numId w:val="9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“partially” if any of the following are true:</w:t>
      </w:r>
    </w:p>
    <w:p w14:paraId="4AAE2408" w14:textId="77777777" w:rsidR="00A60D80" w:rsidRPr="00A608EE" w:rsidRDefault="00A60D80" w:rsidP="00A27AAA">
      <w:pPr>
        <w:pStyle w:val="paragraph"/>
        <w:numPr>
          <w:ilvl w:val="1"/>
          <w:numId w:val="9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provider does not collect client outcomes data annually, but does analyze systematically the data it has on its clients’ financial transactions based on previous outcomes surveys to continue and look for trends that might indicate whether certain client segments are having better or worse outcomes.</w:t>
      </w:r>
    </w:p>
    <w:p w14:paraId="15A9150F" w14:textId="77777777" w:rsidR="00A60D80" w:rsidRPr="00A608EE" w:rsidRDefault="00A60D80" w:rsidP="00A27AAA">
      <w:pPr>
        <w:pStyle w:val="paragraph"/>
        <w:numPr>
          <w:ilvl w:val="1"/>
          <w:numId w:val="9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provider collects consistently and regularly either quantitative or qualitative data on client outcomes, but not both.</w:t>
      </w:r>
    </w:p>
    <w:p w14:paraId="1299A53D" w14:textId="77777777" w:rsidR="00A60D80" w:rsidRPr="00A608EE" w:rsidRDefault="00A60D80" w:rsidP="00A27AAA">
      <w:pPr>
        <w:pStyle w:val="paragraph"/>
        <w:numPr>
          <w:ilvl w:val="1"/>
          <w:numId w:val="9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provider collects consistently and regularly some data on outcomes but it is insufficient to understand whether the provider is creating the types of benefits for clients that it seeks or to understand any negative changes.</w:t>
      </w:r>
    </w:p>
    <w:p w14:paraId="2B64BEE6" w14:textId="77777777" w:rsidR="00A60D80" w:rsidRPr="00A608EE" w:rsidRDefault="00A60D80" w:rsidP="00A27AAA">
      <w:pPr>
        <w:pStyle w:val="paragraph"/>
        <w:numPr>
          <w:ilvl w:val="1"/>
          <w:numId w:val="9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provider has collected both quantitative and qualitative outcomes data on clients but did so as an isolated activity. It does not do this on an annual basis.</w:t>
      </w:r>
    </w:p>
    <w:p w14:paraId="52FC37B3" w14:textId="77777777" w:rsidR="00A60D80" w:rsidRPr="00A608EE" w:rsidRDefault="00A60D80" w:rsidP="00A27AAA">
      <w:pPr>
        <w:pStyle w:val="paragraph"/>
        <w:numPr>
          <w:ilvl w:val="0"/>
          <w:numId w:val="9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“no” if the provider does not collect any data on client outcomes consistently and/or regularly (at least annually).</w:t>
      </w:r>
    </w:p>
    <w:p w14:paraId="30F1A612" w14:textId="77777777" w:rsidR="00A60D80" w:rsidRPr="00A608EE" w:rsidRDefault="00A60D80"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i/>
          <w:iCs/>
          <w:sz w:val="20"/>
          <w:szCs w:val="20"/>
        </w:rPr>
        <w:t>Note</w:t>
      </w:r>
      <w:r w:rsidRPr="00A608EE">
        <w:rPr>
          <w:rFonts w:asciiTheme="majorHAnsi" w:hAnsiTheme="majorHAnsi"/>
          <w:sz w:val="20"/>
          <w:szCs w:val="20"/>
        </w:rPr>
        <w:t>: Collecting data on outputs (e.g., number of loans provided, PAR, outreach, and so forth) does NOT constitute client outcomes data.</w:t>
      </w:r>
    </w:p>
    <w:p w14:paraId="7363EF08" w14:textId="77777777"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p>
    <w:p w14:paraId="417CC46D" w14:textId="043153AE"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Sources of information</w:t>
      </w:r>
    </w:p>
    <w:p w14:paraId="6A8852CD" w14:textId="77777777" w:rsidR="00A60D80" w:rsidRPr="00A608EE" w:rsidRDefault="00A60D80" w:rsidP="00A27AAA">
      <w:pPr>
        <w:pStyle w:val="paragraph"/>
        <w:numPr>
          <w:ilvl w:val="0"/>
          <w:numId w:val="9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MIS information</w:t>
      </w:r>
    </w:p>
    <w:p w14:paraId="0ADD6E13" w14:textId="77777777" w:rsidR="00A60D80" w:rsidRPr="00A608EE" w:rsidRDefault="00A60D80" w:rsidP="00A27AAA">
      <w:pPr>
        <w:pStyle w:val="paragraph"/>
        <w:numPr>
          <w:ilvl w:val="0"/>
          <w:numId w:val="9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Client surveys and narrative reports</w:t>
      </w:r>
    </w:p>
    <w:p w14:paraId="6BD47C15" w14:textId="77777777" w:rsidR="00A60D80" w:rsidRPr="00A608EE" w:rsidRDefault="00A60D80" w:rsidP="00A27AAA">
      <w:pPr>
        <w:pStyle w:val="paragraph"/>
        <w:numPr>
          <w:ilvl w:val="0"/>
          <w:numId w:val="9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Loan application forms that include questions on client outcomes</w:t>
      </w:r>
    </w:p>
    <w:p w14:paraId="51A91FC6" w14:textId="77777777" w:rsidR="00A60D80" w:rsidRPr="00A608EE" w:rsidRDefault="00A60D80" w:rsidP="00A27AAA">
      <w:pPr>
        <w:pStyle w:val="paragraph"/>
        <w:numPr>
          <w:ilvl w:val="0"/>
          <w:numId w:val="9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Focus group discussions with clients and client exit interviews</w:t>
      </w:r>
    </w:p>
    <w:p w14:paraId="6034C95E" w14:textId="77777777" w:rsidR="00A60D80" w:rsidRPr="00A608EE" w:rsidRDefault="00A60D80" w:rsidP="00A27AAA">
      <w:pPr>
        <w:pStyle w:val="paragraph"/>
        <w:numPr>
          <w:ilvl w:val="0"/>
          <w:numId w:val="9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Annual reports</w:t>
      </w:r>
    </w:p>
    <w:p w14:paraId="05FADE5D" w14:textId="77777777"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p>
    <w:p w14:paraId="641DFE34" w14:textId="4CEB9D35"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Evidence to provide</w:t>
      </w:r>
    </w:p>
    <w:p w14:paraId="6DADEFAC" w14:textId="77777777" w:rsidR="00A60D80" w:rsidRPr="00A608EE" w:rsidRDefault="00A60D80"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Look in the MIS for client outcomes data that are stored electronically. Look at data from all mechanisms the provider has to receive feedback from clients (e.g., call centers, focus groups, satisfaction surveys, outcomes surveys, complaints/suggestions mechanisms, client exit interviews, other client surveys) and check whether the provider is gathering data on client outcomes.</w:t>
      </w:r>
    </w:p>
    <w:p w14:paraId="02C4A49C" w14:textId="77777777"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p>
    <w:p w14:paraId="44D09112" w14:textId="1A246F0A"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Field examples / Guidance for implementation</w:t>
      </w:r>
      <w:r w:rsidRPr="00A608EE">
        <w:rPr>
          <w:b/>
          <w:bCs/>
          <w:sz w:val="20"/>
          <w:szCs w:val="20"/>
        </w:rPr>
        <w:t> </w:t>
      </w:r>
    </w:p>
    <w:p w14:paraId="105A357C" w14:textId="77777777" w:rsidR="00A60D80" w:rsidRPr="00A608EE" w:rsidRDefault="00A60D80"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Quantitative data can tell you that a client withdrew savings, or deposited more this month than last month, or has not taken out a loan in two years, but it will not tell you why. On the other hand, qualitative data are exactly suited to learn how clients are doing. What outcomes have they experienced? What stresses have they encountered? Why did the choose or not choose to use a certain financial service? But qualitative data has its limitations. Foremost among them are that memory is faulty and clients may not be comfortable revealing uncomfortable and very personal information about their financial lives to a stranger.</w:t>
      </w:r>
    </w:p>
    <w:p w14:paraId="6FC296A2" w14:textId="77777777" w:rsidR="00A60D80" w:rsidRPr="00A608EE" w:rsidRDefault="00A60D80"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Many financial service providers collect both quantitative and qualitative data on client outcomes. See field examples for any of the following :</w:t>
      </w:r>
    </w:p>
    <w:p w14:paraId="1719B4B9"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AMK</w:t>
      </w:r>
    </w:p>
    <w:p w14:paraId="5036D806"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Fondo Esperanza</w:t>
      </w:r>
    </w:p>
    <w:p w14:paraId="630A4E92"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Friendship Bridge</w:t>
      </w:r>
    </w:p>
    <w:p w14:paraId="1D752290"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Genesis Empresarial</w:t>
      </w:r>
    </w:p>
    <w:p w14:paraId="31BBBAE4"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IDEPRO</w:t>
      </w:r>
    </w:p>
    <w:p w14:paraId="09FD88BC"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Juhudi Kilimo</w:t>
      </w:r>
    </w:p>
    <w:p w14:paraId="5E7347D9"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MicroFund for Women</w:t>
      </w:r>
    </w:p>
    <w:p w14:paraId="0798287A" w14:textId="77777777" w:rsidR="00A60D80" w:rsidRPr="00A608EE" w:rsidRDefault="00A60D80" w:rsidP="00A27AAA">
      <w:pPr>
        <w:pStyle w:val="paragraph"/>
        <w:numPr>
          <w:ilvl w:val="0"/>
          <w:numId w:val="9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SEF</w:t>
      </w:r>
    </w:p>
    <w:p w14:paraId="34D9948B" w14:textId="77777777"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p>
    <w:p w14:paraId="73557F39" w14:textId="4FF63EF1" w:rsidR="00A60D80" w:rsidRPr="00A608EE" w:rsidRDefault="00A60D80"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Resources for indicator 1.B.1.3</w:t>
      </w:r>
    </w:p>
    <w:p w14:paraId="31FEA2AC"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54" w:tgtFrame="_blank" w:history="1">
        <w:r w:rsidRPr="00A608EE">
          <w:rPr>
            <w:rStyle w:val="Hyperlink"/>
            <w:rFonts w:asciiTheme="majorHAnsi" w:hAnsiTheme="majorHAnsi"/>
            <w:sz w:val="20"/>
            <w:szCs w:val="20"/>
          </w:rPr>
          <w:t>60 decibels Remote Survey Toolkit</w:t>
        </w:r>
      </w:hyperlink>
    </w:p>
    <w:p w14:paraId="10B368CB"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55" w:tgtFrame="_blank" w:history="1">
        <w:r w:rsidRPr="00A608EE">
          <w:rPr>
            <w:rStyle w:val="Hyperlink"/>
            <w:rFonts w:asciiTheme="majorHAnsi" w:hAnsiTheme="majorHAnsi"/>
            <w:sz w:val="20"/>
            <w:szCs w:val="20"/>
          </w:rPr>
          <w:t>60 decibels Why Off-Grid Energy Matters</w:t>
        </w:r>
      </w:hyperlink>
    </w:p>
    <w:p w14:paraId="4DC7F216"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56" w:tgtFrame="_blank" w:history="1">
        <w:r w:rsidRPr="00A608EE">
          <w:rPr>
            <w:rStyle w:val="Hyperlink"/>
            <w:rFonts w:asciiTheme="majorHAnsi" w:hAnsiTheme="majorHAnsi"/>
            <w:sz w:val="20"/>
            <w:szCs w:val="20"/>
          </w:rPr>
          <w:t>60 Decibels Microfinance Index Report</w:t>
        </w:r>
      </w:hyperlink>
    </w:p>
    <w:p w14:paraId="0A9F14A1"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57" w:tgtFrame="_blank" w:history="1">
        <w:r w:rsidRPr="00A608EE">
          <w:rPr>
            <w:rStyle w:val="Hyperlink"/>
            <w:rFonts w:asciiTheme="majorHAnsi" w:hAnsiTheme="majorHAnsi"/>
            <w:sz w:val="20"/>
            <w:szCs w:val="20"/>
          </w:rPr>
          <w:t>Satya MicroCapital Financial Inclusion Impact Performance report</w:t>
        </w:r>
      </w:hyperlink>
    </w:p>
    <w:p w14:paraId="13E727C7"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58" w:tgtFrame="_blank" w:history="1">
        <w:r w:rsidRPr="00A608EE">
          <w:rPr>
            <w:rStyle w:val="Hyperlink"/>
            <w:rFonts w:asciiTheme="majorHAnsi" w:hAnsiTheme="majorHAnsi"/>
            <w:sz w:val="20"/>
            <w:szCs w:val="20"/>
          </w:rPr>
          <w:t>Outcomes Plenary Presentation: Exploring the connection between SEPM and client outcomes</w:t>
        </w:r>
      </w:hyperlink>
    </w:p>
    <w:p w14:paraId="25EDB51E"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59" w:tgtFrame="_blank" w:history="1">
        <w:r w:rsidRPr="00A608EE">
          <w:rPr>
            <w:rStyle w:val="Hyperlink"/>
            <w:rFonts w:asciiTheme="majorHAnsi" w:hAnsiTheme="majorHAnsi"/>
            <w:sz w:val="20"/>
            <w:szCs w:val="20"/>
          </w:rPr>
          <w:t>Outcomes Plenary Session Notes: Exploring the connection between SEPM and client outcomes</w:t>
        </w:r>
      </w:hyperlink>
    </w:p>
    <w:p w14:paraId="2B49FFBD"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60" w:tgtFrame="_blank" w:history="1">
        <w:r w:rsidRPr="00A608EE">
          <w:rPr>
            <w:rStyle w:val="Hyperlink"/>
            <w:rFonts w:asciiTheme="majorHAnsi" w:hAnsiTheme="majorHAnsi"/>
            <w:sz w:val="20"/>
            <w:szCs w:val="20"/>
          </w:rPr>
          <w:t>SPM Essentials #8: Barriers, Bias and Banking Webinar</w:t>
        </w:r>
      </w:hyperlink>
    </w:p>
    <w:p w14:paraId="50E4C635"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61" w:tgtFrame="_blank" w:history="1">
        <w:r w:rsidRPr="00A608EE">
          <w:rPr>
            <w:rStyle w:val="Hyperlink"/>
            <w:rFonts w:asciiTheme="majorHAnsi" w:hAnsiTheme="majorHAnsi"/>
            <w:sz w:val="20"/>
            <w:szCs w:val="20"/>
          </w:rPr>
          <w:t>IDEPRO Desarrollo Empresarial case study</w:t>
        </w:r>
      </w:hyperlink>
    </w:p>
    <w:p w14:paraId="7394C335"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lang w:val="es-ES"/>
        </w:rPr>
      </w:pPr>
      <w:hyperlink r:id="rId62" w:tgtFrame="_blank" w:history="1">
        <w:r w:rsidRPr="00A608EE">
          <w:rPr>
            <w:rStyle w:val="Hyperlink"/>
            <w:rFonts w:asciiTheme="majorHAnsi" w:hAnsiTheme="majorHAnsi"/>
            <w:sz w:val="20"/>
            <w:szCs w:val="20"/>
            <w:lang w:val="es-ES"/>
          </w:rPr>
          <w:t>Caso de estudio IDEPRO un sistema integral de evaluación de impacto</w:t>
        </w:r>
      </w:hyperlink>
    </w:p>
    <w:p w14:paraId="2D11ADEF" w14:textId="77777777" w:rsidR="00A60D80" w:rsidRPr="00A608EE" w:rsidRDefault="00A60D80" w:rsidP="00A27AAA">
      <w:pPr>
        <w:pStyle w:val="paragraph"/>
        <w:numPr>
          <w:ilvl w:val="0"/>
          <w:numId w:val="98"/>
        </w:numPr>
        <w:spacing w:before="0" w:beforeAutospacing="0" w:after="0" w:afterAutospacing="0"/>
        <w:jc w:val="both"/>
        <w:textAlignment w:val="baseline"/>
        <w:rPr>
          <w:rFonts w:asciiTheme="majorHAnsi" w:hAnsiTheme="majorHAnsi"/>
          <w:sz w:val="20"/>
          <w:szCs w:val="20"/>
        </w:rPr>
      </w:pPr>
      <w:hyperlink r:id="rId63" w:tgtFrame="_blank" w:history="1">
        <w:r w:rsidRPr="00A608EE">
          <w:rPr>
            <w:rStyle w:val="Hyperlink"/>
            <w:rFonts w:asciiTheme="majorHAnsi" w:hAnsiTheme="majorHAnsi"/>
            <w:sz w:val="20"/>
            <w:szCs w:val="20"/>
          </w:rPr>
          <w:t>Demonstrating the Impact of Client-Centric Microfinance--Impact Report 2020 BRAC Microfinance</w:t>
        </w:r>
      </w:hyperlink>
    </w:p>
    <w:p w14:paraId="5FADBB1F" w14:textId="4635FD0E" w:rsidR="00C71E9E" w:rsidRPr="00A608EE" w:rsidRDefault="00C71E9E" w:rsidP="00A27AAA">
      <w:pPr>
        <w:pStyle w:val="ListParagraph"/>
        <w:numPr>
          <w:ilvl w:val="0"/>
          <w:numId w:val="98"/>
        </w:numPr>
        <w:spacing w:after="0" w:line="240" w:lineRule="auto"/>
        <w:jc w:val="both"/>
        <w:rPr>
          <w:rFonts w:ascii="Work Sans" w:eastAsia="Work Sans" w:hAnsi="Work Sans" w:cs="Work Sans"/>
          <w:szCs w:val="20"/>
        </w:rPr>
      </w:pPr>
      <w:r w:rsidRPr="00A608EE">
        <w:rPr>
          <w:rFonts w:ascii="Work Sans" w:eastAsia="Work Sans" w:hAnsi="Work Sans" w:cs="Work Sans"/>
          <w:b/>
          <w:bCs/>
          <w:szCs w:val="20"/>
        </w:rPr>
        <w:t xml:space="preserve">[DI Focus]: </w:t>
      </w:r>
      <w:hyperlink r:id="rId64" w:history="1">
        <w:r w:rsidRPr="00A608EE">
          <w:rPr>
            <w:rStyle w:val="Hyperlink"/>
            <w:rFonts w:ascii="Work Sans" w:eastAsia="Work Sans" w:hAnsi="Work Sans" w:cs="Work Sans"/>
            <w:szCs w:val="20"/>
          </w:rPr>
          <w:t>The WGSS: Explainer and link to download the questionnaire</w:t>
        </w:r>
      </w:hyperlink>
      <w:r w:rsidRPr="00A608EE">
        <w:rPr>
          <w:rFonts w:ascii="Work Sans" w:eastAsia="Work Sans" w:hAnsi="Work Sans" w:cs="Work Sans"/>
          <w:szCs w:val="20"/>
        </w:rPr>
        <w:t xml:space="preserve"> </w:t>
      </w:r>
    </w:p>
    <w:p w14:paraId="1138A485" w14:textId="54F2EF56" w:rsidR="008E5CA3" w:rsidRPr="00A608EE" w:rsidRDefault="008E5CA3" w:rsidP="00A27AAA">
      <w:pPr>
        <w:pStyle w:val="ListParagraph"/>
        <w:numPr>
          <w:ilvl w:val="0"/>
          <w:numId w:val="98"/>
        </w:numPr>
        <w:spacing w:after="0" w:line="240" w:lineRule="auto"/>
        <w:jc w:val="both"/>
        <w:rPr>
          <w:rFonts w:ascii="Work Sans" w:eastAsia="Work Sans" w:hAnsi="Work Sans" w:cs="Work Sans"/>
          <w:szCs w:val="20"/>
        </w:rPr>
      </w:pPr>
      <w:r w:rsidRPr="00A608EE">
        <w:rPr>
          <w:rFonts w:ascii="Work Sans" w:eastAsia="Work Sans" w:hAnsi="Work Sans" w:cs="Work Sans"/>
          <w:b/>
          <w:bCs/>
          <w:szCs w:val="20"/>
        </w:rPr>
        <w:t xml:space="preserve">[DI Focus]: </w:t>
      </w:r>
      <w:hyperlink r:id="rId65" w:history="1">
        <w:r w:rsidR="00C71E9E" w:rsidRPr="00A608EE">
          <w:rPr>
            <w:rStyle w:val="Hyperlink"/>
            <w:rFonts w:ascii="Work Sans" w:eastAsia="Work Sans" w:hAnsi="Work Sans" w:cs="Work Sans"/>
            <w:szCs w:val="20"/>
          </w:rPr>
          <w:t>Opportunity International’s Cheat Sheet for disability data collection using the Washington Group Shirt Set (WGSS) tool</w:t>
        </w:r>
        <w:r w:rsidRPr="00A608EE">
          <w:rPr>
            <w:rStyle w:val="Hyperlink"/>
            <w:rFonts w:ascii="Work Sans" w:eastAsia="Work Sans" w:hAnsi="Work Sans" w:cs="Work Sans"/>
            <w:szCs w:val="20"/>
          </w:rPr>
          <w:t xml:space="preserve">, </w:t>
        </w:r>
        <w:r w:rsidR="00C71E9E" w:rsidRPr="00A608EE">
          <w:rPr>
            <w:rStyle w:val="Hyperlink"/>
            <w:rFonts w:ascii="Work Sans" w:eastAsia="Work Sans" w:hAnsi="Work Sans" w:cs="Work Sans"/>
            <w:szCs w:val="20"/>
          </w:rPr>
          <w:t>including</w:t>
        </w:r>
        <w:r w:rsidRPr="00A608EE">
          <w:rPr>
            <w:rStyle w:val="Hyperlink"/>
            <w:rFonts w:ascii="Work Sans" w:eastAsia="Work Sans" w:hAnsi="Work Sans" w:cs="Work Sans"/>
            <w:szCs w:val="20"/>
          </w:rPr>
          <w:t xml:space="preserve"> case studies of KOMIDA in Indonesia, and </w:t>
        </w:r>
        <w:r w:rsidR="00C71E9E" w:rsidRPr="00A608EE">
          <w:rPr>
            <w:rStyle w:val="Hyperlink"/>
            <w:rFonts w:ascii="Work Sans" w:eastAsia="Work Sans" w:hAnsi="Work Sans" w:cs="Work Sans"/>
            <w:szCs w:val="20"/>
          </w:rPr>
          <w:t>Opportunity Bank of Uganda (OBUL)</w:t>
        </w:r>
      </w:hyperlink>
      <w:r w:rsidR="00C71E9E" w:rsidRPr="00A608EE">
        <w:rPr>
          <w:rFonts w:ascii="Work Sans" w:eastAsia="Work Sans" w:hAnsi="Work Sans" w:cs="Work Sans"/>
          <w:szCs w:val="20"/>
        </w:rPr>
        <w:t xml:space="preserve"> </w:t>
      </w:r>
    </w:p>
    <w:p w14:paraId="6BA3FC3D" w14:textId="3AE0754C" w:rsidR="008E5CA3" w:rsidRPr="00A608EE" w:rsidRDefault="00C71E9E" w:rsidP="00A27AAA">
      <w:pPr>
        <w:pStyle w:val="ListParagraph"/>
        <w:numPr>
          <w:ilvl w:val="0"/>
          <w:numId w:val="98"/>
        </w:numPr>
        <w:spacing w:after="0" w:line="240" w:lineRule="auto"/>
        <w:jc w:val="both"/>
        <w:rPr>
          <w:rFonts w:ascii="Work Sans" w:eastAsia="Work Sans" w:hAnsi="Work Sans" w:cs="Work Sans"/>
          <w:szCs w:val="20"/>
        </w:rPr>
      </w:pPr>
      <w:r w:rsidRPr="00A608EE">
        <w:rPr>
          <w:rFonts w:ascii="Work Sans" w:eastAsia="Work Sans" w:hAnsi="Work Sans" w:cs="Work Sans"/>
          <w:b/>
          <w:bCs/>
          <w:szCs w:val="20"/>
        </w:rPr>
        <w:t xml:space="preserve">[DI Focus]: </w:t>
      </w:r>
      <w:hyperlink r:id="rId66" w:history="1">
        <w:r w:rsidRPr="00A608EE">
          <w:rPr>
            <w:rStyle w:val="Hyperlink"/>
            <w:rFonts w:ascii="Work Sans" w:eastAsia="Work Sans" w:hAnsi="Work Sans" w:cs="Work Sans"/>
            <w:szCs w:val="20"/>
          </w:rPr>
          <w:t>Opportunity International’s Cheat Sheet on Intersectional Data &amp; Analysis gives practical guidance and examples of using gender- and disability-disaggregated data for intersectional analysis</w:t>
        </w:r>
      </w:hyperlink>
      <w:r w:rsidRPr="00A608EE">
        <w:rPr>
          <w:rFonts w:ascii="Work Sans" w:eastAsia="Work Sans" w:hAnsi="Work Sans" w:cs="Work Sans"/>
          <w:szCs w:val="20"/>
        </w:rPr>
        <w:t xml:space="preserve"> </w:t>
      </w:r>
    </w:p>
    <w:p w14:paraId="7558E464" w14:textId="77777777" w:rsidR="003A0F74" w:rsidRPr="00A608EE" w:rsidRDefault="003A0F74" w:rsidP="00EE208A">
      <w:pPr>
        <w:pStyle w:val="paragraph"/>
        <w:spacing w:before="0" w:beforeAutospacing="0" w:after="0" w:afterAutospacing="0"/>
        <w:jc w:val="both"/>
        <w:textAlignment w:val="baseline"/>
        <w:rPr>
          <w:rStyle w:val="eop"/>
          <w:rFonts w:asciiTheme="majorHAnsi" w:hAnsiTheme="majorHAnsi"/>
          <w:sz w:val="20"/>
          <w:szCs w:val="20"/>
        </w:rPr>
      </w:pPr>
    </w:p>
    <w:p w14:paraId="78C1CC0D" w14:textId="77777777" w:rsidR="00D12738" w:rsidRPr="00A608EE" w:rsidRDefault="00D12738" w:rsidP="00D12738">
      <w:pPr>
        <w:rPr>
          <w:lang w:eastAsia="en-US"/>
        </w:rPr>
      </w:pPr>
    </w:p>
    <w:p w14:paraId="5B9E729E" w14:textId="5BAC03EF" w:rsidR="00BB1251" w:rsidRPr="00A608EE" w:rsidRDefault="00BB1251" w:rsidP="00EE208A">
      <w:pPr>
        <w:pStyle w:val="Heading3"/>
        <w:spacing w:before="0" w:line="240" w:lineRule="auto"/>
        <w:jc w:val="both"/>
        <w:rPr>
          <w:rStyle w:val="eop"/>
        </w:rPr>
      </w:pPr>
      <w:bookmarkStart w:id="27" w:name="_Toc230938774"/>
      <w:r w:rsidRPr="00A608EE">
        <w:rPr>
          <w:rStyle w:val="normaltextrun"/>
        </w:rPr>
        <w:t>1.B.2</w:t>
      </w:r>
      <w:r w:rsidR="0093439D" w:rsidRPr="00A608EE">
        <w:rPr>
          <w:rStyle w:val="normaltextrun"/>
        </w:rPr>
        <w:t xml:space="preserve"> </w:t>
      </w:r>
      <w:r w:rsidR="00CB017A" w:rsidRPr="00A608EE">
        <w:rPr>
          <w:rStyle w:val="normaltextrun"/>
        </w:rPr>
        <w:t>The provider analyzes outcomes data by client segment</w:t>
      </w:r>
      <w:r w:rsidR="000E067E" w:rsidRPr="00A608EE">
        <w:rPr>
          <w:rStyle w:val="normaltextrun"/>
        </w:rPr>
        <w:t>.</w:t>
      </w:r>
      <w:bookmarkEnd w:id="27"/>
    </w:p>
    <w:p w14:paraId="639A039B" w14:textId="473B8A29" w:rsidR="0074041B" w:rsidRPr="00A608EE" w:rsidRDefault="0074041B" w:rsidP="00EE208A">
      <w:pPr>
        <w:pStyle w:val="paragraph"/>
        <w:spacing w:before="0" w:beforeAutospacing="0" w:after="0" w:afterAutospacing="0"/>
        <w:ind w:right="690"/>
        <w:jc w:val="both"/>
        <w:textAlignment w:val="baseline"/>
        <w:rPr>
          <w:rFonts w:asciiTheme="majorHAnsi" w:hAnsiTheme="majorHAnsi" w:cs="Calibri Light"/>
          <w:sz w:val="20"/>
          <w:szCs w:val="20"/>
        </w:rPr>
      </w:pPr>
    </w:p>
    <w:p w14:paraId="78517D55" w14:textId="74C44F1B" w:rsidR="0023412D" w:rsidRPr="00A608EE" w:rsidRDefault="0023412D" w:rsidP="00EE208A">
      <w:pPr>
        <w:pStyle w:val="Heading4"/>
        <w:spacing w:before="0" w:line="240" w:lineRule="auto"/>
        <w:jc w:val="both"/>
      </w:pPr>
      <w:r w:rsidRPr="00A608EE">
        <w:t xml:space="preserve">1.B.2.2 </w:t>
      </w:r>
      <w:r w:rsidR="00CB017A" w:rsidRPr="00A608EE">
        <w:t>The provider analyzes outcomes for different segments of clients according to their profile and financial behavior. Minimum frequency: annually</w:t>
      </w:r>
    </w:p>
    <w:p w14:paraId="0A77E688" w14:textId="24FA2064" w:rsidR="00CB017A" w:rsidRPr="00A608EE" w:rsidRDefault="00CB017A" w:rsidP="00EE208A">
      <w:pPr>
        <w:pStyle w:val="Heading5"/>
        <w:spacing w:line="240" w:lineRule="auto"/>
        <w:ind w:left="708"/>
        <w:jc w:val="both"/>
        <w:rPr>
          <w:rFonts w:eastAsia="Times New Roman"/>
          <w:i/>
          <w:color w:val="auto"/>
          <w:szCs w:val="20"/>
        </w:rPr>
      </w:pPr>
      <w:r w:rsidRPr="00A608EE">
        <w:rPr>
          <w:rFonts w:eastAsia="Times New Roman"/>
          <w:i/>
          <w:color w:val="auto"/>
          <w:szCs w:val="20"/>
        </w:rPr>
        <w:t>1.B.2.2.1 By client profile: gender; age; location (urban/rural); poverty/income level</w:t>
      </w:r>
    </w:p>
    <w:p w14:paraId="34D3AF2C" w14:textId="77777777" w:rsidR="00CB017A" w:rsidRPr="00A608EE" w:rsidRDefault="00CB017A" w:rsidP="00EE208A">
      <w:pPr>
        <w:pStyle w:val="Heading5"/>
        <w:spacing w:line="240" w:lineRule="auto"/>
        <w:ind w:left="708"/>
        <w:jc w:val="both"/>
        <w:rPr>
          <w:rFonts w:eastAsia="Times New Roman"/>
          <w:i/>
          <w:color w:val="auto"/>
          <w:szCs w:val="20"/>
        </w:rPr>
      </w:pPr>
      <w:r w:rsidRPr="00A608EE">
        <w:rPr>
          <w:rFonts w:eastAsia="Times New Roman"/>
          <w:i/>
          <w:color w:val="auto"/>
          <w:szCs w:val="20"/>
        </w:rPr>
        <w:t>1.B.2.2.2 By financial behavior: types of products or services used; tenure with the provider</w:t>
      </w:r>
    </w:p>
    <w:p w14:paraId="7E096C26" w14:textId="37F3F491" w:rsidR="0023412D" w:rsidRPr="00A608EE" w:rsidRDefault="00CB017A" w:rsidP="00EE208A">
      <w:pPr>
        <w:pStyle w:val="Heading5"/>
        <w:spacing w:before="0" w:line="240" w:lineRule="auto"/>
        <w:ind w:left="708"/>
        <w:jc w:val="both"/>
        <w:rPr>
          <w:rFonts w:eastAsia="Times New Roman"/>
          <w:i/>
          <w:color w:val="auto"/>
          <w:szCs w:val="20"/>
        </w:rPr>
      </w:pPr>
      <w:r w:rsidRPr="00A608EE">
        <w:rPr>
          <w:rFonts w:eastAsia="Times New Roman"/>
          <w:i/>
          <w:color w:val="auto"/>
          <w:szCs w:val="20"/>
        </w:rPr>
        <w:t>1.B.2.2.3 Other segments that are relevant to the provider's social goals (please specify)</w:t>
      </w:r>
    </w:p>
    <w:p w14:paraId="5D2FAE81" w14:textId="693A53C0" w:rsidR="0023412D" w:rsidRPr="00A608EE" w:rsidRDefault="0023412D" w:rsidP="00EE208A">
      <w:pPr>
        <w:jc w:val="both"/>
        <w:textAlignment w:val="baseline"/>
        <w:rPr>
          <w:rFonts w:asciiTheme="majorHAnsi" w:hAnsiTheme="majorHAnsi" w:cs="Segoe UI"/>
          <w:i/>
          <w:iCs/>
          <w:szCs w:val="20"/>
          <w:lang w:eastAsia="fr-FR"/>
        </w:rPr>
      </w:pPr>
    </w:p>
    <w:p w14:paraId="27FE9609" w14:textId="4D58834D" w:rsidR="0074041B" w:rsidRPr="00A608EE" w:rsidRDefault="004921CE" w:rsidP="00EE208A">
      <w:pPr>
        <w:pStyle w:val="paragraph"/>
        <w:spacing w:before="0" w:beforeAutospacing="0" w:after="0" w:afterAutospacing="0"/>
        <w:jc w:val="both"/>
        <w:rPr>
          <w:rFonts w:asciiTheme="majorHAnsi" w:hAnsiTheme="majorHAnsi"/>
          <w:b/>
          <w:bCs/>
          <w:color w:val="2145CC" w:themeColor="accent5" w:themeShade="BF"/>
          <w:sz w:val="20"/>
          <w:szCs w:val="20"/>
        </w:rPr>
      </w:pPr>
      <w:bookmarkStart w:id="28" w:name="_Hlk226729728"/>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74041B" w:rsidRPr="00A608EE">
        <w:rPr>
          <w:rFonts w:asciiTheme="majorHAnsi" w:hAnsiTheme="majorHAnsi"/>
          <w:b/>
          <w:bCs/>
          <w:color w:val="2145CC" w:themeColor="accent5" w:themeShade="BF"/>
          <w:sz w:val="20"/>
          <w:szCs w:val="20"/>
        </w:rPr>
        <w:t>Indicat</w:t>
      </w:r>
      <w:r w:rsidR="006E6408" w:rsidRPr="00A608EE">
        <w:rPr>
          <w:rFonts w:asciiTheme="majorHAnsi" w:hAnsiTheme="majorHAnsi"/>
          <w:b/>
          <w:bCs/>
          <w:color w:val="2145CC" w:themeColor="accent5" w:themeShade="BF"/>
          <w:sz w:val="20"/>
          <w:szCs w:val="20"/>
        </w:rPr>
        <w:t>or in</w:t>
      </w:r>
      <w:r w:rsidR="0074041B" w:rsidRPr="00A608EE">
        <w:rPr>
          <w:rFonts w:asciiTheme="majorHAnsi" w:hAnsiTheme="majorHAnsi"/>
          <w:b/>
          <w:bCs/>
          <w:color w:val="2145CC" w:themeColor="accent5" w:themeShade="BF"/>
          <w:sz w:val="20"/>
          <w:szCs w:val="20"/>
        </w:rPr>
        <w:t xml:space="preserve"> SPI5 Full </w:t>
      </w:r>
      <w:r w:rsidR="009A58DF" w:rsidRPr="00A608EE">
        <w:rPr>
          <w:rFonts w:ascii="Work Sans" w:hAnsi="Work Sans"/>
          <w:b/>
          <w:bCs/>
          <w:color w:val="2145CC" w:themeColor="accent5" w:themeShade="BF"/>
          <w:sz w:val="20"/>
          <w:szCs w:val="20"/>
        </w:rPr>
        <w:t>| DI Focus</w:t>
      </w:r>
    </w:p>
    <w:p w14:paraId="6BC33012" w14:textId="77777777" w:rsidR="0083332E" w:rsidRPr="00A608EE" w:rsidRDefault="0083332E" w:rsidP="00EE208A">
      <w:pPr>
        <w:pStyle w:val="paragraph"/>
        <w:spacing w:before="0" w:beforeAutospacing="0" w:after="0" w:afterAutospacing="0"/>
        <w:jc w:val="both"/>
        <w:rPr>
          <w:rFonts w:asciiTheme="majorHAnsi" w:hAnsiTheme="majorHAnsi"/>
          <w:sz w:val="20"/>
          <w:szCs w:val="20"/>
        </w:rPr>
      </w:pPr>
    </w:p>
    <w:p w14:paraId="20C64250" w14:textId="6596F85F" w:rsidR="00FF685E" w:rsidRPr="00A608EE" w:rsidRDefault="006E6408"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Different types of clients are likely to experience different outcomes even when using the same product. Analyzing averages only obscures the fact that some client segments are doing better than others. The provider therefore gets the most useful insight from its data when it segments its analysis by demographic and socio-economic characteristics and financial </w:t>
      </w:r>
      <w:r w:rsidR="00FF685E" w:rsidRPr="00A608EE">
        <w:rPr>
          <w:rFonts w:asciiTheme="majorHAnsi" w:hAnsiTheme="majorHAnsi"/>
          <w:sz w:val="20"/>
          <w:szCs w:val="20"/>
        </w:rPr>
        <w:t>behavior</w:t>
      </w:r>
      <w:r w:rsidRPr="00A608EE">
        <w:rPr>
          <w:rFonts w:asciiTheme="majorHAnsi" w:hAnsiTheme="majorHAnsi"/>
          <w:sz w:val="20"/>
          <w:szCs w:val="20"/>
        </w:rPr>
        <w:t>.</w:t>
      </w:r>
    </w:p>
    <w:p w14:paraId="2E24B906" w14:textId="77777777" w:rsidR="00672763" w:rsidRPr="00A608EE" w:rsidRDefault="00672763" w:rsidP="00EE208A">
      <w:pPr>
        <w:pStyle w:val="paragraph"/>
        <w:spacing w:before="0" w:beforeAutospacing="0" w:after="0" w:afterAutospacing="0"/>
        <w:jc w:val="both"/>
        <w:rPr>
          <w:rFonts w:asciiTheme="majorHAnsi" w:hAnsiTheme="majorHAnsi"/>
          <w:sz w:val="20"/>
          <w:szCs w:val="20"/>
        </w:rPr>
      </w:pPr>
    </w:p>
    <w:p w14:paraId="374A6CC8"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799552" behindDoc="1" locked="0" layoutInCell="1" allowOverlap="1" wp14:anchorId="3D3C0DE5" wp14:editId="7E55B5E7">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35394430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724BBEE" w14:textId="77777777" w:rsidR="00672763" w:rsidRPr="00A608EE" w:rsidRDefault="00672763" w:rsidP="00EE208A">
      <w:pPr>
        <w:pStyle w:val="paragraph"/>
        <w:spacing w:before="0" w:beforeAutospacing="0" w:after="0" w:afterAutospacing="0"/>
        <w:jc w:val="both"/>
        <w:rPr>
          <w:rFonts w:asciiTheme="majorHAnsi" w:hAnsiTheme="majorHAnsi"/>
          <w:sz w:val="20"/>
          <w:szCs w:val="20"/>
        </w:rPr>
      </w:pPr>
    </w:p>
    <w:p w14:paraId="1DE72706" w14:textId="5C2862B3" w:rsidR="00FF685E" w:rsidRPr="00A608EE" w:rsidRDefault="004876A2" w:rsidP="00EE208A">
      <w:pPr>
        <w:pStyle w:val="paragraph"/>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F685E" w:rsidRPr="00A608EE">
        <w:rPr>
          <w:rFonts w:asciiTheme="majorHAnsi" w:hAnsiTheme="majorHAnsi"/>
          <w:sz w:val="20"/>
          <w:szCs w:val="20"/>
        </w:rPr>
        <w:t>The provider analyzes outcomes for persons with disabilities according to their profile and financial behavior.</w:t>
      </w:r>
    </w:p>
    <w:p w14:paraId="09CC7F14" w14:textId="77777777" w:rsidR="00FF685E" w:rsidRPr="00A608EE" w:rsidRDefault="00FF685E" w:rsidP="00EE208A">
      <w:pPr>
        <w:pStyle w:val="paragraph"/>
        <w:spacing w:before="0" w:beforeAutospacing="0" w:after="0" w:afterAutospacing="0"/>
        <w:jc w:val="both"/>
        <w:rPr>
          <w:rFonts w:asciiTheme="majorHAnsi" w:hAnsiTheme="majorHAnsi"/>
          <w:sz w:val="20"/>
          <w:szCs w:val="20"/>
        </w:rPr>
      </w:pPr>
    </w:p>
    <w:p w14:paraId="31BB1EC4" w14:textId="729B42FA" w:rsidR="00FF685E" w:rsidRPr="00A608EE" w:rsidRDefault="00FF685E"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1.B.2.2.1 By client profile: gender; age; disability status, location (urban/rural); poverty/income level</w:t>
      </w:r>
    </w:p>
    <w:p w14:paraId="5B1C6D9B" w14:textId="77777777" w:rsidR="00FF685E" w:rsidRPr="00A608EE" w:rsidRDefault="00FF685E" w:rsidP="00EE208A">
      <w:pPr>
        <w:pStyle w:val="paragraph"/>
        <w:spacing w:before="0" w:beforeAutospacing="0" w:after="0" w:afterAutospacing="0"/>
        <w:jc w:val="both"/>
        <w:rPr>
          <w:rFonts w:asciiTheme="majorHAnsi" w:hAnsiTheme="majorHAnsi"/>
          <w:sz w:val="20"/>
          <w:szCs w:val="20"/>
        </w:rPr>
      </w:pPr>
    </w:p>
    <w:p w14:paraId="4ECB4FD1" w14:textId="77777777" w:rsidR="00490988" w:rsidRPr="00A608EE" w:rsidRDefault="00490988" w:rsidP="00EE208A">
      <w:pPr>
        <w:pStyle w:val="paragraph"/>
        <w:spacing w:before="0" w:beforeAutospacing="0" w:after="0" w:afterAutospacing="0"/>
        <w:jc w:val="both"/>
        <w:rPr>
          <w:rFonts w:asciiTheme="majorHAnsi" w:hAnsiTheme="majorHAnsi"/>
          <w:sz w:val="20"/>
          <w:szCs w:val="20"/>
        </w:rPr>
      </w:pPr>
    </w:p>
    <w:p w14:paraId="2D4FFC45" w14:textId="5CE1608E" w:rsidR="006E6408" w:rsidRPr="00A608EE" w:rsidRDefault="00490988" w:rsidP="00EE208A">
      <w:pPr>
        <w:pStyle w:val="paragraph"/>
        <w:spacing w:before="0" w:beforeAutospacing="0" w:after="0" w:afterAutospacing="0"/>
        <w:jc w:val="both"/>
        <w:rPr>
          <w:rFonts w:asciiTheme="majorHAnsi" w:hAnsiTheme="majorHAnsi"/>
          <w:b/>
          <w:bCs/>
          <w:sz w:val="20"/>
          <w:szCs w:val="20"/>
        </w:rPr>
      </w:pPr>
      <w:r w:rsidRPr="00A608EE">
        <w:rPr>
          <w:noProof/>
        </w:rPr>
        <w:lastRenderedPageBreak/>
        <mc:AlternateContent>
          <mc:Choice Requires="wps">
            <w:drawing>
              <wp:anchor distT="0" distB="0" distL="114300" distR="114300" simplePos="0" relativeHeight="251671552" behindDoc="0" locked="0" layoutInCell="1" allowOverlap="1" wp14:anchorId="4D422158" wp14:editId="7D060D2C">
                <wp:simplePos x="0" y="0"/>
                <wp:positionH relativeFrom="column">
                  <wp:posOffset>0</wp:posOffset>
                </wp:positionH>
                <wp:positionV relativeFrom="paragraph">
                  <wp:posOffset>0</wp:posOffset>
                </wp:positionV>
                <wp:extent cx="1828800" cy="1828800"/>
                <wp:effectExtent l="0" t="0" r="0" b="0"/>
                <wp:wrapSquare wrapText="bothSides"/>
                <wp:docPr id="1962354303"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A0DF2D1" w14:textId="7F0F02D5" w:rsidR="00490988" w:rsidRPr="00820B09" w:rsidRDefault="00B53772" w:rsidP="00490988">
                            <w:pPr>
                              <w:pStyle w:val="paragraph"/>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90988" w:rsidRPr="00820B09">
                              <w:rPr>
                                <w:rFonts w:asciiTheme="majorHAnsi" w:hAnsiTheme="majorHAnsi"/>
                                <w:b/>
                                <w:bCs/>
                                <w:sz w:val="20"/>
                                <w:szCs w:val="20"/>
                              </w:rPr>
                              <w:t>1.B.2.2</w:t>
                            </w:r>
                          </w:p>
                          <w:p w14:paraId="441B2344" w14:textId="7B7F0C87" w:rsidR="007F4353" w:rsidRPr="00820B09" w:rsidRDefault="00490988" w:rsidP="00490988">
                            <w:pPr>
                              <w:pStyle w:val="paragraph"/>
                              <w:spacing w:after="0"/>
                              <w:jc w:val="both"/>
                              <w:rPr>
                                <w:rFonts w:asciiTheme="majorHAnsi" w:hAnsiTheme="majorHAnsi"/>
                                <w:sz w:val="20"/>
                                <w:szCs w:val="20"/>
                              </w:rPr>
                            </w:pPr>
                            <w:r w:rsidRPr="00820B09">
                              <w:rPr>
                                <w:rFonts w:asciiTheme="majorHAnsi" w:hAnsiTheme="majorHAnsi"/>
                                <w:sz w:val="20"/>
                                <w:szCs w:val="20"/>
                              </w:rPr>
                              <w:t xml:space="preserve">The provider should </w:t>
                            </w:r>
                            <w:r w:rsidR="000A04A3" w:rsidRPr="00820B09">
                              <w:rPr>
                                <w:rFonts w:asciiTheme="majorHAnsi" w:hAnsiTheme="majorHAnsi"/>
                                <w:sz w:val="20"/>
                                <w:szCs w:val="20"/>
                              </w:rPr>
                              <w:t>analyze</w:t>
                            </w:r>
                            <w:r w:rsidRPr="00820B09">
                              <w:rPr>
                                <w:rFonts w:asciiTheme="majorHAnsi" w:hAnsiTheme="majorHAnsi"/>
                                <w:sz w:val="20"/>
                                <w:szCs w:val="20"/>
                              </w:rPr>
                              <w:t xml:space="preserve"> how different client segments use its products and services and the outcomes for them, to support clear strategies for outreach and inclusion. This involves analysis of client behaviors and outcomes by gender, age, disability status, socioeconomic status, and other relevant factors</w:t>
                            </w:r>
                            <w:r w:rsidR="007F4353" w:rsidRPr="00820B09">
                              <w:rPr>
                                <w:rFonts w:asciiTheme="majorHAnsi" w:hAnsiTheme="majorHAnsi"/>
                                <w:sz w:val="20"/>
                                <w:szCs w:val="20"/>
                              </w:rPr>
                              <w:t>.</w:t>
                            </w:r>
                            <w:r w:rsidRPr="00820B09">
                              <w:rPr>
                                <w:rFonts w:asciiTheme="majorHAnsi" w:hAnsiTheme="majorHAnsi"/>
                                <w:sz w:val="20"/>
                                <w:szCs w:val="20"/>
                              </w:rPr>
                              <w:t xml:space="preserve"> </w:t>
                            </w:r>
                          </w:p>
                          <w:p w14:paraId="65A34665" w14:textId="5410870F" w:rsidR="00490988" w:rsidRPr="00820B09" w:rsidRDefault="007F4353" w:rsidP="00490988">
                            <w:pPr>
                              <w:pStyle w:val="paragraph"/>
                              <w:spacing w:after="0"/>
                              <w:jc w:val="both"/>
                              <w:rPr>
                                <w:rFonts w:asciiTheme="majorHAnsi" w:hAnsiTheme="majorHAnsi"/>
                                <w:sz w:val="20"/>
                                <w:szCs w:val="20"/>
                              </w:rPr>
                            </w:pPr>
                            <w:r w:rsidRPr="00820B09">
                              <w:rPr>
                                <w:rFonts w:asciiTheme="majorHAnsi" w:hAnsiTheme="majorHAnsi"/>
                                <w:sz w:val="20"/>
                                <w:szCs w:val="20"/>
                              </w:rPr>
                              <w:t xml:space="preserve">Persons with disabilities are not a homogeneous group; to fully understand differences in </w:t>
                            </w:r>
                            <w:r w:rsidR="00792734" w:rsidRPr="00820B09">
                              <w:rPr>
                                <w:rFonts w:asciiTheme="majorHAnsi" w:hAnsiTheme="majorHAnsi"/>
                                <w:sz w:val="20"/>
                                <w:szCs w:val="20"/>
                              </w:rPr>
                              <w:t xml:space="preserve">behaviors and </w:t>
                            </w:r>
                            <w:r w:rsidRPr="00820B09">
                              <w:rPr>
                                <w:rFonts w:asciiTheme="majorHAnsi" w:hAnsiTheme="majorHAnsi"/>
                                <w:sz w:val="20"/>
                                <w:szCs w:val="20"/>
                              </w:rPr>
                              <w:t xml:space="preserve">outcomes requires analysis by type of impairment </w:t>
                            </w:r>
                            <w:r w:rsidR="00490988" w:rsidRPr="00820B09">
                              <w:rPr>
                                <w:rFonts w:asciiTheme="majorHAnsi" w:hAnsiTheme="majorHAnsi"/>
                                <w:sz w:val="20"/>
                                <w:szCs w:val="20"/>
                              </w:rPr>
                              <w:t xml:space="preserve">and intersectional analysis (e.g. for women with disabilities as distinct from men with disabilities; older persons with disabilities vs. young persons with disabilities, </w:t>
                            </w:r>
                            <w:r w:rsidR="000A04A3" w:rsidRPr="00820B09">
                              <w:rPr>
                                <w:rFonts w:asciiTheme="majorHAnsi" w:hAnsiTheme="majorHAnsi"/>
                                <w:sz w:val="20"/>
                                <w:szCs w:val="20"/>
                              </w:rPr>
                              <w:t>etc.</w:t>
                            </w:r>
                            <w:r w:rsidR="00490988" w:rsidRPr="00820B09">
                              <w:rPr>
                                <w:rFonts w:asciiTheme="majorHAnsi" w:hAnsiTheme="majorHAnsi"/>
                                <w:sz w:val="20"/>
                                <w:szCs w:val="20"/>
                              </w:rPr>
                              <w:t>).</w:t>
                            </w:r>
                            <w:r w:rsidR="00840781" w:rsidRPr="00820B09">
                              <w:rPr>
                                <w:rFonts w:asciiTheme="majorHAnsi" w:hAnsiTheme="majorHAnsi"/>
                                <w:sz w:val="20"/>
                                <w:szCs w:val="20"/>
                              </w:rPr>
                              <w:t xml:space="preserve"> Analysis of behaviors should include requests for and use of accessibility options and features</w:t>
                            </w:r>
                            <w:r w:rsidR="00792734" w:rsidRPr="00820B09">
                              <w:rPr>
                                <w:rFonts w:asciiTheme="majorHAnsi" w:hAnsiTheme="majorHAnsi"/>
                                <w:sz w:val="20"/>
                                <w:szCs w:val="20"/>
                              </w:rPr>
                              <w:t>, to enable continuous improvements in accessibility</w:t>
                            </w:r>
                            <w:r w:rsidR="00840781" w:rsidRPr="00820B09">
                              <w:rPr>
                                <w:rFonts w:asciiTheme="majorHAnsi" w:hAnsiTheme="majorHAnsi"/>
                                <w:sz w:val="20"/>
                                <w:szCs w:val="20"/>
                              </w:rPr>
                              <w:t>.</w:t>
                            </w:r>
                          </w:p>
                          <w:p w14:paraId="43D08295" w14:textId="22064B5B" w:rsidR="00490988" w:rsidRPr="00820B09" w:rsidRDefault="00792734" w:rsidP="00AF2DC5">
                            <w:pPr>
                              <w:pStyle w:val="paragraph"/>
                              <w:jc w:val="both"/>
                              <w:rPr>
                                <w:rFonts w:asciiTheme="majorHAnsi" w:hAnsiTheme="majorHAnsi"/>
                                <w:sz w:val="20"/>
                                <w:szCs w:val="20"/>
                              </w:rPr>
                            </w:pPr>
                            <w:r w:rsidRPr="00820B09">
                              <w:rPr>
                                <w:rFonts w:asciiTheme="majorHAnsi" w:hAnsiTheme="majorHAnsi"/>
                                <w:sz w:val="20"/>
                                <w:szCs w:val="20"/>
                              </w:rPr>
                              <w:t xml:space="preserve"> To carry out this analysis requires collection of data on disability status from clients and integrating this data in management information systems (MIS). For information on </w:t>
                            </w:r>
                            <w:r w:rsidR="00D3208B" w:rsidRPr="00820B09">
                              <w:rPr>
                                <w:rFonts w:asciiTheme="majorHAnsi" w:hAnsiTheme="majorHAnsi"/>
                                <w:sz w:val="20"/>
                                <w:szCs w:val="20"/>
                              </w:rPr>
                              <w:t xml:space="preserve">and resources on </w:t>
                            </w:r>
                            <w:r w:rsidRPr="00820B09">
                              <w:rPr>
                                <w:rFonts w:asciiTheme="majorHAnsi" w:hAnsiTheme="majorHAnsi"/>
                                <w:sz w:val="20"/>
                                <w:szCs w:val="20"/>
                              </w:rPr>
                              <w:t>disability data collection</w:t>
                            </w:r>
                            <w:r w:rsidR="00D3208B" w:rsidRPr="00820B09">
                              <w:rPr>
                                <w:rFonts w:asciiTheme="majorHAnsi" w:hAnsiTheme="majorHAnsi"/>
                                <w:sz w:val="20"/>
                                <w:szCs w:val="20"/>
                              </w:rPr>
                              <w:t xml:space="preserve"> and intersectional data analysis</w:t>
                            </w:r>
                            <w:r w:rsidRPr="00820B09">
                              <w:rPr>
                                <w:rFonts w:asciiTheme="majorHAnsi" w:hAnsiTheme="majorHAnsi"/>
                                <w:sz w:val="20"/>
                                <w:szCs w:val="20"/>
                              </w:rPr>
                              <w:t>, see indicator 1.B.1.3.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D422158" id="_x0000_s1032" type="#_x0000_t202" style="position:absolute;left:0;text-align:left;margin-left:0;margin-top:0;width:2in;height:2in;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hvDKg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" filled="f" strokeweight=".5pt">
                <v:textbox style="mso-fit-shape-to-text:t">
                  <w:txbxContent>
                    <w:p w14:paraId="6A0DF2D1" w14:textId="7F0F02D5" w:rsidR="00490988" w:rsidRPr="00820B09" w:rsidRDefault="00B53772" w:rsidP="00490988">
                      <w:pPr>
                        <w:pStyle w:val="paragraph"/>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90988" w:rsidRPr="00820B09">
                        <w:rPr>
                          <w:rFonts w:asciiTheme="majorHAnsi" w:hAnsiTheme="majorHAnsi"/>
                          <w:b/>
                          <w:bCs/>
                          <w:sz w:val="20"/>
                          <w:szCs w:val="20"/>
                        </w:rPr>
                        <w:t>1.B.2.2</w:t>
                      </w:r>
                    </w:p>
                    <w:p w14:paraId="441B2344" w14:textId="7B7F0C87" w:rsidR="007F4353" w:rsidRPr="00820B09" w:rsidRDefault="00490988" w:rsidP="00490988">
                      <w:pPr>
                        <w:pStyle w:val="paragraph"/>
                        <w:spacing w:after="0"/>
                        <w:jc w:val="both"/>
                        <w:rPr>
                          <w:rFonts w:asciiTheme="majorHAnsi" w:hAnsiTheme="majorHAnsi"/>
                          <w:sz w:val="20"/>
                          <w:szCs w:val="20"/>
                        </w:rPr>
                      </w:pPr>
                      <w:r w:rsidRPr="00820B09">
                        <w:rPr>
                          <w:rFonts w:asciiTheme="majorHAnsi" w:hAnsiTheme="majorHAnsi"/>
                          <w:sz w:val="20"/>
                          <w:szCs w:val="20"/>
                        </w:rPr>
                        <w:t xml:space="preserve">The provider should </w:t>
                      </w:r>
                      <w:r w:rsidR="000A04A3" w:rsidRPr="00820B09">
                        <w:rPr>
                          <w:rFonts w:asciiTheme="majorHAnsi" w:hAnsiTheme="majorHAnsi"/>
                          <w:sz w:val="20"/>
                          <w:szCs w:val="20"/>
                        </w:rPr>
                        <w:t>analyze</w:t>
                      </w:r>
                      <w:r w:rsidRPr="00820B09">
                        <w:rPr>
                          <w:rFonts w:asciiTheme="majorHAnsi" w:hAnsiTheme="majorHAnsi"/>
                          <w:sz w:val="20"/>
                          <w:szCs w:val="20"/>
                        </w:rPr>
                        <w:t xml:space="preserve"> how different client segments use its products and services and the outcomes for them, to support clear strategies for outreach and inclusion. This involves analysis of client behaviors and outcomes by gender, age, disability status, socioeconomic status, and other relevant factors</w:t>
                      </w:r>
                      <w:r w:rsidR="007F4353" w:rsidRPr="00820B09">
                        <w:rPr>
                          <w:rFonts w:asciiTheme="majorHAnsi" w:hAnsiTheme="majorHAnsi"/>
                          <w:sz w:val="20"/>
                          <w:szCs w:val="20"/>
                        </w:rPr>
                        <w:t>.</w:t>
                      </w:r>
                      <w:r w:rsidRPr="00820B09">
                        <w:rPr>
                          <w:rFonts w:asciiTheme="majorHAnsi" w:hAnsiTheme="majorHAnsi"/>
                          <w:sz w:val="20"/>
                          <w:szCs w:val="20"/>
                        </w:rPr>
                        <w:t xml:space="preserve"> </w:t>
                      </w:r>
                    </w:p>
                    <w:p w14:paraId="65A34665" w14:textId="5410870F" w:rsidR="00490988" w:rsidRPr="00820B09" w:rsidRDefault="007F4353" w:rsidP="00490988">
                      <w:pPr>
                        <w:pStyle w:val="paragraph"/>
                        <w:spacing w:after="0"/>
                        <w:jc w:val="both"/>
                        <w:rPr>
                          <w:rFonts w:asciiTheme="majorHAnsi" w:hAnsiTheme="majorHAnsi"/>
                          <w:sz w:val="20"/>
                          <w:szCs w:val="20"/>
                        </w:rPr>
                      </w:pPr>
                      <w:r w:rsidRPr="00820B09">
                        <w:rPr>
                          <w:rFonts w:asciiTheme="majorHAnsi" w:hAnsiTheme="majorHAnsi"/>
                          <w:sz w:val="20"/>
                          <w:szCs w:val="20"/>
                        </w:rPr>
                        <w:t xml:space="preserve">Persons with disabilities are not a homogeneous group; to fully understand differences in </w:t>
                      </w:r>
                      <w:r w:rsidR="00792734" w:rsidRPr="00820B09">
                        <w:rPr>
                          <w:rFonts w:asciiTheme="majorHAnsi" w:hAnsiTheme="majorHAnsi"/>
                          <w:sz w:val="20"/>
                          <w:szCs w:val="20"/>
                        </w:rPr>
                        <w:t xml:space="preserve">behaviors and </w:t>
                      </w:r>
                      <w:r w:rsidRPr="00820B09">
                        <w:rPr>
                          <w:rFonts w:asciiTheme="majorHAnsi" w:hAnsiTheme="majorHAnsi"/>
                          <w:sz w:val="20"/>
                          <w:szCs w:val="20"/>
                        </w:rPr>
                        <w:t xml:space="preserve">outcomes requires analysis by type of impairment </w:t>
                      </w:r>
                      <w:r w:rsidR="00490988" w:rsidRPr="00820B09">
                        <w:rPr>
                          <w:rFonts w:asciiTheme="majorHAnsi" w:hAnsiTheme="majorHAnsi"/>
                          <w:sz w:val="20"/>
                          <w:szCs w:val="20"/>
                        </w:rPr>
                        <w:t xml:space="preserve">and intersectional analysis (e.g. for women with disabilities as distinct from men with disabilities; older persons with disabilities vs. young persons with disabilities, </w:t>
                      </w:r>
                      <w:r w:rsidR="000A04A3" w:rsidRPr="00820B09">
                        <w:rPr>
                          <w:rFonts w:asciiTheme="majorHAnsi" w:hAnsiTheme="majorHAnsi"/>
                          <w:sz w:val="20"/>
                          <w:szCs w:val="20"/>
                        </w:rPr>
                        <w:t>etc.</w:t>
                      </w:r>
                      <w:r w:rsidR="00490988" w:rsidRPr="00820B09">
                        <w:rPr>
                          <w:rFonts w:asciiTheme="majorHAnsi" w:hAnsiTheme="majorHAnsi"/>
                          <w:sz w:val="20"/>
                          <w:szCs w:val="20"/>
                        </w:rPr>
                        <w:t>).</w:t>
                      </w:r>
                      <w:r w:rsidR="00840781" w:rsidRPr="00820B09">
                        <w:rPr>
                          <w:rFonts w:asciiTheme="majorHAnsi" w:hAnsiTheme="majorHAnsi"/>
                          <w:sz w:val="20"/>
                          <w:szCs w:val="20"/>
                        </w:rPr>
                        <w:t xml:space="preserve"> Analysis of behaviors should include requests for and use of accessibility options and features</w:t>
                      </w:r>
                      <w:r w:rsidR="00792734" w:rsidRPr="00820B09">
                        <w:rPr>
                          <w:rFonts w:asciiTheme="majorHAnsi" w:hAnsiTheme="majorHAnsi"/>
                          <w:sz w:val="20"/>
                          <w:szCs w:val="20"/>
                        </w:rPr>
                        <w:t>, to enable continuous improvements in accessibility</w:t>
                      </w:r>
                      <w:r w:rsidR="00840781" w:rsidRPr="00820B09">
                        <w:rPr>
                          <w:rFonts w:asciiTheme="majorHAnsi" w:hAnsiTheme="majorHAnsi"/>
                          <w:sz w:val="20"/>
                          <w:szCs w:val="20"/>
                        </w:rPr>
                        <w:t>.</w:t>
                      </w:r>
                    </w:p>
                    <w:p w14:paraId="43D08295" w14:textId="22064B5B" w:rsidR="00490988" w:rsidRPr="00820B09" w:rsidRDefault="00792734" w:rsidP="00AF2DC5">
                      <w:pPr>
                        <w:pStyle w:val="paragraph"/>
                        <w:jc w:val="both"/>
                        <w:rPr>
                          <w:rFonts w:asciiTheme="majorHAnsi" w:hAnsiTheme="majorHAnsi"/>
                          <w:sz w:val="20"/>
                          <w:szCs w:val="20"/>
                        </w:rPr>
                      </w:pPr>
                      <w:r w:rsidRPr="00820B09">
                        <w:rPr>
                          <w:rFonts w:asciiTheme="majorHAnsi" w:hAnsiTheme="majorHAnsi"/>
                          <w:sz w:val="20"/>
                          <w:szCs w:val="20"/>
                        </w:rPr>
                        <w:t xml:space="preserve"> To carry out this analysis requires collection of data on disability status from clients and integrating this data in management information systems (MIS). For information on </w:t>
                      </w:r>
                      <w:r w:rsidR="00D3208B" w:rsidRPr="00820B09">
                        <w:rPr>
                          <w:rFonts w:asciiTheme="majorHAnsi" w:hAnsiTheme="majorHAnsi"/>
                          <w:sz w:val="20"/>
                          <w:szCs w:val="20"/>
                        </w:rPr>
                        <w:t xml:space="preserve">and resources on </w:t>
                      </w:r>
                      <w:r w:rsidRPr="00820B09">
                        <w:rPr>
                          <w:rFonts w:asciiTheme="majorHAnsi" w:hAnsiTheme="majorHAnsi"/>
                          <w:sz w:val="20"/>
                          <w:szCs w:val="20"/>
                        </w:rPr>
                        <w:t>disability data collection</w:t>
                      </w:r>
                      <w:r w:rsidR="00D3208B" w:rsidRPr="00820B09">
                        <w:rPr>
                          <w:rFonts w:asciiTheme="majorHAnsi" w:hAnsiTheme="majorHAnsi"/>
                          <w:sz w:val="20"/>
                          <w:szCs w:val="20"/>
                        </w:rPr>
                        <w:t xml:space="preserve"> and intersectional data analysis</w:t>
                      </w:r>
                      <w:r w:rsidRPr="00820B09">
                        <w:rPr>
                          <w:rFonts w:asciiTheme="majorHAnsi" w:hAnsiTheme="majorHAnsi"/>
                          <w:sz w:val="20"/>
                          <w:szCs w:val="20"/>
                        </w:rPr>
                        <w:t>, see indicator 1.B.1.3.</w:t>
                      </w:r>
                    </w:p>
                  </w:txbxContent>
                </v:textbox>
                <w10:wrap type="square"/>
              </v:shape>
            </w:pict>
          </mc:Fallback>
        </mc:AlternateContent>
      </w:r>
    </w:p>
    <w:bookmarkEnd w:id="28"/>
    <w:p w14:paraId="3C0F2A70" w14:textId="5A91FAD1" w:rsidR="006E6408" w:rsidRPr="00A608EE" w:rsidRDefault="006E6408" w:rsidP="00EE208A">
      <w:pPr>
        <w:pStyle w:val="paragraph"/>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2CDBECD8" w14:textId="77777777" w:rsidR="006E6408" w:rsidRPr="00A608EE" w:rsidRDefault="006E6408" w:rsidP="00A27AAA">
      <w:pPr>
        <w:pStyle w:val="paragraph"/>
        <w:numPr>
          <w:ilvl w:val="0"/>
          <w:numId w:val="1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analyzes client outcomes by all above-listed segments of clients.</w:t>
      </w:r>
    </w:p>
    <w:p w14:paraId="0C19F25D" w14:textId="77777777" w:rsidR="006E6408" w:rsidRPr="00A608EE" w:rsidRDefault="006E6408" w:rsidP="00A27AAA">
      <w:pPr>
        <w:pStyle w:val="paragraph"/>
        <w:numPr>
          <w:ilvl w:val="0"/>
          <w:numId w:val="1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does some segmentation of clients in its analysis, but not according to all of the segments listed above. For example, if it segments by economic activity (e.g., agricultural vs retail), but not by gender.</w:t>
      </w:r>
    </w:p>
    <w:p w14:paraId="5A738FBB" w14:textId="77777777" w:rsidR="006E6408" w:rsidRPr="00A608EE" w:rsidRDefault="006E6408" w:rsidP="00A27AAA">
      <w:pPr>
        <w:pStyle w:val="paragraph"/>
        <w:numPr>
          <w:ilvl w:val="0"/>
          <w:numId w:val="1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analyzes outcomes for its entire client database without segmentation or have no outcomes data.</w:t>
      </w:r>
    </w:p>
    <w:p w14:paraId="03B839F5" w14:textId="77777777" w:rsidR="006E6408" w:rsidRPr="00A608EE" w:rsidRDefault="006E6408" w:rsidP="00EE208A">
      <w:pPr>
        <w:pStyle w:val="paragraph"/>
        <w:spacing w:before="0" w:beforeAutospacing="0" w:after="0" w:afterAutospacing="0"/>
        <w:jc w:val="both"/>
        <w:rPr>
          <w:rFonts w:asciiTheme="majorHAnsi" w:hAnsiTheme="majorHAnsi"/>
          <w:b/>
          <w:bCs/>
          <w:sz w:val="20"/>
          <w:szCs w:val="20"/>
        </w:rPr>
      </w:pPr>
    </w:p>
    <w:p w14:paraId="1E5DF0BF" w14:textId="708D9C75" w:rsidR="006E6408" w:rsidRPr="00A608EE" w:rsidRDefault="006E6408" w:rsidP="00EE208A">
      <w:pPr>
        <w:pStyle w:val="paragraph"/>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14E993E0" w14:textId="77777777" w:rsidR="006E6408" w:rsidRPr="00A608EE" w:rsidRDefault="006E6408" w:rsidP="00A27AAA">
      <w:pPr>
        <w:pStyle w:val="paragraph"/>
        <w:numPr>
          <w:ilvl w:val="0"/>
          <w:numId w:val="1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MIS</w:t>
      </w:r>
    </w:p>
    <w:p w14:paraId="5FDAAC99" w14:textId="77777777" w:rsidR="006E6408" w:rsidRPr="00A608EE" w:rsidRDefault="006E6408" w:rsidP="00A27AAA">
      <w:pPr>
        <w:pStyle w:val="paragraph"/>
        <w:numPr>
          <w:ilvl w:val="0"/>
          <w:numId w:val="1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IT manager</w:t>
      </w:r>
    </w:p>
    <w:p w14:paraId="631C5A92" w14:textId="77777777" w:rsidR="006E6408" w:rsidRPr="00A608EE" w:rsidRDefault="006E6408" w:rsidP="00A27AAA">
      <w:pPr>
        <w:pStyle w:val="paragraph"/>
        <w:numPr>
          <w:ilvl w:val="0"/>
          <w:numId w:val="1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All other databases the provider has</w:t>
      </w:r>
    </w:p>
    <w:p w14:paraId="7B2F2456" w14:textId="64DDD0BE" w:rsidR="006E6408" w:rsidRPr="00A608EE" w:rsidRDefault="006E6408" w:rsidP="00A27AAA">
      <w:pPr>
        <w:pStyle w:val="paragraph"/>
        <w:numPr>
          <w:ilvl w:val="0"/>
          <w:numId w:val="1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Reports on client outcomes analysis  </w:t>
      </w:r>
    </w:p>
    <w:p w14:paraId="095E08E4" w14:textId="3CDCBC43" w:rsidR="006E6408" w:rsidRPr="00A608EE" w:rsidRDefault="006E6408" w:rsidP="00EE208A">
      <w:pPr>
        <w:pStyle w:val="paragraph"/>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r w:rsidRPr="00A608EE">
        <w:rPr>
          <w:b/>
          <w:bCs/>
          <w:sz w:val="20"/>
          <w:szCs w:val="20"/>
        </w:rPr>
        <w:t> </w:t>
      </w:r>
    </w:p>
    <w:p w14:paraId="7787BB5C" w14:textId="77777777" w:rsidR="006E6408" w:rsidRPr="00A608EE" w:rsidRDefault="006E6408"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Read reports on client outcomes to establish whether the provider is monitoring outcomes by client segment. Also ask the IT department what demographic and socioeconomic data the provider collects on clients.</w:t>
      </w:r>
    </w:p>
    <w:p w14:paraId="1C4FCF9F" w14:textId="77777777" w:rsidR="006E6408" w:rsidRPr="00A608EE" w:rsidRDefault="006E6408" w:rsidP="00EE208A">
      <w:pPr>
        <w:pStyle w:val="paragraph"/>
        <w:spacing w:before="0" w:beforeAutospacing="0" w:after="0" w:afterAutospacing="0"/>
        <w:jc w:val="both"/>
        <w:rPr>
          <w:rFonts w:asciiTheme="majorHAnsi" w:hAnsiTheme="majorHAnsi"/>
          <w:b/>
          <w:bCs/>
          <w:sz w:val="20"/>
          <w:szCs w:val="20"/>
        </w:rPr>
      </w:pPr>
    </w:p>
    <w:p w14:paraId="2D2BC2E4" w14:textId="3A710168" w:rsidR="006E6408" w:rsidRPr="00A608EE" w:rsidRDefault="006E6408" w:rsidP="00EE208A">
      <w:pPr>
        <w:pStyle w:val="paragraph"/>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 / Guidance for implementation</w:t>
      </w:r>
      <w:r w:rsidRPr="00A608EE">
        <w:rPr>
          <w:b/>
          <w:bCs/>
          <w:sz w:val="20"/>
          <w:szCs w:val="20"/>
        </w:rPr>
        <w:t> </w:t>
      </w:r>
      <w:r w:rsidRPr="00A608EE">
        <w:rPr>
          <w:rFonts w:asciiTheme="majorHAnsi" w:hAnsiTheme="majorHAnsi" w:cs="Work Sans"/>
          <w:b/>
          <w:bCs/>
          <w:sz w:val="20"/>
          <w:szCs w:val="20"/>
        </w:rPr>
        <w:t> </w:t>
      </w:r>
    </w:p>
    <w:p w14:paraId="02E07215" w14:textId="77777777" w:rsidR="006E6408" w:rsidRPr="00A608EE" w:rsidRDefault="006E6408"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At minimum, the provider should collect the following information about each of its clients: gender, age, location (e.g., rural/urban/peri-urban), and poverty or income level.  It may also have other characteristics that are relevant to track based on its particular goals, for example outreach to disabled persons or outreach to refugees.  Because it has this information, the provider is able to segment all analysis it conducts of client outcomes and monitor whether different groups of clients are doing better or worse. This in turn drives strategic decisions. If the results for a certain group are good, the provider might invest more in expanding its offer of that product or service to that group. If the results are poor, the provider will investigate why the outcomes are not strong and take corrective action.</w:t>
      </w:r>
    </w:p>
    <w:p w14:paraId="7B8863FE" w14:textId="77777777" w:rsidR="006E6408" w:rsidRPr="00A608EE" w:rsidRDefault="006E6408" w:rsidP="00EE208A">
      <w:pPr>
        <w:pStyle w:val="paragraph"/>
        <w:spacing w:before="0" w:beforeAutospacing="0" w:after="0" w:afterAutospacing="0"/>
        <w:jc w:val="both"/>
        <w:rPr>
          <w:rFonts w:asciiTheme="majorHAnsi" w:hAnsiTheme="majorHAnsi"/>
          <w:b/>
          <w:bCs/>
          <w:sz w:val="20"/>
          <w:szCs w:val="20"/>
        </w:rPr>
      </w:pPr>
    </w:p>
    <w:p w14:paraId="77854D84" w14:textId="3A3E1A6C" w:rsidR="006E6408" w:rsidRPr="00A608EE" w:rsidRDefault="006E6408" w:rsidP="00EE208A">
      <w:pPr>
        <w:pStyle w:val="paragraph"/>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1.B.2.2</w:t>
      </w:r>
    </w:p>
    <w:p w14:paraId="256246F1" w14:textId="77777777" w:rsidR="006E6408" w:rsidRPr="00A608EE" w:rsidRDefault="006E6408" w:rsidP="00A27AAA">
      <w:pPr>
        <w:pStyle w:val="paragraph"/>
        <w:numPr>
          <w:ilvl w:val="0"/>
          <w:numId w:val="99"/>
        </w:numPr>
        <w:spacing w:before="0" w:beforeAutospacing="0" w:after="0" w:afterAutospacing="0"/>
        <w:jc w:val="both"/>
        <w:textAlignment w:val="baseline"/>
        <w:rPr>
          <w:rFonts w:asciiTheme="majorHAnsi" w:hAnsiTheme="majorHAnsi"/>
          <w:sz w:val="20"/>
          <w:szCs w:val="20"/>
        </w:rPr>
      </w:pPr>
      <w:hyperlink r:id="rId67" w:history="1">
        <w:r w:rsidRPr="00A608EE">
          <w:rPr>
            <w:rStyle w:val="Hyperlink"/>
            <w:rFonts w:asciiTheme="majorHAnsi" w:hAnsiTheme="majorHAnsi"/>
            <w:sz w:val="20"/>
            <w:szCs w:val="20"/>
          </w:rPr>
          <w:t>Making the Case for Outcomes Management to Financial Service Providers</w:t>
        </w:r>
      </w:hyperlink>
    </w:p>
    <w:p w14:paraId="4648567B" w14:textId="77777777" w:rsidR="006E6408" w:rsidRPr="00A608EE" w:rsidRDefault="006E6408" w:rsidP="00A27AAA">
      <w:pPr>
        <w:pStyle w:val="paragraph"/>
        <w:numPr>
          <w:ilvl w:val="0"/>
          <w:numId w:val="99"/>
        </w:numPr>
        <w:spacing w:before="0" w:beforeAutospacing="0" w:after="0" w:afterAutospacing="0"/>
        <w:jc w:val="both"/>
        <w:textAlignment w:val="baseline"/>
        <w:rPr>
          <w:rFonts w:asciiTheme="majorHAnsi" w:hAnsiTheme="majorHAnsi"/>
          <w:sz w:val="20"/>
          <w:szCs w:val="20"/>
        </w:rPr>
      </w:pPr>
      <w:hyperlink r:id="rId68" w:history="1">
        <w:r w:rsidRPr="00A608EE">
          <w:rPr>
            <w:rStyle w:val="Hyperlink"/>
            <w:rFonts w:asciiTheme="majorHAnsi" w:hAnsiTheme="majorHAnsi"/>
            <w:sz w:val="20"/>
            <w:szCs w:val="20"/>
          </w:rPr>
          <w:t>Friendship Bridge (Guatemala) Client Segmentation by Poverty Profile</w:t>
        </w:r>
      </w:hyperlink>
    </w:p>
    <w:p w14:paraId="602A78BC" w14:textId="77777777" w:rsidR="006E6408" w:rsidRPr="00A608EE" w:rsidRDefault="006E6408" w:rsidP="00A27AAA">
      <w:pPr>
        <w:pStyle w:val="paragraph"/>
        <w:numPr>
          <w:ilvl w:val="0"/>
          <w:numId w:val="99"/>
        </w:numPr>
        <w:spacing w:before="0" w:beforeAutospacing="0" w:after="0" w:afterAutospacing="0"/>
        <w:jc w:val="both"/>
        <w:textAlignment w:val="baseline"/>
        <w:rPr>
          <w:rFonts w:asciiTheme="majorHAnsi" w:hAnsiTheme="majorHAnsi"/>
          <w:sz w:val="20"/>
          <w:szCs w:val="20"/>
        </w:rPr>
      </w:pPr>
      <w:hyperlink r:id="rId69" w:history="1">
        <w:r w:rsidRPr="00A608EE">
          <w:rPr>
            <w:rStyle w:val="Hyperlink"/>
            <w:rFonts w:asciiTheme="majorHAnsi" w:hAnsiTheme="majorHAnsi"/>
            <w:sz w:val="20"/>
            <w:szCs w:val="20"/>
          </w:rPr>
          <w:t>SPM Essentials #1: Use what you have. Discovering client insights in your existing data</w:t>
        </w:r>
      </w:hyperlink>
    </w:p>
    <w:p w14:paraId="7AEF81DB" w14:textId="77777777" w:rsidR="003A0F74" w:rsidRPr="00A608EE" w:rsidRDefault="003A0F74" w:rsidP="00EE208A">
      <w:pPr>
        <w:pStyle w:val="paragraph"/>
        <w:spacing w:before="0" w:beforeAutospacing="0" w:after="0" w:afterAutospacing="0"/>
        <w:jc w:val="both"/>
        <w:textAlignment w:val="baseline"/>
        <w:rPr>
          <w:rFonts w:asciiTheme="majorHAnsi" w:hAnsiTheme="majorHAnsi"/>
          <w:sz w:val="20"/>
          <w:szCs w:val="20"/>
        </w:rPr>
      </w:pPr>
    </w:p>
    <w:p w14:paraId="2A38A84D" w14:textId="77777777" w:rsidR="0074041B" w:rsidRPr="00A608EE" w:rsidRDefault="0074041B" w:rsidP="00EE208A">
      <w:pPr>
        <w:pStyle w:val="paragraph"/>
        <w:spacing w:before="0" w:beforeAutospacing="0" w:after="0" w:afterAutospacing="0"/>
        <w:jc w:val="both"/>
        <w:textAlignment w:val="baseline"/>
        <w:rPr>
          <w:rFonts w:asciiTheme="majorHAnsi" w:hAnsiTheme="majorHAnsi"/>
          <w:sz w:val="20"/>
          <w:szCs w:val="20"/>
        </w:rPr>
      </w:pPr>
    </w:p>
    <w:p w14:paraId="4D2F3141" w14:textId="74CB4732" w:rsidR="00B648A5" w:rsidRPr="00A608EE" w:rsidRDefault="00C358FF" w:rsidP="00EE208A">
      <w:pPr>
        <w:pStyle w:val="Heading3"/>
        <w:spacing w:before="0" w:line="240" w:lineRule="auto"/>
        <w:jc w:val="both"/>
        <w:rPr>
          <w:rStyle w:val="normaltextrun"/>
        </w:rPr>
      </w:pPr>
      <w:bookmarkStart w:id="29" w:name="_Toc230938775"/>
      <w:r w:rsidRPr="00A608EE">
        <w:rPr>
          <w:rStyle w:val="normaltextrun"/>
        </w:rPr>
        <w:lastRenderedPageBreak/>
        <w:t xml:space="preserve">1.B.3 </w:t>
      </w:r>
      <w:r w:rsidR="008B22FC" w:rsidRPr="00A608EE">
        <w:rPr>
          <w:rStyle w:val="normaltextrun"/>
        </w:rPr>
        <w:t>The provider reports social performance data internally and externally</w:t>
      </w:r>
      <w:r w:rsidRPr="00A608EE">
        <w:rPr>
          <w:rStyle w:val="normaltextrun"/>
        </w:rPr>
        <w:t>.</w:t>
      </w:r>
      <w:bookmarkEnd w:id="29"/>
    </w:p>
    <w:p w14:paraId="1D8C8C0E" w14:textId="77777777" w:rsidR="00800B38" w:rsidRPr="00A608EE" w:rsidRDefault="00800B38" w:rsidP="00EE208A">
      <w:pPr>
        <w:jc w:val="both"/>
      </w:pPr>
    </w:p>
    <w:p w14:paraId="6029A4FB" w14:textId="36FDE49E" w:rsidR="0023412D" w:rsidRPr="00A608EE" w:rsidRDefault="006469E3" w:rsidP="00EE208A">
      <w:pPr>
        <w:pStyle w:val="Heading4"/>
        <w:spacing w:before="0" w:line="240" w:lineRule="auto"/>
        <w:jc w:val="both"/>
      </w:pPr>
      <w:r w:rsidRPr="00A608EE">
        <w:rPr>
          <w:rStyle w:val="normaltextrun"/>
        </w:rPr>
        <w:t xml:space="preserve">1.B.3.1 </w:t>
      </w:r>
      <w:r w:rsidR="008B22FC" w:rsidRPr="00A608EE">
        <w:rPr>
          <w:rStyle w:val="normaltextrun"/>
        </w:rPr>
        <w:t>The provider conducts a social audit. Minimum frequency: every three years.</w:t>
      </w:r>
    </w:p>
    <w:p w14:paraId="029C2654" w14:textId="179B1BBB" w:rsidR="0074041B" w:rsidRPr="00A608EE" w:rsidRDefault="0074041B" w:rsidP="00EE208A">
      <w:pPr>
        <w:pStyle w:val="paragraph"/>
        <w:spacing w:before="0" w:beforeAutospacing="0" w:after="0" w:afterAutospacing="0"/>
        <w:jc w:val="both"/>
        <w:rPr>
          <w:rFonts w:asciiTheme="majorHAnsi" w:hAnsiTheme="majorHAnsi"/>
          <w:sz w:val="20"/>
          <w:szCs w:val="20"/>
        </w:rPr>
      </w:pPr>
    </w:p>
    <w:p w14:paraId="3B77257B" w14:textId="514D3F6A" w:rsidR="0074041B" w:rsidRPr="00A608EE" w:rsidRDefault="004921CE" w:rsidP="00EE208A">
      <w:pPr>
        <w:pStyle w:val="paragraph"/>
        <w:spacing w:before="0" w:beforeAutospacing="0" w:after="0" w:afterAutospacing="0"/>
        <w:jc w:val="both"/>
        <w:rPr>
          <w:rFonts w:ascii="Work Sans" w:hAnsi="Work Sans"/>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4F5FC3" w:rsidRPr="00A608EE">
        <w:rPr>
          <w:rFonts w:asciiTheme="majorHAnsi" w:hAnsiTheme="majorHAnsi"/>
          <w:b/>
          <w:bCs/>
          <w:color w:val="2145CC" w:themeColor="accent5" w:themeShade="BF"/>
          <w:sz w:val="20"/>
          <w:szCs w:val="20"/>
        </w:rPr>
        <w:t xml:space="preserve">Indicator in </w:t>
      </w:r>
      <w:r w:rsidR="0074041B"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74041B"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34A0B152" w14:textId="77777777" w:rsidR="004A1E7D" w:rsidRPr="00A608EE" w:rsidRDefault="004A1E7D" w:rsidP="00EE208A">
      <w:pPr>
        <w:pStyle w:val="paragraph"/>
        <w:spacing w:before="0" w:beforeAutospacing="0" w:after="0" w:afterAutospacing="0"/>
        <w:jc w:val="both"/>
        <w:rPr>
          <w:rFonts w:asciiTheme="majorHAnsi" w:hAnsiTheme="majorHAnsi"/>
          <w:b/>
          <w:bCs/>
          <w:color w:val="2145CC" w:themeColor="accent5" w:themeShade="BF"/>
          <w:sz w:val="20"/>
          <w:szCs w:val="20"/>
        </w:rPr>
      </w:pPr>
    </w:p>
    <w:p w14:paraId="0DB4005C" w14:textId="096D7724" w:rsidR="0074041B" w:rsidRPr="00A608EE" w:rsidRDefault="008B22FC" w:rsidP="004A1E7D">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An external social audit at minimum every three years allows the provider to track progress on building strong social performance management practices, and to remain aware of its current level of implementation of the Universal Standards.</w:t>
      </w:r>
    </w:p>
    <w:p w14:paraId="1AA84895" w14:textId="251A86E6" w:rsidR="00672763" w:rsidRPr="00A608EE" w:rsidRDefault="00672763" w:rsidP="004A1E7D">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noProof/>
          <w:sz w:val="20"/>
          <w:szCs w:val="20"/>
        </w:rPr>
        <w:drawing>
          <wp:anchor distT="0" distB="0" distL="114300" distR="114300" simplePos="0" relativeHeight="251801600" behindDoc="1" locked="0" layoutInCell="1" allowOverlap="1" wp14:anchorId="09AC51DB" wp14:editId="14D9B086">
            <wp:simplePos x="0" y="0"/>
            <wp:positionH relativeFrom="margin">
              <wp:posOffset>44450</wp:posOffset>
            </wp:positionH>
            <wp:positionV relativeFrom="paragraph">
              <wp:posOffset>165100</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199333262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6BADE80E" w14:textId="595ECE3B"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31615F62" w14:textId="77777777" w:rsidR="00672763" w:rsidRPr="00A608EE" w:rsidRDefault="00672763" w:rsidP="00EE208A">
      <w:pPr>
        <w:jc w:val="both"/>
        <w:rPr>
          <w:rFonts w:ascii="Work Sans" w:hAnsi="Work Sans"/>
          <w:b/>
          <w:bCs/>
          <w:sz w:val="20"/>
          <w:szCs w:val="20"/>
          <w:lang w:eastAsia="fr-FR"/>
        </w:rPr>
      </w:pPr>
    </w:p>
    <w:p w14:paraId="70829F33" w14:textId="05B5FAC1" w:rsidR="00490988" w:rsidRPr="00A608EE" w:rsidRDefault="004876A2"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490988" w:rsidRPr="00A608EE">
        <w:rPr>
          <w:rFonts w:asciiTheme="majorHAnsi" w:hAnsiTheme="majorHAnsi"/>
          <w:sz w:val="20"/>
          <w:szCs w:val="20"/>
          <w:lang w:eastAsia="fr-FR"/>
        </w:rPr>
        <w:t xml:space="preserve">The provider's social audits </w:t>
      </w:r>
      <w:r w:rsidR="00FF685E" w:rsidRPr="00A608EE">
        <w:rPr>
          <w:rFonts w:asciiTheme="majorHAnsi" w:hAnsiTheme="majorHAnsi"/>
          <w:sz w:val="20"/>
          <w:szCs w:val="20"/>
          <w:lang w:eastAsia="fr-FR"/>
        </w:rPr>
        <w:t>cover</w:t>
      </w:r>
      <w:r w:rsidR="00490988" w:rsidRPr="00A608EE">
        <w:rPr>
          <w:rFonts w:asciiTheme="majorHAnsi" w:hAnsiTheme="majorHAnsi"/>
          <w:sz w:val="20"/>
          <w:szCs w:val="20"/>
          <w:lang w:eastAsia="fr-FR"/>
        </w:rPr>
        <w:t xml:space="preserve"> assessment of measures to prevent discrimination or exclusion of persons with disabilities and ensure accessibility, as well as practices related to any specific social goals the provider has identified related to disability inclusion.</w:t>
      </w:r>
    </w:p>
    <w:p w14:paraId="0DF0F767" w14:textId="77777777" w:rsidR="0048604A" w:rsidRPr="00A608EE" w:rsidRDefault="0048604A" w:rsidP="00EE208A">
      <w:pPr>
        <w:jc w:val="both"/>
        <w:rPr>
          <w:rFonts w:asciiTheme="majorHAnsi" w:hAnsiTheme="majorHAnsi"/>
          <w:sz w:val="20"/>
          <w:szCs w:val="20"/>
          <w:lang w:eastAsia="fr-FR"/>
        </w:rPr>
      </w:pPr>
    </w:p>
    <w:p w14:paraId="0BBC36AD" w14:textId="77777777" w:rsidR="008B22FC" w:rsidRPr="00A608EE" w:rsidRDefault="008B22FC" w:rsidP="00EE208A">
      <w:pPr>
        <w:jc w:val="both"/>
        <w:textAlignment w:val="baseline"/>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4E8A3A5A" w14:textId="77777777" w:rsidR="008B22FC" w:rsidRPr="00A608EE" w:rsidRDefault="008B22FC" w:rsidP="00A27AAA">
      <w:pPr>
        <w:numPr>
          <w:ilvl w:val="0"/>
          <w:numId w:val="102"/>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Score “yes” the provider had an external SPI audit or a social rating within the last three years.</w:t>
      </w:r>
    </w:p>
    <w:p w14:paraId="27ED6EAE" w14:textId="77777777" w:rsidR="008B22FC" w:rsidRPr="00A608EE" w:rsidRDefault="008B22FC" w:rsidP="00A27AAA">
      <w:pPr>
        <w:numPr>
          <w:ilvl w:val="0"/>
          <w:numId w:val="102"/>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Score “partially” if the provider had an external SPI audit or a social rating or a client protection certification, but the most recent one occurred more than three years ago, but no longer than five years. Score “partially” if the provider has conducted a self-assessed SPI audit or an external client protection assessment within the last three years.</w:t>
      </w:r>
    </w:p>
    <w:p w14:paraId="5ABBD6D6" w14:textId="77777777" w:rsidR="008B22FC" w:rsidRPr="00A608EE" w:rsidRDefault="008B22FC" w:rsidP="00A27AAA">
      <w:pPr>
        <w:numPr>
          <w:ilvl w:val="0"/>
          <w:numId w:val="102"/>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Score “no” if the provider had never an external SPI audit or a social rating or an external client protection assessment during the last five years.</w:t>
      </w:r>
    </w:p>
    <w:p w14:paraId="1753957C" w14:textId="77777777" w:rsidR="008B22FC" w:rsidRPr="00A608EE" w:rsidRDefault="008B22FC" w:rsidP="00EE208A">
      <w:pPr>
        <w:jc w:val="both"/>
        <w:textAlignment w:val="baseline"/>
        <w:rPr>
          <w:rFonts w:asciiTheme="majorHAnsi" w:hAnsiTheme="majorHAnsi"/>
          <w:b/>
          <w:bCs/>
          <w:sz w:val="20"/>
          <w:szCs w:val="20"/>
          <w:lang w:eastAsia="fr-FR"/>
        </w:rPr>
      </w:pPr>
    </w:p>
    <w:p w14:paraId="732DB079" w14:textId="5066EB09" w:rsidR="008B22FC" w:rsidRPr="00A608EE" w:rsidRDefault="008B22FC" w:rsidP="00EE208A">
      <w:pPr>
        <w:jc w:val="both"/>
        <w:textAlignment w:val="baseline"/>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r w:rsidRPr="00A608EE">
        <w:rPr>
          <w:b/>
          <w:bCs/>
          <w:sz w:val="20"/>
          <w:szCs w:val="20"/>
          <w:lang w:eastAsia="fr-FR"/>
        </w:rPr>
        <w:t> </w:t>
      </w:r>
    </w:p>
    <w:p w14:paraId="3AD7FEE7" w14:textId="77777777" w:rsidR="008B22FC" w:rsidRPr="00A608EE" w:rsidRDefault="008B22FC" w:rsidP="00A27AAA">
      <w:pPr>
        <w:numPr>
          <w:ilvl w:val="0"/>
          <w:numId w:val="103"/>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CERISE SPI database</w:t>
      </w:r>
    </w:p>
    <w:p w14:paraId="0B5AC1F5" w14:textId="77777777" w:rsidR="008B22FC" w:rsidRPr="00A608EE" w:rsidRDefault="008B22FC" w:rsidP="00A27AAA">
      <w:pPr>
        <w:numPr>
          <w:ilvl w:val="0"/>
          <w:numId w:val="103"/>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Raters websites</w:t>
      </w:r>
    </w:p>
    <w:p w14:paraId="33CF85E8" w14:textId="77777777" w:rsidR="008B22FC" w:rsidRPr="00A608EE" w:rsidRDefault="008B22FC" w:rsidP="00A27AAA">
      <w:pPr>
        <w:numPr>
          <w:ilvl w:val="0"/>
          <w:numId w:val="103"/>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Cerise+SPTF client protection website section (for certification and CP assessment)</w:t>
      </w:r>
    </w:p>
    <w:p w14:paraId="3B50EE12" w14:textId="77777777" w:rsidR="008B22FC" w:rsidRPr="00A608EE" w:rsidRDefault="008B22FC" w:rsidP="00A27AAA">
      <w:pPr>
        <w:numPr>
          <w:ilvl w:val="0"/>
          <w:numId w:val="103"/>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Provider’s website</w:t>
      </w:r>
    </w:p>
    <w:p w14:paraId="2ACA0BBF" w14:textId="77777777" w:rsidR="008B22FC" w:rsidRPr="00A608EE" w:rsidRDefault="008B22FC" w:rsidP="00A27AAA">
      <w:pPr>
        <w:numPr>
          <w:ilvl w:val="0"/>
          <w:numId w:val="103"/>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check with the provider if they conducted an audit, rating, CP assessment or certification</w:t>
      </w:r>
    </w:p>
    <w:p w14:paraId="4A958DF0" w14:textId="77777777" w:rsidR="008B22FC" w:rsidRPr="00A608EE" w:rsidRDefault="008B22FC" w:rsidP="00EE208A">
      <w:pPr>
        <w:jc w:val="both"/>
        <w:textAlignment w:val="baseline"/>
        <w:rPr>
          <w:rFonts w:asciiTheme="majorHAnsi" w:hAnsiTheme="majorHAnsi"/>
          <w:b/>
          <w:bCs/>
          <w:szCs w:val="20"/>
          <w:lang w:eastAsia="fr-FR"/>
        </w:rPr>
      </w:pPr>
    </w:p>
    <w:p w14:paraId="243164BF" w14:textId="7C9A6805" w:rsidR="008B22FC" w:rsidRPr="00A608EE" w:rsidRDefault="008B22FC" w:rsidP="00EE208A">
      <w:pPr>
        <w:jc w:val="both"/>
        <w:textAlignment w:val="baseline"/>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15F2BC5F" w14:textId="77777777" w:rsidR="008B22FC" w:rsidRPr="00A608EE" w:rsidRDefault="008B22FC" w:rsidP="00EE208A">
      <w:p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Share the links or references to any SPI social audits, social ratings, client protection assessments or certification conducted in the last 5 years.</w:t>
      </w:r>
    </w:p>
    <w:p w14:paraId="672376E7" w14:textId="77777777" w:rsidR="008B22FC" w:rsidRPr="00A608EE" w:rsidRDefault="008B22FC" w:rsidP="00EE208A">
      <w:pPr>
        <w:jc w:val="both"/>
        <w:textAlignment w:val="baseline"/>
        <w:rPr>
          <w:rFonts w:asciiTheme="majorHAnsi" w:hAnsiTheme="majorHAnsi"/>
          <w:sz w:val="20"/>
          <w:szCs w:val="20"/>
          <w:lang w:eastAsia="fr-FR"/>
        </w:rPr>
      </w:pPr>
    </w:p>
    <w:p w14:paraId="1C3138D8" w14:textId="66730F6B" w:rsidR="008B22FC" w:rsidRPr="00A608EE" w:rsidRDefault="008B22FC" w:rsidP="00EE208A">
      <w:pPr>
        <w:jc w:val="both"/>
        <w:textAlignment w:val="baseline"/>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1.B.3.1</w:t>
      </w:r>
    </w:p>
    <w:p w14:paraId="275E7004" w14:textId="77777777" w:rsidR="008B22FC" w:rsidRPr="00A608EE" w:rsidRDefault="008B22FC" w:rsidP="00A27AAA">
      <w:pPr>
        <w:numPr>
          <w:ilvl w:val="0"/>
          <w:numId w:val="104"/>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SPI technical website</w:t>
      </w:r>
    </w:p>
    <w:p w14:paraId="6CFC101C" w14:textId="77777777" w:rsidR="008B22FC" w:rsidRPr="00A608EE" w:rsidRDefault="008B22FC" w:rsidP="00A27AAA">
      <w:pPr>
        <w:numPr>
          <w:ilvl w:val="0"/>
          <w:numId w:val="104"/>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SPI audit guide</w:t>
      </w:r>
    </w:p>
    <w:p w14:paraId="1D02E707" w14:textId="77777777" w:rsidR="008B22FC" w:rsidRPr="00A608EE" w:rsidRDefault="008B22FC" w:rsidP="00A27AAA">
      <w:pPr>
        <w:numPr>
          <w:ilvl w:val="0"/>
          <w:numId w:val="104"/>
        </w:numPr>
        <w:jc w:val="both"/>
        <w:textAlignment w:val="baseline"/>
        <w:rPr>
          <w:rFonts w:asciiTheme="majorHAnsi" w:hAnsiTheme="majorHAnsi"/>
          <w:sz w:val="20"/>
          <w:szCs w:val="20"/>
          <w:lang w:eastAsia="fr-FR"/>
        </w:rPr>
      </w:pPr>
      <w:r w:rsidRPr="00A608EE">
        <w:rPr>
          <w:rFonts w:asciiTheme="majorHAnsi" w:hAnsiTheme="majorHAnsi"/>
          <w:sz w:val="20"/>
          <w:szCs w:val="20"/>
          <w:lang w:eastAsia="fr-FR"/>
        </w:rPr>
        <w:t>SPI online training videos</w:t>
      </w:r>
    </w:p>
    <w:p w14:paraId="3B7D7456" w14:textId="77777777" w:rsidR="008B22FC" w:rsidRPr="00A608EE" w:rsidRDefault="008B22FC" w:rsidP="00EE208A">
      <w:pPr>
        <w:jc w:val="both"/>
        <w:textAlignment w:val="baseline"/>
        <w:rPr>
          <w:rFonts w:asciiTheme="majorHAnsi" w:hAnsiTheme="majorHAnsi"/>
          <w:szCs w:val="20"/>
          <w:lang w:eastAsia="fr-FR"/>
        </w:rPr>
      </w:pPr>
    </w:p>
    <w:p w14:paraId="349CF83F" w14:textId="1C422E7A" w:rsidR="00630C6A" w:rsidRPr="00A608EE" w:rsidRDefault="00373BC3" w:rsidP="00EE208A">
      <w:pPr>
        <w:pStyle w:val="Heading4"/>
        <w:spacing w:before="0" w:line="240" w:lineRule="auto"/>
        <w:jc w:val="both"/>
      </w:pPr>
      <w:r w:rsidRPr="00A608EE">
        <w:rPr>
          <w:rStyle w:val="normaltextrun"/>
        </w:rPr>
        <w:t xml:space="preserve">1.B.3.2 </w:t>
      </w:r>
      <w:r w:rsidR="008B22FC" w:rsidRPr="00A608EE">
        <w:rPr>
          <w:rStyle w:val="normaltextrun"/>
        </w:rPr>
        <w:t>The provider publishes a report that includes social performance data. Minimum frequency: annually</w:t>
      </w:r>
      <w:r w:rsidR="00B72D16" w:rsidRPr="00A608EE">
        <w:rPr>
          <w:rStyle w:val="normaltextrun"/>
        </w:rPr>
        <w:t>.</w:t>
      </w:r>
    </w:p>
    <w:p w14:paraId="1A0E4E2E" w14:textId="77777777" w:rsidR="0023412D" w:rsidRPr="00A608EE" w:rsidRDefault="0023412D" w:rsidP="00EE208A">
      <w:pPr>
        <w:jc w:val="both"/>
        <w:textAlignment w:val="baseline"/>
        <w:rPr>
          <w:rFonts w:asciiTheme="majorHAnsi" w:hAnsiTheme="majorHAnsi"/>
          <w:szCs w:val="20"/>
          <w:lang w:eastAsia="fr-FR"/>
        </w:rPr>
      </w:pPr>
    </w:p>
    <w:p w14:paraId="48FB4571" w14:textId="029ED279" w:rsidR="0074041B" w:rsidRPr="00A608EE" w:rsidRDefault="004921CE" w:rsidP="00EE208A">
      <w:pPr>
        <w:pStyle w:val="paragraph"/>
        <w:spacing w:before="0" w:beforeAutospacing="0" w:after="0" w:afterAutospacing="0"/>
        <w:ind w:right="690"/>
        <w:jc w:val="both"/>
        <w:rPr>
          <w:rFonts w:ascii="Work Sans" w:hAnsi="Work Sans"/>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4F5FC3" w:rsidRPr="00A608EE">
        <w:rPr>
          <w:rFonts w:asciiTheme="majorHAnsi" w:hAnsiTheme="majorHAnsi"/>
          <w:b/>
          <w:bCs/>
          <w:color w:val="2145CC" w:themeColor="accent5" w:themeShade="BF"/>
          <w:sz w:val="20"/>
          <w:szCs w:val="20"/>
        </w:rPr>
        <w:t xml:space="preserve">Indicator in </w:t>
      </w:r>
      <w:r w:rsidR="0074041B"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74041B"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6B862898" w14:textId="77777777" w:rsidR="004A1E7D" w:rsidRPr="00A608EE" w:rsidRDefault="004A1E7D" w:rsidP="00EE208A">
      <w:pPr>
        <w:pStyle w:val="paragraph"/>
        <w:spacing w:before="0" w:beforeAutospacing="0" w:after="0" w:afterAutospacing="0"/>
        <w:ind w:right="690"/>
        <w:jc w:val="both"/>
        <w:rPr>
          <w:rFonts w:asciiTheme="majorHAnsi" w:hAnsiTheme="majorHAnsi"/>
          <w:b/>
          <w:bCs/>
          <w:color w:val="2145CC" w:themeColor="accent5" w:themeShade="BF"/>
          <w:sz w:val="20"/>
          <w:szCs w:val="20"/>
        </w:rPr>
      </w:pPr>
    </w:p>
    <w:p w14:paraId="13BC3B76" w14:textId="57011DB5" w:rsidR="00490988" w:rsidRPr="00A608EE" w:rsidRDefault="008B22FC" w:rsidP="004A1E7D">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lastRenderedPageBreak/>
        <w:t>Reporting makes the provider accountable to its social goals, both internally and externally. It also shows the provider transparency to report on and willingness to allow its social performance to influence its public reputation. Refer to 7.A.2.2 regarding the internal and external reporting on the provider’s environmental performance.</w:t>
      </w:r>
    </w:p>
    <w:p w14:paraId="014F1D0E" w14:textId="6615404B" w:rsidR="00672763" w:rsidRPr="00A608EE" w:rsidRDefault="00672763" w:rsidP="004A1E7D">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noProof/>
          <w:sz w:val="20"/>
          <w:szCs w:val="20"/>
        </w:rPr>
        <w:drawing>
          <wp:anchor distT="0" distB="0" distL="114300" distR="114300" simplePos="0" relativeHeight="251803648" behindDoc="1" locked="0" layoutInCell="1" allowOverlap="1" wp14:anchorId="46D548B3" wp14:editId="593D0445">
            <wp:simplePos x="0" y="0"/>
            <wp:positionH relativeFrom="margin">
              <wp:align>left</wp:align>
            </wp:positionH>
            <wp:positionV relativeFrom="paragraph">
              <wp:posOffset>170815</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164419442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6F87C674" w14:textId="196C2D5E"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1EEC6FBF" w14:textId="77777777" w:rsidR="00672763" w:rsidRPr="00A608EE" w:rsidRDefault="00672763" w:rsidP="004A1E7D">
      <w:pPr>
        <w:pStyle w:val="paragraph"/>
        <w:spacing w:before="120" w:beforeAutospacing="0" w:after="120" w:afterAutospacing="0"/>
        <w:jc w:val="both"/>
        <w:textAlignment w:val="baseline"/>
        <w:rPr>
          <w:rFonts w:asciiTheme="majorHAnsi" w:hAnsiTheme="majorHAnsi"/>
          <w:sz w:val="20"/>
          <w:szCs w:val="20"/>
        </w:rPr>
      </w:pPr>
    </w:p>
    <w:p w14:paraId="76086C1C" w14:textId="1AD6EEF2" w:rsidR="00490988" w:rsidRPr="00A608EE" w:rsidRDefault="004876A2" w:rsidP="00490988">
      <w:pPr>
        <w:pStyle w:val="paragraph"/>
        <w:spacing w:before="0" w:beforeAutospacing="0" w:after="0" w:afterAutospacing="0"/>
        <w:ind w:right="69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7D3481" w:rsidRPr="00A608EE">
        <w:rPr>
          <w:noProof/>
        </w:rPr>
        <mc:AlternateContent>
          <mc:Choice Requires="wps">
            <w:drawing>
              <wp:anchor distT="0" distB="0" distL="114300" distR="114300" simplePos="0" relativeHeight="251673600" behindDoc="0" locked="0" layoutInCell="1" allowOverlap="1" wp14:anchorId="7AE5088A" wp14:editId="6B3623C1">
                <wp:simplePos x="0" y="0"/>
                <wp:positionH relativeFrom="margin">
                  <wp:align>left</wp:align>
                </wp:positionH>
                <wp:positionV relativeFrom="paragraph">
                  <wp:posOffset>445135</wp:posOffset>
                </wp:positionV>
                <wp:extent cx="1828800" cy="1701800"/>
                <wp:effectExtent l="0" t="0" r="24130" b="12700"/>
                <wp:wrapSquare wrapText="bothSides"/>
                <wp:docPr id="43876818" name="Cuadro de texto 1"/>
                <wp:cNvGraphicFramePr/>
                <a:graphic xmlns:a="http://schemas.openxmlformats.org/drawingml/2006/main">
                  <a:graphicData uri="http://schemas.microsoft.com/office/word/2010/wordprocessingShape">
                    <wps:wsp>
                      <wps:cNvSpPr txBox="1"/>
                      <wps:spPr>
                        <a:xfrm>
                          <a:off x="0" y="0"/>
                          <a:ext cx="1828800" cy="1701800"/>
                        </a:xfrm>
                        <a:prstGeom prst="rect">
                          <a:avLst/>
                        </a:prstGeom>
                        <a:noFill/>
                        <a:ln w="6350">
                          <a:solidFill>
                            <a:prstClr val="black"/>
                          </a:solidFill>
                        </a:ln>
                      </wps:spPr>
                      <wps:txbx>
                        <w:txbxContent>
                          <w:p w14:paraId="7E4A8A02" w14:textId="12F41EF2" w:rsidR="007D3481" w:rsidRPr="00820B09" w:rsidRDefault="00B53772" w:rsidP="007D3481">
                            <w:pPr>
                              <w:pStyle w:val="paragraph"/>
                              <w:spacing w:after="0"/>
                              <w:ind w:right="69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7D3481" w:rsidRPr="00820B09">
                              <w:rPr>
                                <w:rFonts w:asciiTheme="majorHAnsi" w:hAnsiTheme="majorHAnsi"/>
                                <w:b/>
                                <w:bCs/>
                                <w:sz w:val="20"/>
                                <w:szCs w:val="20"/>
                              </w:rPr>
                              <w:t>1.B.3.2</w:t>
                            </w:r>
                          </w:p>
                          <w:p w14:paraId="43DE1DFE" w14:textId="7DF2D3D2" w:rsidR="007D3481" w:rsidRPr="00820B09" w:rsidRDefault="007D3481" w:rsidP="007D3481">
                            <w:pPr>
                              <w:pStyle w:val="paragraph"/>
                              <w:spacing w:after="0"/>
                              <w:ind w:right="690"/>
                              <w:jc w:val="both"/>
                              <w:rPr>
                                <w:rFonts w:asciiTheme="majorHAnsi" w:hAnsiTheme="majorHAnsi"/>
                                <w:sz w:val="20"/>
                                <w:szCs w:val="20"/>
                              </w:rPr>
                            </w:pPr>
                            <w:r w:rsidRPr="00820B09">
                              <w:rPr>
                                <w:rFonts w:asciiTheme="majorHAnsi" w:hAnsiTheme="majorHAnsi"/>
                                <w:sz w:val="20"/>
                                <w:szCs w:val="20"/>
                              </w:rPr>
                              <w:t xml:space="preserve">At </w:t>
                            </w:r>
                            <w:r w:rsidR="00591218" w:rsidRPr="00820B09">
                              <w:rPr>
                                <w:rFonts w:asciiTheme="majorHAnsi" w:hAnsiTheme="majorHAnsi"/>
                                <w:sz w:val="20"/>
                                <w:szCs w:val="20"/>
                              </w:rPr>
                              <w:t>a</w:t>
                            </w:r>
                            <w:r w:rsidRPr="00820B09">
                              <w:rPr>
                                <w:rFonts w:asciiTheme="majorHAnsi" w:hAnsiTheme="majorHAnsi"/>
                                <w:sz w:val="20"/>
                                <w:szCs w:val="20"/>
                              </w:rPr>
                              <w:t xml:space="preserve"> minimum, </w:t>
                            </w:r>
                            <w:r w:rsidR="00792734" w:rsidRPr="00820B09">
                              <w:rPr>
                                <w:rFonts w:asciiTheme="majorHAnsi" w:hAnsiTheme="majorHAnsi"/>
                                <w:sz w:val="20"/>
                                <w:szCs w:val="20"/>
                              </w:rPr>
                              <w:t>t</w:t>
                            </w:r>
                            <w:r w:rsidR="00591218" w:rsidRPr="00820B09">
                              <w:rPr>
                                <w:rFonts w:asciiTheme="majorHAnsi" w:hAnsiTheme="majorHAnsi"/>
                                <w:sz w:val="20"/>
                                <w:szCs w:val="20"/>
                              </w:rPr>
                              <w:t xml:space="preserve">he </w:t>
                            </w:r>
                            <w:r w:rsidR="00792734" w:rsidRPr="00820B09">
                              <w:rPr>
                                <w:rFonts w:asciiTheme="majorHAnsi" w:hAnsiTheme="majorHAnsi"/>
                                <w:sz w:val="20"/>
                                <w:szCs w:val="20"/>
                              </w:rPr>
                              <w:t xml:space="preserve">provider </w:t>
                            </w:r>
                            <w:r w:rsidR="00591218" w:rsidRPr="00820B09">
                              <w:rPr>
                                <w:rFonts w:asciiTheme="majorHAnsi" w:hAnsiTheme="majorHAnsi"/>
                                <w:sz w:val="20"/>
                                <w:szCs w:val="20"/>
                              </w:rPr>
                              <w:t xml:space="preserve">should aim </w:t>
                            </w:r>
                            <w:r w:rsidRPr="00820B09">
                              <w:rPr>
                                <w:rFonts w:asciiTheme="majorHAnsi" w:hAnsiTheme="majorHAnsi"/>
                                <w:sz w:val="20"/>
                                <w:szCs w:val="20"/>
                              </w:rPr>
                              <w:t xml:space="preserve">to report on </w:t>
                            </w:r>
                            <w:r w:rsidR="00792734" w:rsidRPr="00820B09">
                              <w:rPr>
                                <w:rFonts w:asciiTheme="majorHAnsi" w:hAnsiTheme="majorHAnsi"/>
                                <w:sz w:val="20"/>
                                <w:szCs w:val="20"/>
                              </w:rPr>
                              <w:t xml:space="preserve">the </w:t>
                            </w:r>
                            <w:r w:rsidRPr="00820B09">
                              <w:rPr>
                                <w:rFonts w:asciiTheme="majorHAnsi" w:hAnsiTheme="majorHAnsi"/>
                                <w:sz w:val="20"/>
                                <w:szCs w:val="20"/>
                              </w:rPr>
                              <w:t>number / proportion of active client</w:t>
                            </w:r>
                            <w:r w:rsidR="00792734" w:rsidRPr="00820B09">
                              <w:rPr>
                                <w:rFonts w:asciiTheme="majorHAnsi" w:hAnsiTheme="majorHAnsi"/>
                                <w:sz w:val="20"/>
                                <w:szCs w:val="20"/>
                              </w:rPr>
                              <w:t>s with disabilities in its client base, and the</w:t>
                            </w:r>
                            <w:r w:rsidRPr="00820B09">
                              <w:rPr>
                                <w:rFonts w:asciiTheme="majorHAnsi" w:hAnsiTheme="majorHAnsi"/>
                                <w:sz w:val="20"/>
                                <w:szCs w:val="20"/>
                              </w:rPr>
                              <w:t xml:space="preserve"> number </w:t>
                            </w:r>
                            <w:r w:rsidR="00792734" w:rsidRPr="00820B09">
                              <w:rPr>
                                <w:rFonts w:asciiTheme="majorHAnsi" w:hAnsiTheme="majorHAnsi"/>
                                <w:sz w:val="20"/>
                                <w:szCs w:val="20"/>
                              </w:rPr>
                              <w:t>/ proportion of employees with disabilities</w:t>
                            </w:r>
                            <w:r w:rsidR="00591218" w:rsidRPr="00820B09">
                              <w:rPr>
                                <w:rFonts w:asciiTheme="majorHAnsi" w:hAnsiTheme="majorHAnsi"/>
                                <w:sz w:val="20"/>
                                <w:szCs w:val="20"/>
                              </w:rPr>
                              <w:t>.</w:t>
                            </w:r>
                          </w:p>
                          <w:p w14:paraId="1039B26D" w14:textId="172C51FF" w:rsidR="007D3481" w:rsidRPr="00820B09" w:rsidRDefault="00792734" w:rsidP="00792734">
                            <w:pPr>
                              <w:pStyle w:val="paragraph"/>
                              <w:spacing w:after="0"/>
                              <w:ind w:right="690"/>
                              <w:jc w:val="both"/>
                              <w:rPr>
                                <w:rFonts w:asciiTheme="majorHAnsi" w:hAnsiTheme="majorHAnsi"/>
                                <w:sz w:val="20"/>
                                <w:szCs w:val="20"/>
                              </w:rPr>
                            </w:pPr>
                            <w:r w:rsidRPr="00820B09">
                              <w:rPr>
                                <w:rFonts w:asciiTheme="majorHAnsi" w:hAnsiTheme="majorHAnsi"/>
                                <w:sz w:val="20"/>
                                <w:szCs w:val="20"/>
                              </w:rPr>
                              <w:t>Social performance reporting should a</w:t>
                            </w:r>
                            <w:r w:rsidR="007D3481" w:rsidRPr="00820B09">
                              <w:rPr>
                                <w:rFonts w:asciiTheme="majorHAnsi" w:hAnsiTheme="majorHAnsi"/>
                                <w:sz w:val="20"/>
                                <w:szCs w:val="20"/>
                              </w:rPr>
                              <w:t>lso include</w:t>
                            </w:r>
                            <w:r w:rsidRPr="00820B09">
                              <w:rPr>
                                <w:rFonts w:asciiTheme="majorHAnsi" w:hAnsiTheme="majorHAnsi"/>
                                <w:sz w:val="20"/>
                                <w:szCs w:val="20"/>
                              </w:rPr>
                              <w:t xml:space="preserve"> information about p</w:t>
                            </w:r>
                            <w:r w:rsidR="007D3481" w:rsidRPr="00820B09">
                              <w:rPr>
                                <w:rFonts w:asciiTheme="majorHAnsi" w:hAnsiTheme="majorHAnsi"/>
                                <w:sz w:val="20"/>
                                <w:szCs w:val="20"/>
                              </w:rPr>
                              <w:t>erformance on social goals related to disability inclusion</w:t>
                            </w:r>
                            <w:r w:rsidRPr="00820B09">
                              <w:rPr>
                                <w:rFonts w:asciiTheme="majorHAnsi" w:hAnsiTheme="majorHAnsi"/>
                                <w:sz w:val="20"/>
                                <w:szCs w:val="20"/>
                              </w:rPr>
                              <w:t>, and m</w:t>
                            </w:r>
                            <w:r w:rsidR="007D3481" w:rsidRPr="00820B09">
                              <w:rPr>
                                <w:rFonts w:asciiTheme="majorHAnsi" w:hAnsiTheme="majorHAnsi"/>
                                <w:sz w:val="20"/>
                                <w:szCs w:val="20"/>
                              </w:rPr>
                              <w:t>easures taken to ensure non-discrimination, increase accessibility and reduce barriers to access</w:t>
                            </w:r>
                            <w:r w:rsidRPr="00820B09">
                              <w:rPr>
                                <w:rFonts w:asciiTheme="majorHAnsi" w:hAnsiTheme="majorHAnsi"/>
                                <w:sz w:val="20"/>
                                <w:szCs w:val="2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E5088A" id="_x0000_s1033" type="#_x0000_t202" style="position:absolute;left:0;text-align:left;margin-left:0;margin-top:35.05pt;width:2in;height:134pt;z-index:251673600;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" filled="f" strokeweight=".5pt">
                <v:textbox>
                  <w:txbxContent>
                    <w:p w14:paraId="7E4A8A02" w14:textId="12F41EF2" w:rsidR="007D3481" w:rsidRPr="00820B09" w:rsidRDefault="00B53772" w:rsidP="007D3481">
                      <w:pPr>
                        <w:pStyle w:val="paragraph"/>
                        <w:spacing w:after="0"/>
                        <w:ind w:right="69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7D3481" w:rsidRPr="00820B09">
                        <w:rPr>
                          <w:rFonts w:asciiTheme="majorHAnsi" w:hAnsiTheme="majorHAnsi"/>
                          <w:b/>
                          <w:bCs/>
                          <w:sz w:val="20"/>
                          <w:szCs w:val="20"/>
                        </w:rPr>
                        <w:t>1.B.3.2</w:t>
                      </w:r>
                    </w:p>
                    <w:p w14:paraId="43DE1DFE" w14:textId="7DF2D3D2" w:rsidR="007D3481" w:rsidRPr="00820B09" w:rsidRDefault="007D3481" w:rsidP="007D3481">
                      <w:pPr>
                        <w:pStyle w:val="paragraph"/>
                        <w:spacing w:after="0"/>
                        <w:ind w:right="690"/>
                        <w:jc w:val="both"/>
                        <w:rPr>
                          <w:rFonts w:asciiTheme="majorHAnsi" w:hAnsiTheme="majorHAnsi"/>
                          <w:sz w:val="20"/>
                          <w:szCs w:val="20"/>
                        </w:rPr>
                      </w:pPr>
                      <w:r w:rsidRPr="00820B09">
                        <w:rPr>
                          <w:rFonts w:asciiTheme="majorHAnsi" w:hAnsiTheme="majorHAnsi"/>
                          <w:sz w:val="20"/>
                          <w:szCs w:val="20"/>
                        </w:rPr>
                        <w:t xml:space="preserve">At </w:t>
                      </w:r>
                      <w:r w:rsidR="00591218" w:rsidRPr="00820B09">
                        <w:rPr>
                          <w:rFonts w:asciiTheme="majorHAnsi" w:hAnsiTheme="majorHAnsi"/>
                          <w:sz w:val="20"/>
                          <w:szCs w:val="20"/>
                        </w:rPr>
                        <w:t>a</w:t>
                      </w:r>
                      <w:r w:rsidRPr="00820B09">
                        <w:rPr>
                          <w:rFonts w:asciiTheme="majorHAnsi" w:hAnsiTheme="majorHAnsi"/>
                          <w:sz w:val="20"/>
                          <w:szCs w:val="20"/>
                        </w:rPr>
                        <w:t xml:space="preserve"> minimum, </w:t>
                      </w:r>
                      <w:r w:rsidR="00792734" w:rsidRPr="00820B09">
                        <w:rPr>
                          <w:rFonts w:asciiTheme="majorHAnsi" w:hAnsiTheme="majorHAnsi"/>
                          <w:sz w:val="20"/>
                          <w:szCs w:val="20"/>
                        </w:rPr>
                        <w:t>t</w:t>
                      </w:r>
                      <w:r w:rsidR="00591218" w:rsidRPr="00820B09">
                        <w:rPr>
                          <w:rFonts w:asciiTheme="majorHAnsi" w:hAnsiTheme="majorHAnsi"/>
                          <w:sz w:val="20"/>
                          <w:szCs w:val="20"/>
                        </w:rPr>
                        <w:t xml:space="preserve">he </w:t>
                      </w:r>
                      <w:r w:rsidR="00792734" w:rsidRPr="00820B09">
                        <w:rPr>
                          <w:rFonts w:asciiTheme="majorHAnsi" w:hAnsiTheme="majorHAnsi"/>
                          <w:sz w:val="20"/>
                          <w:szCs w:val="20"/>
                        </w:rPr>
                        <w:t xml:space="preserve">provider </w:t>
                      </w:r>
                      <w:r w:rsidR="00591218" w:rsidRPr="00820B09">
                        <w:rPr>
                          <w:rFonts w:asciiTheme="majorHAnsi" w:hAnsiTheme="majorHAnsi"/>
                          <w:sz w:val="20"/>
                          <w:szCs w:val="20"/>
                        </w:rPr>
                        <w:t xml:space="preserve">should aim </w:t>
                      </w:r>
                      <w:r w:rsidRPr="00820B09">
                        <w:rPr>
                          <w:rFonts w:asciiTheme="majorHAnsi" w:hAnsiTheme="majorHAnsi"/>
                          <w:sz w:val="20"/>
                          <w:szCs w:val="20"/>
                        </w:rPr>
                        <w:t xml:space="preserve">to report on </w:t>
                      </w:r>
                      <w:r w:rsidR="00792734" w:rsidRPr="00820B09">
                        <w:rPr>
                          <w:rFonts w:asciiTheme="majorHAnsi" w:hAnsiTheme="majorHAnsi"/>
                          <w:sz w:val="20"/>
                          <w:szCs w:val="20"/>
                        </w:rPr>
                        <w:t xml:space="preserve">the </w:t>
                      </w:r>
                      <w:r w:rsidRPr="00820B09">
                        <w:rPr>
                          <w:rFonts w:asciiTheme="majorHAnsi" w:hAnsiTheme="majorHAnsi"/>
                          <w:sz w:val="20"/>
                          <w:szCs w:val="20"/>
                        </w:rPr>
                        <w:t>number / proportion of active client</w:t>
                      </w:r>
                      <w:r w:rsidR="00792734" w:rsidRPr="00820B09">
                        <w:rPr>
                          <w:rFonts w:asciiTheme="majorHAnsi" w:hAnsiTheme="majorHAnsi"/>
                          <w:sz w:val="20"/>
                          <w:szCs w:val="20"/>
                        </w:rPr>
                        <w:t>s with disabilities in its client base, and the</w:t>
                      </w:r>
                      <w:r w:rsidRPr="00820B09">
                        <w:rPr>
                          <w:rFonts w:asciiTheme="majorHAnsi" w:hAnsiTheme="majorHAnsi"/>
                          <w:sz w:val="20"/>
                          <w:szCs w:val="20"/>
                        </w:rPr>
                        <w:t xml:space="preserve"> number </w:t>
                      </w:r>
                      <w:r w:rsidR="00792734" w:rsidRPr="00820B09">
                        <w:rPr>
                          <w:rFonts w:asciiTheme="majorHAnsi" w:hAnsiTheme="majorHAnsi"/>
                          <w:sz w:val="20"/>
                          <w:szCs w:val="20"/>
                        </w:rPr>
                        <w:t>/ proportion of employees with disabilities</w:t>
                      </w:r>
                      <w:r w:rsidR="00591218" w:rsidRPr="00820B09">
                        <w:rPr>
                          <w:rFonts w:asciiTheme="majorHAnsi" w:hAnsiTheme="majorHAnsi"/>
                          <w:sz w:val="20"/>
                          <w:szCs w:val="20"/>
                        </w:rPr>
                        <w:t>.</w:t>
                      </w:r>
                    </w:p>
                    <w:p w14:paraId="1039B26D" w14:textId="172C51FF" w:rsidR="007D3481" w:rsidRPr="00820B09" w:rsidRDefault="00792734" w:rsidP="00792734">
                      <w:pPr>
                        <w:pStyle w:val="paragraph"/>
                        <w:spacing w:after="0"/>
                        <w:ind w:right="690"/>
                        <w:jc w:val="both"/>
                        <w:rPr>
                          <w:rFonts w:asciiTheme="majorHAnsi" w:hAnsiTheme="majorHAnsi"/>
                          <w:sz w:val="20"/>
                          <w:szCs w:val="20"/>
                        </w:rPr>
                      </w:pPr>
                      <w:r w:rsidRPr="00820B09">
                        <w:rPr>
                          <w:rFonts w:asciiTheme="majorHAnsi" w:hAnsiTheme="majorHAnsi"/>
                          <w:sz w:val="20"/>
                          <w:szCs w:val="20"/>
                        </w:rPr>
                        <w:t>Social performance reporting should a</w:t>
                      </w:r>
                      <w:r w:rsidR="007D3481" w:rsidRPr="00820B09">
                        <w:rPr>
                          <w:rFonts w:asciiTheme="majorHAnsi" w:hAnsiTheme="majorHAnsi"/>
                          <w:sz w:val="20"/>
                          <w:szCs w:val="20"/>
                        </w:rPr>
                        <w:t>lso include</w:t>
                      </w:r>
                      <w:r w:rsidRPr="00820B09">
                        <w:rPr>
                          <w:rFonts w:asciiTheme="majorHAnsi" w:hAnsiTheme="majorHAnsi"/>
                          <w:sz w:val="20"/>
                          <w:szCs w:val="20"/>
                        </w:rPr>
                        <w:t xml:space="preserve"> information about p</w:t>
                      </w:r>
                      <w:r w:rsidR="007D3481" w:rsidRPr="00820B09">
                        <w:rPr>
                          <w:rFonts w:asciiTheme="majorHAnsi" w:hAnsiTheme="majorHAnsi"/>
                          <w:sz w:val="20"/>
                          <w:szCs w:val="20"/>
                        </w:rPr>
                        <w:t>erformance on social goals related to disability inclusion</w:t>
                      </w:r>
                      <w:r w:rsidRPr="00820B09">
                        <w:rPr>
                          <w:rFonts w:asciiTheme="majorHAnsi" w:hAnsiTheme="majorHAnsi"/>
                          <w:sz w:val="20"/>
                          <w:szCs w:val="20"/>
                        </w:rPr>
                        <w:t>, and m</w:t>
                      </w:r>
                      <w:r w:rsidR="007D3481" w:rsidRPr="00820B09">
                        <w:rPr>
                          <w:rFonts w:asciiTheme="majorHAnsi" w:hAnsiTheme="majorHAnsi"/>
                          <w:sz w:val="20"/>
                          <w:szCs w:val="20"/>
                        </w:rPr>
                        <w:t>easures taken to ensure non-discrimination, increase accessibility and reduce barriers to access</w:t>
                      </w:r>
                      <w:r w:rsidRPr="00820B09">
                        <w:rPr>
                          <w:rFonts w:asciiTheme="majorHAnsi" w:hAnsiTheme="majorHAnsi"/>
                          <w:sz w:val="20"/>
                          <w:szCs w:val="20"/>
                        </w:rPr>
                        <w:t>.</w:t>
                      </w:r>
                    </w:p>
                  </w:txbxContent>
                </v:textbox>
                <w10:wrap type="square" anchorx="margin"/>
              </v:shape>
            </w:pict>
          </mc:Fallback>
        </mc:AlternateContent>
      </w:r>
      <w:r w:rsidR="00490988" w:rsidRPr="00A608EE">
        <w:rPr>
          <w:rFonts w:asciiTheme="majorHAnsi" w:hAnsiTheme="majorHAnsi"/>
          <w:sz w:val="20"/>
          <w:szCs w:val="20"/>
        </w:rPr>
        <w:t>The provider reports on disability inclusion within its published social performance reporting</w:t>
      </w:r>
    </w:p>
    <w:p w14:paraId="2763E045" w14:textId="735CF730"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p>
    <w:p w14:paraId="76149BB6" w14:textId="04395AFA"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r w:rsidRPr="00A608EE">
        <w:rPr>
          <w:rFonts w:asciiTheme="majorHAnsi" w:hAnsiTheme="majorHAnsi"/>
          <w:b/>
          <w:bCs/>
          <w:sz w:val="20"/>
          <w:szCs w:val="20"/>
        </w:rPr>
        <w:t>Scoring guidance</w:t>
      </w:r>
    </w:p>
    <w:p w14:paraId="0FA68CC8" w14:textId="77777777" w:rsidR="008B22FC" w:rsidRPr="00A608EE" w:rsidRDefault="008B22FC" w:rsidP="00A27AAA">
      <w:pPr>
        <w:pStyle w:val="paragraph"/>
        <w:numPr>
          <w:ilvl w:val="0"/>
          <w:numId w:val="105"/>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Score “yes” if the provider publishes its social performance data - as well as key findings and recommendations of external SPI audits and social ratings at least annually on its website, in an annual report, or in any other format.</w:t>
      </w:r>
    </w:p>
    <w:p w14:paraId="03738B48" w14:textId="77777777" w:rsidR="008B22FC" w:rsidRPr="00A608EE" w:rsidRDefault="008B22FC" w:rsidP="00A27AAA">
      <w:pPr>
        <w:pStyle w:val="paragraph"/>
        <w:numPr>
          <w:ilvl w:val="0"/>
          <w:numId w:val="105"/>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Score “partially” if the provider publishes very brief and incomplete information about its social performance, where “incomplete” means the information reported do not address all of the benefits to clients that the provider is trying to achieve, as stated in its strategy. Or if the report is not published annually but every 18 or 24 months. Or if the reports are not public, but can be provided to investors and other stakeholders on request.</w:t>
      </w:r>
    </w:p>
    <w:p w14:paraId="02B30C99" w14:textId="77777777" w:rsidR="008B22FC" w:rsidRPr="00A608EE" w:rsidRDefault="008B22FC" w:rsidP="00A27AAA">
      <w:pPr>
        <w:pStyle w:val="paragraph"/>
        <w:numPr>
          <w:ilvl w:val="0"/>
          <w:numId w:val="105"/>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Score “no” if the provider does not publish information about its social performance. Or if the last report is 3 years or older.</w:t>
      </w:r>
    </w:p>
    <w:p w14:paraId="587E66C4" w14:textId="77777777"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p>
    <w:p w14:paraId="29F6E8FB" w14:textId="0A1165E3"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r w:rsidRPr="00A608EE">
        <w:rPr>
          <w:rFonts w:asciiTheme="majorHAnsi" w:hAnsiTheme="majorHAnsi"/>
          <w:b/>
          <w:bCs/>
          <w:sz w:val="20"/>
          <w:szCs w:val="20"/>
        </w:rPr>
        <w:t>Sources of information</w:t>
      </w:r>
    </w:p>
    <w:p w14:paraId="00549CC9" w14:textId="77777777" w:rsidR="008B22FC" w:rsidRPr="00A608EE" w:rsidRDefault="008B22FC" w:rsidP="00A27AAA">
      <w:pPr>
        <w:pStyle w:val="paragraph"/>
        <w:numPr>
          <w:ilvl w:val="0"/>
          <w:numId w:val="106"/>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Website</w:t>
      </w:r>
    </w:p>
    <w:p w14:paraId="490F8CF5" w14:textId="77777777" w:rsidR="008B22FC" w:rsidRPr="00A608EE" w:rsidRDefault="008B22FC" w:rsidP="00A27AAA">
      <w:pPr>
        <w:pStyle w:val="paragraph"/>
        <w:numPr>
          <w:ilvl w:val="0"/>
          <w:numId w:val="106"/>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Social media channels</w:t>
      </w:r>
    </w:p>
    <w:p w14:paraId="749F66D9" w14:textId="77777777" w:rsidR="008B22FC" w:rsidRPr="00A608EE" w:rsidRDefault="008B22FC" w:rsidP="00A27AAA">
      <w:pPr>
        <w:pStyle w:val="paragraph"/>
        <w:numPr>
          <w:ilvl w:val="0"/>
          <w:numId w:val="106"/>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Annual report</w:t>
      </w:r>
    </w:p>
    <w:p w14:paraId="223984E0" w14:textId="77777777" w:rsidR="008B22FC" w:rsidRPr="00A608EE" w:rsidRDefault="008B22FC" w:rsidP="00A27AAA">
      <w:pPr>
        <w:pStyle w:val="paragraph"/>
        <w:numPr>
          <w:ilvl w:val="0"/>
          <w:numId w:val="106"/>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Social audit report</w:t>
      </w:r>
    </w:p>
    <w:p w14:paraId="13AB4A89" w14:textId="77777777" w:rsidR="008B22FC" w:rsidRPr="00A608EE" w:rsidRDefault="008B22FC" w:rsidP="00A27AAA">
      <w:pPr>
        <w:pStyle w:val="paragraph"/>
        <w:numPr>
          <w:ilvl w:val="0"/>
          <w:numId w:val="106"/>
        </w:numPr>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Social rating report</w:t>
      </w:r>
    </w:p>
    <w:p w14:paraId="11436846" w14:textId="77777777"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p>
    <w:p w14:paraId="2D573659" w14:textId="246351BC"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r w:rsidRPr="00A608EE">
        <w:rPr>
          <w:rFonts w:asciiTheme="majorHAnsi" w:hAnsiTheme="majorHAnsi"/>
          <w:b/>
          <w:bCs/>
          <w:sz w:val="20"/>
          <w:szCs w:val="20"/>
        </w:rPr>
        <w:t>Evidence to provide</w:t>
      </w:r>
      <w:r w:rsidRPr="00A608EE">
        <w:rPr>
          <w:b/>
          <w:bCs/>
          <w:sz w:val="20"/>
          <w:szCs w:val="20"/>
        </w:rPr>
        <w:t> </w:t>
      </w:r>
    </w:p>
    <w:p w14:paraId="05CCC03D" w14:textId="77777777" w:rsidR="008B22FC" w:rsidRPr="00A608EE" w:rsidRDefault="008B22FC" w:rsidP="00EE208A">
      <w:pPr>
        <w:pStyle w:val="paragraph"/>
        <w:spacing w:before="0" w:beforeAutospacing="0" w:after="0" w:afterAutospacing="0"/>
        <w:ind w:right="690"/>
        <w:jc w:val="both"/>
        <w:rPr>
          <w:rFonts w:asciiTheme="majorHAnsi" w:hAnsiTheme="majorHAnsi"/>
          <w:sz w:val="20"/>
          <w:szCs w:val="20"/>
        </w:rPr>
      </w:pPr>
      <w:r w:rsidRPr="00A608EE">
        <w:rPr>
          <w:rFonts w:asciiTheme="majorHAnsi" w:hAnsiTheme="majorHAnsi"/>
          <w:sz w:val="20"/>
          <w:szCs w:val="20"/>
        </w:rPr>
        <w:t>Look at all reports, both public (e.g., on the website and through social media channels) and private (e.g., external social audits or social ratings) that the provider can furnish to stakeholders upon request.</w:t>
      </w:r>
    </w:p>
    <w:p w14:paraId="5005D035" w14:textId="77777777"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p>
    <w:p w14:paraId="1AF797B7" w14:textId="62040A23" w:rsidR="008B22FC" w:rsidRPr="00A608EE" w:rsidRDefault="008B22FC" w:rsidP="00EE208A">
      <w:pPr>
        <w:pStyle w:val="paragraph"/>
        <w:spacing w:before="0" w:beforeAutospacing="0" w:after="0" w:afterAutospacing="0"/>
        <w:ind w:right="690"/>
        <w:jc w:val="both"/>
        <w:rPr>
          <w:rFonts w:asciiTheme="majorHAnsi" w:hAnsiTheme="majorHAnsi"/>
          <w:b/>
          <w:bCs/>
          <w:sz w:val="20"/>
          <w:szCs w:val="20"/>
        </w:rPr>
      </w:pPr>
      <w:bookmarkStart w:id="30" w:name="_Hlk204870261"/>
      <w:r w:rsidRPr="00A608EE">
        <w:rPr>
          <w:rFonts w:asciiTheme="majorHAnsi" w:hAnsiTheme="majorHAnsi"/>
          <w:b/>
          <w:bCs/>
          <w:sz w:val="20"/>
          <w:szCs w:val="20"/>
        </w:rPr>
        <w:t>Resources for indicator 1.B.3.2</w:t>
      </w:r>
    </w:p>
    <w:p w14:paraId="2783F9C2" w14:textId="77777777" w:rsidR="008B22FC" w:rsidRPr="00A608EE" w:rsidRDefault="008B22FC" w:rsidP="00A27AAA">
      <w:pPr>
        <w:pStyle w:val="paragraph"/>
        <w:numPr>
          <w:ilvl w:val="0"/>
          <w:numId w:val="107"/>
        </w:numPr>
        <w:spacing w:before="0" w:beforeAutospacing="0" w:after="0" w:afterAutospacing="0"/>
        <w:ind w:right="690"/>
        <w:jc w:val="both"/>
        <w:rPr>
          <w:rFonts w:asciiTheme="majorHAnsi" w:hAnsiTheme="majorHAnsi"/>
          <w:sz w:val="20"/>
          <w:szCs w:val="20"/>
        </w:rPr>
      </w:pPr>
      <w:hyperlink r:id="rId70" w:tgtFrame="_blank" w:history="1">
        <w:r w:rsidRPr="00A608EE">
          <w:rPr>
            <w:rStyle w:val="Hyperlink"/>
            <w:rFonts w:asciiTheme="majorHAnsi" w:hAnsiTheme="majorHAnsi"/>
            <w:sz w:val="20"/>
            <w:szCs w:val="20"/>
          </w:rPr>
          <w:t>Friendship Bridge Client Outcomes Report</w:t>
        </w:r>
      </w:hyperlink>
    </w:p>
    <w:p w14:paraId="0D115CC0" w14:textId="77777777" w:rsidR="008B22FC" w:rsidRPr="00A608EE" w:rsidRDefault="008B22FC" w:rsidP="00A27AAA">
      <w:pPr>
        <w:pStyle w:val="paragraph"/>
        <w:numPr>
          <w:ilvl w:val="0"/>
          <w:numId w:val="107"/>
        </w:numPr>
        <w:spacing w:before="0" w:beforeAutospacing="0" w:after="0" w:afterAutospacing="0"/>
        <w:ind w:right="690"/>
        <w:jc w:val="both"/>
        <w:rPr>
          <w:rFonts w:asciiTheme="majorHAnsi" w:hAnsiTheme="majorHAnsi"/>
          <w:sz w:val="20"/>
          <w:szCs w:val="20"/>
        </w:rPr>
      </w:pPr>
      <w:hyperlink r:id="rId71" w:tgtFrame="_blank" w:history="1">
        <w:r w:rsidRPr="00A608EE">
          <w:rPr>
            <w:rStyle w:val="Hyperlink"/>
            <w:rFonts w:asciiTheme="majorHAnsi" w:hAnsiTheme="majorHAnsi"/>
            <w:sz w:val="20"/>
            <w:szCs w:val="20"/>
          </w:rPr>
          <w:t>Demonstrating the Impact of Client-Centric Microfinance--Impact Report 2020 BRAC Microfinance</w:t>
        </w:r>
      </w:hyperlink>
    </w:p>
    <w:p w14:paraId="6E1FD9FC" w14:textId="77777777" w:rsidR="008B22FC" w:rsidRPr="00A608EE" w:rsidRDefault="008B22FC" w:rsidP="00A27AAA">
      <w:pPr>
        <w:pStyle w:val="paragraph"/>
        <w:numPr>
          <w:ilvl w:val="0"/>
          <w:numId w:val="107"/>
        </w:numPr>
        <w:spacing w:before="0" w:beforeAutospacing="0" w:after="0" w:afterAutospacing="0"/>
        <w:ind w:right="690"/>
        <w:jc w:val="both"/>
        <w:rPr>
          <w:rFonts w:asciiTheme="majorHAnsi" w:hAnsiTheme="majorHAnsi"/>
          <w:sz w:val="20"/>
          <w:szCs w:val="20"/>
          <w:lang w:val="es-ES"/>
        </w:rPr>
      </w:pPr>
      <w:hyperlink r:id="rId72" w:tgtFrame="_blank" w:history="1">
        <w:r w:rsidRPr="00A608EE">
          <w:rPr>
            <w:rStyle w:val="Hyperlink"/>
            <w:rFonts w:asciiTheme="majorHAnsi" w:hAnsiTheme="majorHAnsi"/>
            <w:sz w:val="20"/>
            <w:szCs w:val="20"/>
            <w:lang w:val="es-ES"/>
          </w:rPr>
          <w:t>Friendship Bridge Informe de Resultados de Clientas 2014-2016</w:t>
        </w:r>
      </w:hyperlink>
    </w:p>
    <w:bookmarkEnd w:id="30"/>
    <w:p w14:paraId="51032B4C" w14:textId="77777777" w:rsidR="0074041B" w:rsidRPr="00A608EE" w:rsidRDefault="0074041B" w:rsidP="00EE208A">
      <w:pPr>
        <w:pStyle w:val="paragraph"/>
        <w:spacing w:before="0" w:beforeAutospacing="0" w:after="0" w:afterAutospacing="0"/>
        <w:ind w:right="690"/>
        <w:jc w:val="both"/>
        <w:rPr>
          <w:rFonts w:asciiTheme="majorHAnsi" w:hAnsiTheme="majorHAnsi"/>
          <w:sz w:val="20"/>
          <w:szCs w:val="20"/>
          <w:lang w:val="es-ES"/>
        </w:rPr>
      </w:pPr>
    </w:p>
    <w:p w14:paraId="151EA377" w14:textId="587D056B" w:rsidR="00D12738" w:rsidRPr="00A608EE" w:rsidRDefault="00D12738">
      <w:pPr>
        <w:spacing w:after="160" w:line="259" w:lineRule="auto"/>
        <w:rPr>
          <w:rFonts w:asciiTheme="majorHAnsi" w:hAnsiTheme="majorHAnsi"/>
          <w:sz w:val="20"/>
          <w:szCs w:val="20"/>
          <w:lang w:val="es-ES" w:eastAsia="fr-FR"/>
        </w:rPr>
      </w:pPr>
      <w:r w:rsidRPr="00A608EE">
        <w:rPr>
          <w:rFonts w:asciiTheme="majorHAnsi" w:hAnsiTheme="majorHAnsi"/>
          <w:sz w:val="20"/>
          <w:szCs w:val="20"/>
          <w:lang w:val="es-ES"/>
        </w:rPr>
        <w:br w:type="page"/>
      </w:r>
    </w:p>
    <w:p w14:paraId="1A879E82" w14:textId="77777777" w:rsidR="0053439B" w:rsidRPr="00A608EE" w:rsidRDefault="0053439B" w:rsidP="00EE208A">
      <w:pPr>
        <w:pStyle w:val="Heading1"/>
        <w:spacing w:before="0" w:line="240" w:lineRule="auto"/>
        <w:jc w:val="both"/>
        <w:rPr>
          <w:rStyle w:val="normaltextrun"/>
        </w:rPr>
      </w:pPr>
    </w:p>
    <w:p w14:paraId="26E59090" w14:textId="1C739E2B" w:rsidR="001E327D" w:rsidRPr="00A608EE" w:rsidRDefault="00895749" w:rsidP="00EE208A">
      <w:pPr>
        <w:pStyle w:val="Heading1"/>
        <w:spacing w:before="0" w:line="240" w:lineRule="auto"/>
        <w:jc w:val="both"/>
        <w:rPr>
          <w:rStyle w:val="eop"/>
        </w:rPr>
      </w:pPr>
      <w:bookmarkStart w:id="31" w:name="_Toc230938776"/>
      <w:r w:rsidRPr="00A608EE">
        <w:rPr>
          <w:rStyle w:val="normaltextrun"/>
        </w:rPr>
        <w:t xml:space="preserve">Dimension 2. </w:t>
      </w:r>
      <w:r w:rsidR="00B37F93" w:rsidRPr="00A608EE">
        <w:rPr>
          <w:rStyle w:val="normaltextrun"/>
        </w:rPr>
        <w:t>Committed Leadership</w:t>
      </w:r>
      <w:bookmarkEnd w:id="31"/>
    </w:p>
    <w:p w14:paraId="1A596F62" w14:textId="77777777" w:rsidR="00BF321F" w:rsidRPr="00A608EE" w:rsidRDefault="00BF321F" w:rsidP="00EE208A">
      <w:pPr>
        <w:jc w:val="both"/>
        <w:rPr>
          <w:rFonts w:asciiTheme="majorHAnsi" w:hAnsiTheme="majorHAnsi"/>
          <w:szCs w:val="20"/>
        </w:rPr>
      </w:pPr>
    </w:p>
    <w:p w14:paraId="0A3CA04E" w14:textId="77777777" w:rsidR="00B37F93" w:rsidRPr="00A608EE" w:rsidRDefault="00B37F93" w:rsidP="00EE208A">
      <w:pPr>
        <w:jc w:val="both"/>
        <w:rPr>
          <w:rFonts w:asciiTheme="majorHAnsi" w:hAnsiTheme="majorHAnsi"/>
          <w:sz w:val="20"/>
          <w:szCs w:val="20"/>
          <w:shd w:val="clear" w:color="auto" w:fill="FFFFFF"/>
          <w:lang w:eastAsia="fr-FR"/>
        </w:rPr>
      </w:pPr>
      <w:r w:rsidRPr="00A608EE">
        <w:rPr>
          <w:rFonts w:asciiTheme="majorHAnsi" w:hAnsiTheme="majorHAnsi"/>
          <w:sz w:val="20"/>
          <w:szCs w:val="20"/>
          <w:shd w:val="clear" w:color="auto" w:fill="FFFFFF"/>
          <w:lang w:eastAsia="fr-FR"/>
        </w:rPr>
        <w:t>Commitment to social performance starts at the top. A social strategy is only strong if the Board and senior management understand and uphold it.  In order for social performance to be fully embedded in the organization, the governing bodies and senior leadership must build it into the organization’s plans and accountability structures. The governance and senior management should be clear, committed and incentivized to achieve the provider’s social goals. Dimension 2 lays out the key practices on how the board and senior management bear strategic responsibility and accountability for decision-making and subsequent operations towards achieving the provider’s social goals. Please refer to EP 7.A.3 of the “Governance and Management structure ensures the implementation and oversight of the environmental strategy”.</w:t>
      </w:r>
    </w:p>
    <w:p w14:paraId="5A72BFF7" w14:textId="7A2FEE78" w:rsidR="00B37F93" w:rsidRPr="00A608EE" w:rsidRDefault="00B37F93" w:rsidP="00A27AAA">
      <w:pPr>
        <w:pStyle w:val="paragraph"/>
        <w:numPr>
          <w:ilvl w:val="0"/>
          <w:numId w:val="108"/>
        </w:numPr>
        <w:spacing w:before="0" w:beforeAutospacing="0" w:after="0" w:afterAutospacing="0"/>
        <w:jc w:val="both"/>
        <w:rPr>
          <w:rFonts w:asciiTheme="majorHAnsi" w:hAnsiTheme="majorHAnsi"/>
          <w:sz w:val="20"/>
          <w:szCs w:val="20"/>
          <w:shd w:val="clear" w:color="auto" w:fill="FFFFFF"/>
        </w:rPr>
      </w:pPr>
      <w:r w:rsidRPr="00A608EE">
        <w:rPr>
          <w:rFonts w:asciiTheme="majorHAnsi" w:hAnsiTheme="majorHAnsi"/>
          <w:sz w:val="20"/>
          <w:szCs w:val="20"/>
          <w:shd w:val="clear" w:color="auto" w:fill="FFFFFF"/>
        </w:rPr>
        <w:t>Standard 2A: Members of the board of directors hold management accountable for achieving the provider’s social goals.</w:t>
      </w:r>
    </w:p>
    <w:p w14:paraId="7F3B5219" w14:textId="7143253C" w:rsidR="00B37F93" w:rsidRPr="00A608EE" w:rsidRDefault="00B37F93" w:rsidP="00A27AAA">
      <w:pPr>
        <w:pStyle w:val="paragraph"/>
        <w:numPr>
          <w:ilvl w:val="0"/>
          <w:numId w:val="108"/>
        </w:numPr>
        <w:spacing w:before="0" w:beforeAutospacing="0" w:after="0" w:afterAutospacing="0"/>
        <w:jc w:val="both"/>
        <w:rPr>
          <w:rFonts w:asciiTheme="majorHAnsi" w:hAnsiTheme="majorHAnsi"/>
          <w:sz w:val="20"/>
          <w:szCs w:val="20"/>
          <w:shd w:val="clear" w:color="auto" w:fill="FFFFFF"/>
        </w:rPr>
      </w:pPr>
      <w:r w:rsidRPr="00A608EE">
        <w:rPr>
          <w:rFonts w:asciiTheme="majorHAnsi" w:hAnsiTheme="majorHAnsi"/>
          <w:sz w:val="20"/>
          <w:szCs w:val="20"/>
          <w:shd w:val="clear" w:color="auto" w:fill="FFFFFF"/>
        </w:rPr>
        <w:t>Standard 2B: Senior management is responsible for implementing the provider’s strategy for achieving its social goals.</w:t>
      </w:r>
    </w:p>
    <w:p w14:paraId="3DF614F6" w14:textId="77777777" w:rsidR="009E7B6F" w:rsidRPr="00A608EE" w:rsidRDefault="009E7B6F" w:rsidP="00EE208A">
      <w:pPr>
        <w:pStyle w:val="paragraph"/>
        <w:spacing w:before="0" w:beforeAutospacing="0" w:after="0" w:afterAutospacing="0"/>
        <w:jc w:val="both"/>
        <w:rPr>
          <w:rFonts w:asciiTheme="majorHAnsi" w:hAnsiTheme="majorHAnsi"/>
          <w:sz w:val="20"/>
          <w:szCs w:val="20"/>
          <w:shd w:val="clear" w:color="auto" w:fill="FFFFFF"/>
        </w:rPr>
      </w:pPr>
    </w:p>
    <w:p w14:paraId="76D50519" w14:textId="77777777" w:rsidR="009E7B6F" w:rsidRPr="00A608EE" w:rsidRDefault="009E7B6F" w:rsidP="00EE208A">
      <w:pPr>
        <w:pStyle w:val="paragraph"/>
        <w:spacing w:before="0" w:beforeAutospacing="0" w:after="0" w:afterAutospacing="0"/>
        <w:jc w:val="both"/>
        <w:rPr>
          <w:rFonts w:asciiTheme="majorHAnsi" w:hAnsiTheme="majorHAnsi"/>
          <w:sz w:val="20"/>
          <w:szCs w:val="20"/>
          <w:shd w:val="clear" w:color="auto" w:fill="FFFFFF"/>
        </w:rPr>
      </w:pPr>
    </w:p>
    <w:p w14:paraId="70749A39" w14:textId="6C8942AD" w:rsidR="00497671" w:rsidRPr="00A608EE" w:rsidRDefault="00B37F93" w:rsidP="00EE208A">
      <w:pPr>
        <w:pStyle w:val="Heading2"/>
        <w:spacing w:before="0" w:line="240" w:lineRule="auto"/>
        <w:jc w:val="both"/>
        <w:rPr>
          <w:rStyle w:val="eop"/>
        </w:rPr>
      </w:pPr>
      <w:bookmarkStart w:id="32" w:name="_Toc230938777"/>
      <w:r w:rsidRPr="00A608EE">
        <w:rPr>
          <w:rStyle w:val="normaltextrun"/>
        </w:rPr>
        <w:t>Standard 2A. Members of the board of directors hold management accountable for achieving the provider’s social goals</w:t>
      </w:r>
      <w:r w:rsidR="0027459B" w:rsidRPr="00A608EE">
        <w:rPr>
          <w:rStyle w:val="normaltextrun"/>
        </w:rPr>
        <w:t>.</w:t>
      </w:r>
      <w:bookmarkEnd w:id="32"/>
    </w:p>
    <w:p w14:paraId="1B5E1EC8" w14:textId="77777777" w:rsidR="00497671" w:rsidRPr="00A608EE" w:rsidRDefault="00497671" w:rsidP="00EE208A">
      <w:pPr>
        <w:jc w:val="both"/>
        <w:rPr>
          <w:rFonts w:asciiTheme="majorHAnsi" w:hAnsiTheme="majorHAnsi"/>
          <w:szCs w:val="20"/>
        </w:rPr>
      </w:pPr>
    </w:p>
    <w:p w14:paraId="2F6B9DC1" w14:textId="77777777" w:rsidR="00B37F93" w:rsidRPr="00A608EE" w:rsidRDefault="00B37F93" w:rsidP="00EE208A">
      <w:pPr>
        <w:shd w:val="clear" w:color="auto" w:fill="FFFFFF"/>
        <w:jc w:val="both"/>
        <w:rPr>
          <w:rStyle w:val="normaltextrun"/>
          <w:rFonts w:asciiTheme="majorHAnsi" w:hAnsiTheme="majorHAnsi"/>
          <w:sz w:val="20"/>
          <w:szCs w:val="20"/>
          <w:lang w:eastAsia="fr-FR"/>
        </w:rPr>
      </w:pPr>
      <w:r w:rsidRPr="00A608EE">
        <w:rPr>
          <w:rStyle w:val="normaltextrun"/>
          <w:rFonts w:asciiTheme="majorHAnsi" w:hAnsiTheme="majorHAnsi"/>
          <w:sz w:val="20"/>
          <w:szCs w:val="20"/>
          <w:lang w:eastAsia="fr-FR"/>
        </w:rPr>
        <w:t>The board of directors or governing bodies should use social performance information to shape and adjust the provider’s social strategy and hold the senior management to account for achieving the social goals. It should also protect the provider’s social focus in times of transformation, growth or crisis.</w:t>
      </w:r>
    </w:p>
    <w:p w14:paraId="4E8FB15B" w14:textId="77777777" w:rsidR="00B37F93" w:rsidRPr="00A608EE" w:rsidRDefault="00B37F93" w:rsidP="00EE208A">
      <w:pPr>
        <w:shd w:val="clear" w:color="auto" w:fill="FFFFFF"/>
        <w:jc w:val="both"/>
        <w:rPr>
          <w:rStyle w:val="normaltextrun"/>
          <w:rFonts w:asciiTheme="majorHAnsi" w:hAnsiTheme="majorHAnsi"/>
          <w:sz w:val="20"/>
          <w:szCs w:val="20"/>
          <w:lang w:eastAsia="fr-FR"/>
        </w:rPr>
      </w:pPr>
    </w:p>
    <w:p w14:paraId="1E59E0E4" w14:textId="77777777" w:rsidR="00B37F93" w:rsidRPr="00A608EE" w:rsidRDefault="00B37F93" w:rsidP="00EE208A">
      <w:pPr>
        <w:shd w:val="clear" w:color="auto" w:fill="FFFFFF"/>
        <w:jc w:val="both"/>
        <w:rPr>
          <w:rStyle w:val="normaltextrun"/>
          <w:rFonts w:asciiTheme="majorHAnsi" w:hAnsiTheme="majorHAnsi"/>
          <w:sz w:val="20"/>
          <w:szCs w:val="20"/>
          <w:lang w:eastAsia="fr-FR"/>
        </w:rPr>
      </w:pPr>
      <w:r w:rsidRPr="00A608EE">
        <w:rPr>
          <w:rStyle w:val="normaltextrun"/>
          <w:rFonts w:asciiTheme="majorHAnsi" w:hAnsiTheme="majorHAnsi"/>
          <w:sz w:val="20"/>
          <w:szCs w:val="20"/>
          <w:lang w:eastAsia="fr-FR"/>
        </w:rPr>
        <w:t xml:space="preserve">This standard has 5 essential practices: </w:t>
      </w:r>
    </w:p>
    <w:p w14:paraId="3EEAF2D1" w14:textId="77777777" w:rsidR="00B37F93" w:rsidRPr="00A608EE" w:rsidRDefault="00B37F93" w:rsidP="00A27AAA">
      <w:pPr>
        <w:pStyle w:val="ListParagraph"/>
        <w:numPr>
          <w:ilvl w:val="0"/>
          <w:numId w:val="109"/>
        </w:numPr>
        <w:shd w:val="clear" w:color="auto" w:fill="FFFFFF"/>
        <w:spacing w:after="0" w:line="240" w:lineRule="auto"/>
        <w:jc w:val="both"/>
        <w:rPr>
          <w:rFonts w:asciiTheme="majorHAnsi" w:eastAsia="Times New Roman" w:hAnsiTheme="majorHAnsi" w:cs="Times New Roman"/>
          <w:szCs w:val="20"/>
        </w:rPr>
      </w:pPr>
      <w:r w:rsidRPr="00A608EE">
        <w:rPr>
          <w:rFonts w:asciiTheme="majorHAnsi" w:eastAsia="Times New Roman" w:hAnsiTheme="majorHAnsi" w:cs="Times New Roman"/>
          <w:szCs w:val="20"/>
        </w:rPr>
        <w:t>Essential Practice 2.A.1: Board composition reflects the provider’s social strategy and sound governance practices.</w:t>
      </w:r>
    </w:p>
    <w:p w14:paraId="56720CC6" w14:textId="77777777" w:rsidR="00B37F93" w:rsidRPr="00A608EE" w:rsidRDefault="00B37F93" w:rsidP="00A27AAA">
      <w:pPr>
        <w:pStyle w:val="ListParagraph"/>
        <w:numPr>
          <w:ilvl w:val="0"/>
          <w:numId w:val="109"/>
        </w:numPr>
        <w:shd w:val="clear" w:color="auto" w:fill="FFFFFF"/>
        <w:spacing w:after="0" w:line="240" w:lineRule="auto"/>
        <w:jc w:val="both"/>
        <w:rPr>
          <w:rFonts w:asciiTheme="majorHAnsi" w:eastAsia="Times New Roman" w:hAnsiTheme="majorHAnsi" w:cs="Times New Roman"/>
          <w:szCs w:val="20"/>
        </w:rPr>
      </w:pPr>
      <w:r w:rsidRPr="00A608EE">
        <w:rPr>
          <w:rFonts w:asciiTheme="majorHAnsi" w:eastAsia="Times New Roman" w:hAnsiTheme="majorHAnsi" w:cs="Times New Roman"/>
          <w:szCs w:val="20"/>
        </w:rPr>
        <w:t>Essential Practice 2.A.2: The provider trains board members on their social performance management responsibilities.</w:t>
      </w:r>
    </w:p>
    <w:p w14:paraId="7060E164" w14:textId="77777777" w:rsidR="00B37F93" w:rsidRPr="00A608EE" w:rsidRDefault="00B37F93" w:rsidP="00A27AAA">
      <w:pPr>
        <w:pStyle w:val="ListParagraph"/>
        <w:numPr>
          <w:ilvl w:val="0"/>
          <w:numId w:val="109"/>
        </w:numPr>
        <w:shd w:val="clear" w:color="auto" w:fill="FFFFFF"/>
        <w:spacing w:after="0" w:line="240" w:lineRule="auto"/>
        <w:jc w:val="both"/>
        <w:rPr>
          <w:rFonts w:asciiTheme="majorHAnsi" w:eastAsia="Times New Roman" w:hAnsiTheme="majorHAnsi" w:cs="Times New Roman"/>
          <w:szCs w:val="20"/>
        </w:rPr>
      </w:pPr>
      <w:r w:rsidRPr="00A608EE">
        <w:rPr>
          <w:rFonts w:asciiTheme="majorHAnsi" w:eastAsia="Times New Roman" w:hAnsiTheme="majorHAnsi" w:cs="Times New Roman"/>
          <w:szCs w:val="20"/>
        </w:rPr>
        <w:t>Essential Practice 2.A.3: The board makes strategic decisions based on social and financial data.</w:t>
      </w:r>
    </w:p>
    <w:p w14:paraId="4FB3B4E2" w14:textId="77777777" w:rsidR="00B37F93" w:rsidRPr="00A608EE" w:rsidRDefault="00B37F93" w:rsidP="00A27AAA">
      <w:pPr>
        <w:pStyle w:val="ListParagraph"/>
        <w:numPr>
          <w:ilvl w:val="0"/>
          <w:numId w:val="109"/>
        </w:numPr>
        <w:shd w:val="clear" w:color="auto" w:fill="FFFFFF"/>
        <w:spacing w:after="0" w:line="240" w:lineRule="auto"/>
        <w:jc w:val="both"/>
        <w:rPr>
          <w:rFonts w:asciiTheme="majorHAnsi" w:eastAsia="Times New Roman" w:hAnsiTheme="majorHAnsi" w:cs="Times New Roman"/>
          <w:szCs w:val="20"/>
        </w:rPr>
      </w:pPr>
      <w:r w:rsidRPr="00A608EE">
        <w:rPr>
          <w:rFonts w:asciiTheme="majorHAnsi" w:eastAsia="Times New Roman" w:hAnsiTheme="majorHAnsi" w:cs="Times New Roman"/>
          <w:szCs w:val="20"/>
        </w:rPr>
        <w:t>Essential Practice 2.A.4: Board oversight of senior management is aligned with the provider’s social goals.</w:t>
      </w:r>
    </w:p>
    <w:p w14:paraId="037FAB9D" w14:textId="3C2F302C" w:rsidR="009E7B6F" w:rsidRPr="00A608EE" w:rsidRDefault="00B37F93" w:rsidP="00A27AAA">
      <w:pPr>
        <w:pStyle w:val="ListParagraph"/>
        <w:numPr>
          <w:ilvl w:val="0"/>
          <w:numId w:val="109"/>
        </w:numPr>
        <w:shd w:val="clear" w:color="auto" w:fill="FFFFFF"/>
        <w:spacing w:after="0" w:line="240" w:lineRule="auto"/>
        <w:jc w:val="both"/>
        <w:rPr>
          <w:rFonts w:asciiTheme="majorHAnsi" w:eastAsia="Times New Roman" w:hAnsiTheme="majorHAnsi" w:cs="Times New Roman"/>
          <w:szCs w:val="20"/>
        </w:rPr>
      </w:pPr>
      <w:r w:rsidRPr="00A608EE">
        <w:rPr>
          <w:rFonts w:asciiTheme="majorHAnsi" w:eastAsia="Times New Roman" w:hAnsiTheme="majorHAnsi" w:cs="Times New Roman"/>
          <w:szCs w:val="20"/>
        </w:rPr>
        <w:t>Essential Practice 2.A.5: The board is responsible for preserving the provider’s social goals during times of crisis or institutional change.</w:t>
      </w:r>
    </w:p>
    <w:p w14:paraId="3A851894" w14:textId="77777777" w:rsidR="00B37F93" w:rsidRPr="00A608EE" w:rsidRDefault="00B37F93" w:rsidP="00EE208A">
      <w:pPr>
        <w:shd w:val="clear" w:color="auto" w:fill="FFFFFF"/>
        <w:jc w:val="both"/>
        <w:rPr>
          <w:rFonts w:asciiTheme="majorHAnsi" w:hAnsiTheme="majorHAnsi"/>
          <w:sz w:val="20"/>
          <w:szCs w:val="20"/>
        </w:rPr>
      </w:pPr>
    </w:p>
    <w:p w14:paraId="5271BAB9" w14:textId="78AE640A" w:rsidR="00B37F93" w:rsidRPr="00A608EE" w:rsidRDefault="00B37F93" w:rsidP="00EE208A">
      <w:pPr>
        <w:jc w:val="both"/>
        <w:rPr>
          <w:rFonts w:asciiTheme="majorHAnsi" w:hAnsiTheme="majorHAnsi"/>
          <w:b/>
          <w:bCs/>
          <w:sz w:val="20"/>
          <w:szCs w:val="20"/>
          <w:lang w:eastAsia="fr-FR"/>
        </w:rPr>
      </w:pPr>
      <w:bookmarkStart w:id="33" w:name="_Hlk204870582"/>
      <w:r w:rsidRPr="00A608EE">
        <w:rPr>
          <w:rFonts w:asciiTheme="majorHAnsi" w:hAnsiTheme="majorHAnsi"/>
          <w:b/>
          <w:bCs/>
          <w:sz w:val="20"/>
          <w:szCs w:val="20"/>
          <w:lang w:eastAsia="fr-FR"/>
        </w:rPr>
        <w:t>Resource for Standard 2A</w:t>
      </w:r>
    </w:p>
    <w:p w14:paraId="70153095" w14:textId="77777777" w:rsidR="00B37F93" w:rsidRPr="00A608EE" w:rsidRDefault="00B37F93" w:rsidP="00A27AAA">
      <w:pPr>
        <w:numPr>
          <w:ilvl w:val="0"/>
          <w:numId w:val="110"/>
        </w:numPr>
        <w:jc w:val="both"/>
        <w:rPr>
          <w:rFonts w:asciiTheme="majorHAnsi" w:hAnsiTheme="majorHAnsi"/>
          <w:sz w:val="20"/>
          <w:szCs w:val="20"/>
          <w:lang w:eastAsia="fr-FR"/>
        </w:rPr>
      </w:pPr>
      <w:r w:rsidRPr="00A608EE">
        <w:rPr>
          <w:rFonts w:asciiTheme="majorHAnsi" w:hAnsiTheme="majorHAnsi"/>
          <w:sz w:val="20"/>
          <w:szCs w:val="20"/>
          <w:lang w:eastAsia="fr-FR"/>
        </w:rPr>
        <w:t>Nordic Microfinance Initiative's Board Participation in Svasti (watch the interview </w:t>
      </w:r>
      <w:hyperlink r:id="rId73" w:tgtFrame="_blank" w:history="1">
        <w:r w:rsidRPr="00A608EE">
          <w:rPr>
            <w:rStyle w:val="Hyperlink"/>
            <w:rFonts w:asciiTheme="majorHAnsi" w:hAnsiTheme="majorHAnsi"/>
            <w:sz w:val="20"/>
            <w:szCs w:val="20"/>
            <w:lang w:eastAsia="fr-FR"/>
          </w:rPr>
          <w:t>here</w:t>
        </w:r>
      </w:hyperlink>
      <w:r w:rsidRPr="00A608EE">
        <w:rPr>
          <w:rFonts w:asciiTheme="majorHAnsi" w:hAnsiTheme="majorHAnsi"/>
          <w:sz w:val="20"/>
          <w:szCs w:val="20"/>
          <w:lang w:eastAsia="fr-FR"/>
        </w:rPr>
        <w:t>)</w:t>
      </w:r>
    </w:p>
    <w:bookmarkEnd w:id="33"/>
    <w:p w14:paraId="2FA1B1CE" w14:textId="77777777" w:rsidR="00B37F93" w:rsidRPr="00A608EE" w:rsidRDefault="00B37F93" w:rsidP="00EE208A">
      <w:pPr>
        <w:jc w:val="both"/>
        <w:rPr>
          <w:rFonts w:asciiTheme="majorHAnsi" w:hAnsiTheme="majorHAnsi"/>
          <w:szCs w:val="20"/>
          <w:lang w:eastAsia="fr-FR"/>
        </w:rPr>
      </w:pPr>
    </w:p>
    <w:p w14:paraId="49746F61" w14:textId="5540BD0E" w:rsidR="00066611" w:rsidRPr="00A608EE" w:rsidRDefault="00B37F93" w:rsidP="00EE208A">
      <w:pPr>
        <w:jc w:val="both"/>
        <w:rPr>
          <w:rFonts w:asciiTheme="majorHAnsi" w:hAnsiTheme="majorHAnsi"/>
          <w:sz w:val="20"/>
          <w:szCs w:val="15"/>
          <w:lang w:eastAsia="fr-FR"/>
        </w:rPr>
      </w:pPr>
      <w:r w:rsidRPr="00A608EE">
        <w:rPr>
          <w:rFonts w:asciiTheme="majorHAnsi" w:hAnsiTheme="majorHAnsi"/>
          <w:sz w:val="20"/>
          <w:szCs w:val="15"/>
          <w:lang w:eastAsia="fr-FR"/>
        </w:rPr>
        <w:t>Note: There are providers where the founding shareholder is also (still) the managing director. These cases are delicate to audit from a governance viewpoint as one person is wearing two strategic hats. Governance cannot function well if the same person as board member is responsible for evaluating its performance as CEO. In this case, it is good governance practice if the other board members without operational functions decide alone - and in absence of the CEO – everything related to the CEO, like annual performance evaluation, renumeration and so forth. If the CEO assumes lead responsibility for SEPM at the board level, it is important that the deputy CEO or another senior manager assumes lead responsibility for SEPM (and environmental performance) at the senior management level.</w:t>
      </w:r>
    </w:p>
    <w:p w14:paraId="1959838F" w14:textId="77777777" w:rsidR="009E7B6F" w:rsidRPr="00A608EE" w:rsidRDefault="009E7B6F" w:rsidP="00EE208A">
      <w:pPr>
        <w:jc w:val="both"/>
        <w:rPr>
          <w:rFonts w:asciiTheme="majorHAnsi" w:hAnsiTheme="majorHAnsi"/>
          <w:szCs w:val="20"/>
        </w:rPr>
      </w:pPr>
    </w:p>
    <w:p w14:paraId="48D36AB5" w14:textId="3DBD3838" w:rsidR="00FF4604" w:rsidRPr="00A608EE" w:rsidRDefault="00FF4604" w:rsidP="00EE208A">
      <w:pPr>
        <w:pStyle w:val="Heading3"/>
        <w:spacing w:before="0" w:line="240" w:lineRule="auto"/>
        <w:jc w:val="both"/>
      </w:pPr>
      <w:bookmarkStart w:id="34" w:name="_Toc230938778"/>
      <w:r w:rsidRPr="00A608EE">
        <w:rPr>
          <w:rStyle w:val="normaltextrun"/>
        </w:rPr>
        <w:lastRenderedPageBreak/>
        <w:t xml:space="preserve">2.A.1 </w:t>
      </w:r>
      <w:r w:rsidR="00B37F93" w:rsidRPr="00A608EE">
        <w:rPr>
          <w:rStyle w:val="normaltextrun"/>
        </w:rPr>
        <w:t>Board composition reflects the provider’s social strategy and sound governance practices</w:t>
      </w:r>
      <w:r w:rsidRPr="00A608EE">
        <w:rPr>
          <w:rStyle w:val="normaltextrun"/>
        </w:rPr>
        <w:t>.</w:t>
      </w:r>
      <w:bookmarkEnd w:id="34"/>
    </w:p>
    <w:p w14:paraId="4A50AF5B" w14:textId="0BAE9DDD" w:rsidR="00FE01D0" w:rsidRPr="00A608EE" w:rsidRDefault="00FF4604" w:rsidP="00D12738">
      <w:pPr>
        <w:pStyle w:val="paragraph"/>
        <w:spacing w:before="0" w:beforeAutospacing="0" w:after="0" w:afterAutospacing="0"/>
        <w:jc w:val="both"/>
        <w:textAlignment w:val="baseline"/>
        <w:rPr>
          <w:rFonts w:asciiTheme="majorHAnsi" w:hAnsiTheme="majorHAnsi" w:cs="Calibri Light"/>
          <w:sz w:val="20"/>
          <w:szCs w:val="20"/>
        </w:rPr>
      </w:pPr>
      <w:r w:rsidRPr="00A608EE">
        <w:rPr>
          <w:rStyle w:val="eop"/>
          <w:rFonts w:asciiTheme="majorHAnsi" w:eastAsiaTheme="majorEastAsia" w:hAnsiTheme="majorHAnsi" w:cs="Calibri Light"/>
          <w:sz w:val="20"/>
          <w:szCs w:val="20"/>
        </w:rPr>
        <w:t> </w:t>
      </w:r>
    </w:p>
    <w:p w14:paraId="6D285945" w14:textId="3CEDDE55" w:rsidR="005E1699" w:rsidRPr="00A608EE" w:rsidRDefault="00615DAA" w:rsidP="00EE208A">
      <w:pPr>
        <w:pStyle w:val="Heading4"/>
        <w:spacing w:before="0" w:line="240" w:lineRule="auto"/>
        <w:jc w:val="both"/>
        <w:rPr>
          <w:rStyle w:val="normaltextrun"/>
        </w:rPr>
      </w:pPr>
      <w:r w:rsidRPr="00A608EE">
        <w:rPr>
          <w:rStyle w:val="normaltextrun"/>
        </w:rPr>
        <w:t xml:space="preserve">2.A.1.2 </w:t>
      </w:r>
      <w:r w:rsidR="00B37F93" w:rsidRPr="00A608EE">
        <w:rPr>
          <w:rStyle w:val="normaltextrun"/>
        </w:rPr>
        <w:t>At least one board member has direct work experience with the provider’s target clients</w:t>
      </w:r>
      <w:r w:rsidR="005E1699" w:rsidRPr="00A608EE">
        <w:rPr>
          <w:rStyle w:val="normaltextrun"/>
        </w:rPr>
        <w:t>.</w:t>
      </w:r>
    </w:p>
    <w:p w14:paraId="455E7E24" w14:textId="7804D9E7" w:rsidR="00615DAA" w:rsidRPr="00A608EE" w:rsidRDefault="00615DAA" w:rsidP="00EE208A">
      <w:pPr>
        <w:pStyle w:val="Heading4"/>
        <w:spacing w:before="0" w:line="240" w:lineRule="auto"/>
        <w:jc w:val="both"/>
        <w:rPr>
          <w:rFonts w:cs="Segoe UI"/>
          <w:sz w:val="20"/>
          <w:szCs w:val="20"/>
        </w:rPr>
      </w:pPr>
      <w:r w:rsidRPr="00A608EE">
        <w:rPr>
          <w:rStyle w:val="eop"/>
          <w:rFonts w:cs="Calibri"/>
          <w:sz w:val="20"/>
          <w:szCs w:val="20"/>
        </w:rPr>
        <w:t> </w:t>
      </w:r>
    </w:p>
    <w:p w14:paraId="524699EF" w14:textId="094489DA" w:rsidR="009E7B6F" w:rsidRPr="00A608EE" w:rsidRDefault="004F5FC3" w:rsidP="00EE208A">
      <w:pPr>
        <w:pStyle w:val="paragraph"/>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9E7B6F"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9E7B6F"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798C55B0" w14:textId="147E4456" w:rsidR="009E7B6F" w:rsidRPr="00A608EE" w:rsidRDefault="009E7B6F"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r w:rsidR="004E7EB1" w:rsidRPr="00A608EE">
        <w:rPr>
          <w:rFonts w:asciiTheme="majorHAnsi" w:hAnsiTheme="majorHAnsi"/>
          <w:sz w:val="20"/>
          <w:szCs w:val="20"/>
        </w:rPr>
        <w:t> </w:t>
      </w:r>
    </w:p>
    <w:p w14:paraId="14FE4EB0" w14:textId="2D90D568" w:rsidR="007D3481" w:rsidRPr="00A608EE" w:rsidRDefault="00B37F93"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To reflect the needs and preferences of its clients, the social strategy defined by the governing body must be based on detailed knowledge of the target clients, which must feed into strategic decision-making. For this, at least one member of the governing body must be able to provide his/her first-hand knowledge and analysis of the needs of the target clients.</w:t>
      </w:r>
    </w:p>
    <w:p w14:paraId="7B8FF904" w14:textId="77777777" w:rsidR="00672763" w:rsidRPr="00A608EE" w:rsidRDefault="00672763" w:rsidP="00EE208A">
      <w:pPr>
        <w:pStyle w:val="paragraph"/>
        <w:spacing w:before="0" w:beforeAutospacing="0" w:after="0" w:afterAutospacing="0"/>
        <w:jc w:val="both"/>
        <w:textAlignment w:val="baseline"/>
        <w:rPr>
          <w:rFonts w:asciiTheme="majorHAnsi" w:hAnsiTheme="majorHAnsi"/>
          <w:sz w:val="20"/>
          <w:szCs w:val="20"/>
        </w:rPr>
      </w:pPr>
    </w:p>
    <w:p w14:paraId="132C5332"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05696" behindDoc="1" locked="0" layoutInCell="1" allowOverlap="1" wp14:anchorId="2680606F" wp14:editId="50A807B8">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7249451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B4A0229" w14:textId="77777777" w:rsidR="00672763" w:rsidRPr="00A608EE" w:rsidRDefault="00672763" w:rsidP="00EE208A">
      <w:pPr>
        <w:pStyle w:val="paragraph"/>
        <w:spacing w:before="0" w:beforeAutospacing="0" w:after="0" w:afterAutospacing="0"/>
        <w:jc w:val="both"/>
        <w:textAlignment w:val="baseline"/>
        <w:rPr>
          <w:rFonts w:asciiTheme="majorHAnsi" w:hAnsiTheme="majorHAnsi"/>
          <w:sz w:val="20"/>
          <w:szCs w:val="20"/>
        </w:rPr>
      </w:pPr>
    </w:p>
    <w:p w14:paraId="01C2199C" w14:textId="517979CB" w:rsidR="002F5F81" w:rsidRPr="00A608EE" w:rsidRDefault="004876A2" w:rsidP="002F5F81">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73403B" w:rsidRPr="00A608EE">
        <w:rPr>
          <w:rFonts w:asciiTheme="majorHAnsi" w:hAnsiTheme="majorHAnsi"/>
          <w:sz w:val="20"/>
          <w:szCs w:val="20"/>
        </w:rPr>
        <w:t>At least one active board member has experience with disability inclusion from partnering with OPDs</w:t>
      </w:r>
      <w:r w:rsidR="002F5F81" w:rsidRPr="00A608EE">
        <w:rPr>
          <w:rFonts w:asciiTheme="majorHAnsi" w:hAnsiTheme="majorHAnsi"/>
          <w:sz w:val="20"/>
          <w:szCs w:val="20"/>
        </w:rPr>
        <w:t xml:space="preserve">. </w:t>
      </w:r>
      <w:r w:rsidR="0073403B" w:rsidRPr="00A608EE">
        <w:rPr>
          <w:rFonts w:asciiTheme="majorHAnsi" w:hAnsiTheme="majorHAnsi"/>
          <w:sz w:val="20"/>
          <w:szCs w:val="20"/>
        </w:rPr>
        <w:t xml:space="preserve">Alternatively, the provider may partner with OPDs or other specialized organizations to ensure appropriate </w:t>
      </w:r>
      <w:r w:rsidR="002F5F81" w:rsidRPr="00A608EE">
        <w:rPr>
          <w:rFonts w:asciiTheme="majorHAnsi" w:hAnsiTheme="majorHAnsi"/>
          <w:sz w:val="20"/>
          <w:szCs w:val="20"/>
        </w:rPr>
        <w:t>consultation</w:t>
      </w:r>
      <w:r w:rsidR="0073403B" w:rsidRPr="00A608EE">
        <w:rPr>
          <w:rFonts w:asciiTheme="majorHAnsi" w:hAnsiTheme="majorHAnsi"/>
          <w:sz w:val="20"/>
          <w:szCs w:val="20"/>
        </w:rPr>
        <w:t xml:space="preserve"> and technical expertise. </w:t>
      </w:r>
    </w:p>
    <w:p w14:paraId="437F851F" w14:textId="77777777" w:rsidR="0073403B" w:rsidRPr="00A608EE" w:rsidRDefault="0073403B" w:rsidP="00EE208A">
      <w:pPr>
        <w:pStyle w:val="paragraph"/>
        <w:spacing w:before="0" w:beforeAutospacing="0" w:after="0" w:afterAutospacing="0"/>
        <w:jc w:val="both"/>
        <w:textAlignment w:val="baseline"/>
        <w:rPr>
          <w:rFonts w:asciiTheme="majorHAnsi" w:hAnsiTheme="majorHAnsi"/>
          <w:sz w:val="20"/>
          <w:szCs w:val="20"/>
        </w:rPr>
      </w:pPr>
    </w:p>
    <w:p w14:paraId="20D0C772" w14:textId="34BCED19" w:rsidR="00B37F93" w:rsidRPr="00A608EE" w:rsidRDefault="007D3481" w:rsidP="00EE208A">
      <w:pPr>
        <w:pStyle w:val="paragraph"/>
        <w:spacing w:before="0" w:beforeAutospacing="0" w:after="0" w:afterAutospacing="0"/>
        <w:jc w:val="both"/>
        <w:textAlignment w:val="baseline"/>
        <w:rPr>
          <w:rFonts w:asciiTheme="majorHAnsi" w:hAnsiTheme="majorHAnsi"/>
          <w:sz w:val="20"/>
          <w:szCs w:val="20"/>
        </w:rPr>
      </w:pPr>
      <w:r w:rsidRPr="00A608EE">
        <w:rPr>
          <w:noProof/>
        </w:rPr>
        <mc:AlternateContent>
          <mc:Choice Requires="wps">
            <w:drawing>
              <wp:anchor distT="0" distB="0" distL="114300" distR="114300" simplePos="0" relativeHeight="251675648" behindDoc="0" locked="0" layoutInCell="1" allowOverlap="1" wp14:anchorId="4EE0A1BC" wp14:editId="73F84D13">
                <wp:simplePos x="0" y="0"/>
                <wp:positionH relativeFrom="column">
                  <wp:posOffset>0</wp:posOffset>
                </wp:positionH>
                <wp:positionV relativeFrom="paragraph">
                  <wp:posOffset>0</wp:posOffset>
                </wp:positionV>
                <wp:extent cx="1828800" cy="1828800"/>
                <wp:effectExtent l="0" t="0" r="0" b="0"/>
                <wp:wrapSquare wrapText="bothSides"/>
                <wp:docPr id="1647358831"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C29C5F0" w14:textId="1A526128" w:rsidR="007D3481" w:rsidRPr="00820B09" w:rsidRDefault="00B53772" w:rsidP="00EE208A">
                            <w:pPr>
                              <w:pStyle w:val="paragraph"/>
                              <w:spacing w:before="0" w:beforeAutospacing="0" w:after="0" w:afterAutospacing="0"/>
                              <w:jc w:val="both"/>
                              <w:textAlignment w:val="baseline"/>
                              <w:rPr>
                                <w:rFonts w:asciiTheme="majorHAnsi" w:hAnsiTheme="majorHAnsi"/>
                                <w:b/>
                                <w:bCs/>
                                <w:sz w:val="20"/>
                                <w:szCs w:val="20"/>
                              </w:rPr>
                            </w:pPr>
                            <w:r w:rsidRPr="00820B09">
                              <w:rPr>
                                <w:rFonts w:asciiTheme="majorHAnsi" w:hAnsiTheme="majorHAnsi"/>
                                <w:b/>
                                <w:bCs/>
                                <w:sz w:val="20"/>
                                <w:szCs w:val="20"/>
                              </w:rPr>
                              <w:t>Disability Inclusion – Info Box</w:t>
                            </w:r>
                            <w:r w:rsidR="007D3481" w:rsidRPr="00820B09">
                              <w:rPr>
                                <w:rFonts w:asciiTheme="majorHAnsi" w:hAnsiTheme="majorHAnsi"/>
                                <w:b/>
                                <w:bCs/>
                                <w:sz w:val="20"/>
                                <w:szCs w:val="20"/>
                              </w:rPr>
                              <w:t xml:space="preserve"> 2.A.1.2</w:t>
                            </w:r>
                          </w:p>
                          <w:p w14:paraId="17819B0D" w14:textId="10D04D00" w:rsidR="0073403B" w:rsidRPr="00820B09" w:rsidRDefault="00A6505E" w:rsidP="0073403B">
                            <w:pPr>
                              <w:pStyle w:val="NormalWeb"/>
                              <w:rPr>
                                <w:rFonts w:asciiTheme="majorHAnsi" w:hAnsiTheme="majorHAnsi"/>
                                <w:sz w:val="20"/>
                                <w:szCs w:val="20"/>
                              </w:rPr>
                            </w:pPr>
                            <w:r w:rsidRPr="00820B09">
                              <w:rPr>
                                <w:rFonts w:asciiTheme="majorHAnsi" w:hAnsiTheme="majorHAnsi"/>
                                <w:sz w:val="20"/>
                                <w:szCs w:val="20"/>
                              </w:rPr>
                              <w:t xml:space="preserve">FSPs should proactively seek candidates for board positions with experience working with persons with disabilities, to ensure first-hand knowledge and understanding of the needs of persons with disabilities within the target client base, and strategies for inclusion. </w:t>
                            </w:r>
                            <w:r w:rsidR="0073403B" w:rsidRPr="00820B09">
                              <w:rPr>
                                <w:rFonts w:asciiTheme="majorHAnsi" w:hAnsiTheme="majorHAnsi"/>
                                <w:sz w:val="20"/>
                                <w:szCs w:val="20"/>
                              </w:rPr>
                              <w:t xml:space="preserve">Experience working with other vulnerable groups is helpful; however, given the prevalence of disability </w:t>
                            </w:r>
                            <w:r w:rsidRPr="00820B09">
                              <w:rPr>
                                <w:rFonts w:asciiTheme="majorHAnsi" w:hAnsiTheme="majorHAnsi"/>
                                <w:sz w:val="20"/>
                                <w:szCs w:val="20"/>
                              </w:rPr>
                              <w:t xml:space="preserve">in all segments of </w:t>
                            </w:r>
                            <w:r w:rsidR="0073403B" w:rsidRPr="00820B09">
                              <w:rPr>
                                <w:rFonts w:asciiTheme="majorHAnsi" w:hAnsiTheme="majorHAnsi"/>
                                <w:sz w:val="20"/>
                                <w:szCs w:val="20"/>
                              </w:rPr>
                              <w:t xml:space="preserve">the population, </w:t>
                            </w:r>
                            <w:r w:rsidRPr="00820B09">
                              <w:rPr>
                                <w:rFonts w:asciiTheme="majorHAnsi" w:hAnsiTheme="majorHAnsi"/>
                                <w:sz w:val="20"/>
                                <w:szCs w:val="20"/>
                              </w:rPr>
                              <w:t xml:space="preserve">and the specific barriers they face to access financial services, it is important that at least one board member has direct experience of disability inclusion and partnering with </w:t>
                            </w:r>
                            <w:r w:rsidR="00FE5465" w:rsidRPr="00820B09">
                              <w:rPr>
                                <w:rFonts w:asciiTheme="majorHAnsi" w:hAnsiTheme="majorHAnsi"/>
                                <w:sz w:val="20"/>
                                <w:szCs w:val="20"/>
                              </w:rPr>
                              <w:t>organizations of persons with disabilities (</w:t>
                            </w:r>
                            <w:r w:rsidRPr="00820B09">
                              <w:rPr>
                                <w:rFonts w:asciiTheme="majorHAnsi" w:hAnsiTheme="majorHAnsi"/>
                                <w:sz w:val="20"/>
                                <w:szCs w:val="20"/>
                              </w:rPr>
                              <w:t>OPDs</w:t>
                            </w:r>
                            <w:r w:rsidR="00FE5465" w:rsidRPr="00820B09">
                              <w:rPr>
                                <w:rFonts w:asciiTheme="majorHAnsi" w:hAnsiTheme="majorHAnsi"/>
                                <w:sz w:val="20"/>
                                <w:szCs w:val="20"/>
                              </w:rPr>
                              <w:t>)</w:t>
                            </w:r>
                            <w:r w:rsidRPr="00820B09">
                              <w:rPr>
                                <w:rFonts w:asciiTheme="majorHAnsi" w:hAnsiTheme="majorHAnsi"/>
                                <w:sz w:val="20"/>
                                <w:szCs w:val="20"/>
                              </w:rPr>
                              <w:t xml:space="preserve">, </w:t>
                            </w:r>
                          </w:p>
                          <w:p w14:paraId="59FCC407" w14:textId="3089396E" w:rsidR="00591218" w:rsidRDefault="00A6505E" w:rsidP="0073403B">
                            <w:pPr>
                              <w:pStyle w:val="NormalWeb"/>
                              <w:rPr>
                                <w:rFonts w:asciiTheme="majorHAnsi" w:hAnsiTheme="majorHAnsi"/>
                                <w:sz w:val="20"/>
                                <w:szCs w:val="20"/>
                              </w:rPr>
                            </w:pPr>
                            <w:r w:rsidRPr="00820B09">
                              <w:rPr>
                                <w:rFonts w:asciiTheme="majorHAnsi" w:hAnsiTheme="majorHAnsi"/>
                                <w:sz w:val="20"/>
                                <w:szCs w:val="20"/>
                              </w:rPr>
                              <w:t>Alternatively, the FSP should b</w:t>
                            </w:r>
                            <w:r w:rsidR="00591218" w:rsidRPr="00820B09">
                              <w:rPr>
                                <w:rFonts w:asciiTheme="majorHAnsi" w:hAnsiTheme="majorHAnsi"/>
                                <w:sz w:val="20"/>
                                <w:szCs w:val="20"/>
                              </w:rPr>
                              <w:t>uild partnerships with organizations of persons with disabilities and seek technical support from disability inclusion specialists</w:t>
                            </w:r>
                            <w:r w:rsidR="00EF4F6E" w:rsidRPr="00820B09">
                              <w:rPr>
                                <w:rFonts w:asciiTheme="majorHAnsi" w:hAnsiTheme="majorHAnsi"/>
                                <w:sz w:val="20"/>
                                <w:szCs w:val="20"/>
                              </w:rPr>
                              <w:t xml:space="preserve"> to </w:t>
                            </w:r>
                            <w:r w:rsidRPr="00820B09">
                              <w:rPr>
                                <w:rFonts w:asciiTheme="majorHAnsi" w:hAnsiTheme="majorHAnsi"/>
                                <w:sz w:val="20"/>
                                <w:szCs w:val="20"/>
                              </w:rPr>
                              <w:t xml:space="preserve">build their knowledge and capabilities in disability inclusion, and </w:t>
                            </w:r>
                            <w:r w:rsidR="00EF4F6E" w:rsidRPr="00820B09">
                              <w:rPr>
                                <w:rFonts w:asciiTheme="majorHAnsi" w:hAnsiTheme="majorHAnsi"/>
                                <w:sz w:val="20"/>
                                <w:szCs w:val="20"/>
                              </w:rPr>
                              <w:t>support the development of disabili</w:t>
                            </w:r>
                            <w:r w:rsidRPr="00820B09">
                              <w:rPr>
                                <w:rFonts w:asciiTheme="majorHAnsi" w:hAnsiTheme="majorHAnsi"/>
                                <w:sz w:val="20"/>
                                <w:szCs w:val="20"/>
                              </w:rPr>
                              <w:t>ty-</w:t>
                            </w:r>
                            <w:r w:rsidR="00EF4F6E" w:rsidRPr="00820B09">
                              <w:rPr>
                                <w:rFonts w:asciiTheme="majorHAnsi" w:hAnsiTheme="majorHAnsi"/>
                                <w:sz w:val="20"/>
                                <w:szCs w:val="20"/>
                              </w:rPr>
                              <w:t>inclusi</w:t>
                            </w:r>
                            <w:r w:rsidRPr="00820B09">
                              <w:rPr>
                                <w:rFonts w:asciiTheme="majorHAnsi" w:hAnsiTheme="majorHAnsi"/>
                                <w:sz w:val="20"/>
                                <w:szCs w:val="20"/>
                              </w:rPr>
                              <w:t>ve</w:t>
                            </w:r>
                            <w:r w:rsidR="00EF4F6E" w:rsidRPr="00820B09">
                              <w:rPr>
                                <w:rFonts w:asciiTheme="majorHAnsi" w:hAnsiTheme="majorHAnsi"/>
                                <w:sz w:val="20"/>
                                <w:szCs w:val="20"/>
                              </w:rPr>
                              <w:t xml:space="preserve"> strategies.</w:t>
                            </w:r>
                          </w:p>
                          <w:p w14:paraId="263B7A2C" w14:textId="6161D27F" w:rsidR="00736B83" w:rsidRPr="00820B09" w:rsidRDefault="00C92F57" w:rsidP="0073403B">
                            <w:pPr>
                              <w:pStyle w:val="NormalWeb"/>
                              <w:rPr>
                                <w:rFonts w:asciiTheme="majorHAnsi" w:hAnsiTheme="majorHAnsi"/>
                                <w:sz w:val="20"/>
                                <w:szCs w:val="20"/>
                              </w:rPr>
                            </w:pPr>
                            <w:r w:rsidRPr="00C92F57">
                              <w:rPr>
                                <w:rFonts w:asciiTheme="majorHAnsi" w:hAnsiTheme="majorHAnsi"/>
                                <w:b/>
                                <w:bCs/>
                                <w:sz w:val="20"/>
                                <w:szCs w:val="20"/>
                              </w:rPr>
                              <w:t>Organizations of persons with disabilities (OPDs)</w:t>
                            </w:r>
                            <w:r w:rsidRPr="00C92F57">
                              <w:rPr>
                                <w:rFonts w:asciiTheme="majorHAnsi" w:hAnsiTheme="majorHAnsi"/>
                                <w:sz w:val="20"/>
                                <w:szCs w:val="20"/>
                              </w:rPr>
                              <w:t xml:space="preserve"> are civil society organizations led and run by persons with disabilities and / or their caregivers, which advocate for disability rights and inclusion, and / or provide services for their members.</w:t>
                            </w:r>
                            <w:r>
                              <w:rPr>
                                <w:rFonts w:asciiTheme="majorHAnsi" w:hAnsiTheme="majorHAnsi"/>
                                <w:sz w:val="20"/>
                                <w:szCs w:val="20"/>
                              </w:rPr>
                              <w:t xml:space="preserve"> </w:t>
                            </w:r>
                            <w:r w:rsidRPr="00C92F57">
                              <w:rPr>
                                <w:rFonts w:asciiTheme="majorHAnsi" w:hAnsiTheme="majorHAnsi"/>
                                <w:sz w:val="20"/>
                                <w:szCs w:val="20"/>
                              </w:rPr>
                              <w:t xml:space="preserve">Active participation of OPDs and persons with disabilities is a central principle of disability inclusion, and underpins all the practices </w:t>
                            </w:r>
                            <w:r>
                              <w:rPr>
                                <w:rFonts w:asciiTheme="majorHAnsi" w:hAnsiTheme="majorHAnsi"/>
                                <w:sz w:val="20"/>
                                <w:szCs w:val="20"/>
                              </w:rPr>
                              <w:t>referenced</w:t>
                            </w:r>
                            <w:r w:rsidRPr="00C92F57">
                              <w:rPr>
                                <w:rFonts w:asciiTheme="majorHAnsi" w:hAnsiTheme="majorHAnsi"/>
                                <w:sz w:val="20"/>
                                <w:szCs w:val="20"/>
                              </w:rPr>
                              <w:t xml:space="preserve"> in this guide.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EE0A1BC" id="_x0000_s1034" type="#_x0000_t202" style="position:absolute;left:0;text-align:left;margin-left:0;margin-top:0;width:2in;height:2in;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LMD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2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HccswMrAgAAWgQAAA4AAAAAAAAAAAAAAAAALgIAAGRycy9lMm9Eb2Mu&#10;eG1sUEsBAi0AFAAGAAgAAAAhALcMAwjXAAAABQEAAA8AAAAAAAAAAAAAAAAAhQQAAGRycy9kb3du&#10;cmV2LnhtbFBLBQYAAAAABAAEAPMAAACJBQAAAAA=&#10;" filled="f" strokeweight=".5pt">
                <v:textbox style="mso-fit-shape-to-text:t">
                  <w:txbxContent>
                    <w:p w14:paraId="2C29C5F0" w14:textId="1A526128" w:rsidR="007D3481" w:rsidRPr="00820B09" w:rsidRDefault="00B53772" w:rsidP="00EE208A">
                      <w:pPr>
                        <w:pStyle w:val="paragraph"/>
                        <w:spacing w:before="0" w:beforeAutospacing="0" w:after="0" w:afterAutospacing="0"/>
                        <w:jc w:val="both"/>
                        <w:textAlignment w:val="baseline"/>
                        <w:rPr>
                          <w:rFonts w:asciiTheme="majorHAnsi" w:hAnsiTheme="majorHAnsi"/>
                          <w:b/>
                          <w:bCs/>
                          <w:sz w:val="20"/>
                          <w:szCs w:val="20"/>
                        </w:rPr>
                      </w:pPr>
                      <w:r w:rsidRPr="00820B09">
                        <w:rPr>
                          <w:rFonts w:asciiTheme="majorHAnsi" w:hAnsiTheme="majorHAnsi"/>
                          <w:b/>
                          <w:bCs/>
                          <w:sz w:val="20"/>
                          <w:szCs w:val="20"/>
                        </w:rPr>
                        <w:t>Disability Inclusion – Info Box</w:t>
                      </w:r>
                      <w:r w:rsidR="007D3481" w:rsidRPr="00820B09">
                        <w:rPr>
                          <w:rFonts w:asciiTheme="majorHAnsi" w:hAnsiTheme="majorHAnsi"/>
                          <w:b/>
                          <w:bCs/>
                          <w:sz w:val="20"/>
                          <w:szCs w:val="20"/>
                        </w:rPr>
                        <w:t xml:space="preserve"> 2.A.1.2</w:t>
                      </w:r>
                    </w:p>
                    <w:p w14:paraId="17819B0D" w14:textId="10D04D00" w:rsidR="0073403B" w:rsidRPr="00820B09" w:rsidRDefault="00A6505E" w:rsidP="0073403B">
                      <w:pPr>
                        <w:pStyle w:val="NormalWeb"/>
                        <w:rPr>
                          <w:rFonts w:asciiTheme="majorHAnsi" w:hAnsiTheme="majorHAnsi"/>
                          <w:sz w:val="20"/>
                          <w:szCs w:val="20"/>
                        </w:rPr>
                      </w:pPr>
                      <w:r w:rsidRPr="00820B09">
                        <w:rPr>
                          <w:rFonts w:asciiTheme="majorHAnsi" w:hAnsiTheme="majorHAnsi"/>
                          <w:sz w:val="20"/>
                          <w:szCs w:val="20"/>
                        </w:rPr>
                        <w:t xml:space="preserve">FSPs should proactively seek candidates for board positions with experience working with persons with disabilities, to ensure first-hand knowledge and understanding of the needs of persons with disabilities within the target client base, and strategies for inclusion. </w:t>
                      </w:r>
                      <w:r w:rsidR="0073403B" w:rsidRPr="00820B09">
                        <w:rPr>
                          <w:rFonts w:asciiTheme="majorHAnsi" w:hAnsiTheme="majorHAnsi"/>
                          <w:sz w:val="20"/>
                          <w:szCs w:val="20"/>
                        </w:rPr>
                        <w:t xml:space="preserve">Experience working with other vulnerable groups is helpful; however, given the prevalence of disability </w:t>
                      </w:r>
                      <w:r w:rsidRPr="00820B09">
                        <w:rPr>
                          <w:rFonts w:asciiTheme="majorHAnsi" w:hAnsiTheme="majorHAnsi"/>
                          <w:sz w:val="20"/>
                          <w:szCs w:val="20"/>
                        </w:rPr>
                        <w:t xml:space="preserve">in all segments of </w:t>
                      </w:r>
                      <w:r w:rsidR="0073403B" w:rsidRPr="00820B09">
                        <w:rPr>
                          <w:rFonts w:asciiTheme="majorHAnsi" w:hAnsiTheme="majorHAnsi"/>
                          <w:sz w:val="20"/>
                          <w:szCs w:val="20"/>
                        </w:rPr>
                        <w:t xml:space="preserve">the population, </w:t>
                      </w:r>
                      <w:r w:rsidRPr="00820B09">
                        <w:rPr>
                          <w:rFonts w:asciiTheme="majorHAnsi" w:hAnsiTheme="majorHAnsi"/>
                          <w:sz w:val="20"/>
                          <w:szCs w:val="20"/>
                        </w:rPr>
                        <w:t xml:space="preserve">and the specific barriers they face to access financial services, it is important that at least one board member has direct experience of disability inclusion and partnering with </w:t>
                      </w:r>
                      <w:r w:rsidR="00FE5465" w:rsidRPr="00820B09">
                        <w:rPr>
                          <w:rFonts w:asciiTheme="majorHAnsi" w:hAnsiTheme="majorHAnsi"/>
                          <w:sz w:val="20"/>
                          <w:szCs w:val="20"/>
                        </w:rPr>
                        <w:t>organizations of persons with disabilities (</w:t>
                      </w:r>
                      <w:r w:rsidRPr="00820B09">
                        <w:rPr>
                          <w:rFonts w:asciiTheme="majorHAnsi" w:hAnsiTheme="majorHAnsi"/>
                          <w:sz w:val="20"/>
                          <w:szCs w:val="20"/>
                        </w:rPr>
                        <w:t>OPDs</w:t>
                      </w:r>
                      <w:r w:rsidR="00FE5465" w:rsidRPr="00820B09">
                        <w:rPr>
                          <w:rFonts w:asciiTheme="majorHAnsi" w:hAnsiTheme="majorHAnsi"/>
                          <w:sz w:val="20"/>
                          <w:szCs w:val="20"/>
                        </w:rPr>
                        <w:t>)</w:t>
                      </w:r>
                      <w:r w:rsidRPr="00820B09">
                        <w:rPr>
                          <w:rFonts w:asciiTheme="majorHAnsi" w:hAnsiTheme="majorHAnsi"/>
                          <w:sz w:val="20"/>
                          <w:szCs w:val="20"/>
                        </w:rPr>
                        <w:t xml:space="preserve">, </w:t>
                      </w:r>
                    </w:p>
                    <w:p w14:paraId="59FCC407" w14:textId="3089396E" w:rsidR="00591218" w:rsidRDefault="00A6505E" w:rsidP="0073403B">
                      <w:pPr>
                        <w:pStyle w:val="NormalWeb"/>
                        <w:rPr>
                          <w:rFonts w:asciiTheme="majorHAnsi" w:hAnsiTheme="majorHAnsi"/>
                          <w:sz w:val="20"/>
                          <w:szCs w:val="20"/>
                        </w:rPr>
                      </w:pPr>
                      <w:r w:rsidRPr="00820B09">
                        <w:rPr>
                          <w:rFonts w:asciiTheme="majorHAnsi" w:hAnsiTheme="majorHAnsi"/>
                          <w:sz w:val="20"/>
                          <w:szCs w:val="20"/>
                        </w:rPr>
                        <w:t>Alternatively, the FSP should b</w:t>
                      </w:r>
                      <w:r w:rsidR="00591218" w:rsidRPr="00820B09">
                        <w:rPr>
                          <w:rFonts w:asciiTheme="majorHAnsi" w:hAnsiTheme="majorHAnsi"/>
                          <w:sz w:val="20"/>
                          <w:szCs w:val="20"/>
                        </w:rPr>
                        <w:t>uild partnerships with organizations of persons with disabilities and seek technical support from disability inclusion specialists</w:t>
                      </w:r>
                      <w:r w:rsidR="00EF4F6E" w:rsidRPr="00820B09">
                        <w:rPr>
                          <w:rFonts w:asciiTheme="majorHAnsi" w:hAnsiTheme="majorHAnsi"/>
                          <w:sz w:val="20"/>
                          <w:szCs w:val="20"/>
                        </w:rPr>
                        <w:t xml:space="preserve"> to </w:t>
                      </w:r>
                      <w:r w:rsidRPr="00820B09">
                        <w:rPr>
                          <w:rFonts w:asciiTheme="majorHAnsi" w:hAnsiTheme="majorHAnsi"/>
                          <w:sz w:val="20"/>
                          <w:szCs w:val="20"/>
                        </w:rPr>
                        <w:t xml:space="preserve">build their knowledge and capabilities in disability inclusion, and </w:t>
                      </w:r>
                      <w:r w:rsidR="00EF4F6E" w:rsidRPr="00820B09">
                        <w:rPr>
                          <w:rFonts w:asciiTheme="majorHAnsi" w:hAnsiTheme="majorHAnsi"/>
                          <w:sz w:val="20"/>
                          <w:szCs w:val="20"/>
                        </w:rPr>
                        <w:t>support the development of disabili</w:t>
                      </w:r>
                      <w:r w:rsidRPr="00820B09">
                        <w:rPr>
                          <w:rFonts w:asciiTheme="majorHAnsi" w:hAnsiTheme="majorHAnsi"/>
                          <w:sz w:val="20"/>
                          <w:szCs w:val="20"/>
                        </w:rPr>
                        <w:t>ty-</w:t>
                      </w:r>
                      <w:r w:rsidR="00EF4F6E" w:rsidRPr="00820B09">
                        <w:rPr>
                          <w:rFonts w:asciiTheme="majorHAnsi" w:hAnsiTheme="majorHAnsi"/>
                          <w:sz w:val="20"/>
                          <w:szCs w:val="20"/>
                        </w:rPr>
                        <w:t>inclusi</w:t>
                      </w:r>
                      <w:r w:rsidRPr="00820B09">
                        <w:rPr>
                          <w:rFonts w:asciiTheme="majorHAnsi" w:hAnsiTheme="majorHAnsi"/>
                          <w:sz w:val="20"/>
                          <w:szCs w:val="20"/>
                        </w:rPr>
                        <w:t>ve</w:t>
                      </w:r>
                      <w:r w:rsidR="00EF4F6E" w:rsidRPr="00820B09">
                        <w:rPr>
                          <w:rFonts w:asciiTheme="majorHAnsi" w:hAnsiTheme="majorHAnsi"/>
                          <w:sz w:val="20"/>
                          <w:szCs w:val="20"/>
                        </w:rPr>
                        <w:t xml:space="preserve"> strategies.</w:t>
                      </w:r>
                    </w:p>
                    <w:p w14:paraId="263B7A2C" w14:textId="6161D27F" w:rsidR="00736B83" w:rsidRPr="00820B09" w:rsidRDefault="00C92F57" w:rsidP="0073403B">
                      <w:pPr>
                        <w:pStyle w:val="NormalWeb"/>
                        <w:rPr>
                          <w:rFonts w:asciiTheme="majorHAnsi" w:hAnsiTheme="majorHAnsi"/>
                          <w:sz w:val="20"/>
                          <w:szCs w:val="20"/>
                        </w:rPr>
                      </w:pPr>
                      <w:r w:rsidRPr="00C92F57">
                        <w:rPr>
                          <w:rFonts w:asciiTheme="majorHAnsi" w:hAnsiTheme="majorHAnsi"/>
                          <w:b/>
                          <w:bCs/>
                          <w:sz w:val="20"/>
                          <w:szCs w:val="20"/>
                        </w:rPr>
                        <w:t>Organizations of persons with disabilities (OPDs)</w:t>
                      </w:r>
                      <w:r w:rsidRPr="00C92F57">
                        <w:rPr>
                          <w:rFonts w:asciiTheme="majorHAnsi" w:hAnsiTheme="majorHAnsi"/>
                          <w:sz w:val="20"/>
                          <w:szCs w:val="20"/>
                        </w:rPr>
                        <w:t xml:space="preserve"> are civil society organizations led and run by persons with disabilities and / or their caregivers, which advocate for disability rights and inclusion, and / or provide services for their members.</w:t>
                      </w:r>
                      <w:r>
                        <w:rPr>
                          <w:rFonts w:asciiTheme="majorHAnsi" w:hAnsiTheme="majorHAnsi"/>
                          <w:sz w:val="20"/>
                          <w:szCs w:val="20"/>
                        </w:rPr>
                        <w:t xml:space="preserve"> </w:t>
                      </w:r>
                      <w:r w:rsidRPr="00C92F57">
                        <w:rPr>
                          <w:rFonts w:asciiTheme="majorHAnsi" w:hAnsiTheme="majorHAnsi"/>
                          <w:sz w:val="20"/>
                          <w:szCs w:val="20"/>
                        </w:rPr>
                        <w:t xml:space="preserve">Active participation of OPDs and persons with disabilities is a central principle of disability inclusion, and underpins all the practices </w:t>
                      </w:r>
                      <w:r>
                        <w:rPr>
                          <w:rFonts w:asciiTheme="majorHAnsi" w:hAnsiTheme="majorHAnsi"/>
                          <w:sz w:val="20"/>
                          <w:szCs w:val="20"/>
                        </w:rPr>
                        <w:t>referenced</w:t>
                      </w:r>
                      <w:r w:rsidRPr="00C92F57">
                        <w:rPr>
                          <w:rFonts w:asciiTheme="majorHAnsi" w:hAnsiTheme="majorHAnsi"/>
                          <w:sz w:val="20"/>
                          <w:szCs w:val="20"/>
                        </w:rPr>
                        <w:t xml:space="preserve"> in this guide.</w:t>
                      </w:r>
                    </w:p>
                  </w:txbxContent>
                </v:textbox>
                <w10:wrap type="square"/>
              </v:shape>
            </w:pict>
          </mc:Fallback>
        </mc:AlternateContent>
      </w:r>
    </w:p>
    <w:p w14:paraId="10259A5A" w14:textId="77777777"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Scoring guidance</w:t>
      </w:r>
    </w:p>
    <w:p w14:paraId="0D9F1630" w14:textId="77777777" w:rsidR="00B37F93" w:rsidRPr="00A608EE" w:rsidRDefault="00B37F93" w:rsidP="00A27AAA">
      <w:pPr>
        <w:pStyle w:val="paragraph"/>
        <w:numPr>
          <w:ilvl w:val="0"/>
          <w:numId w:val="11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To score 'yes', if the two conditions are fulfilled:</w:t>
      </w:r>
    </w:p>
    <w:p w14:paraId="2B22D85A" w14:textId="77777777" w:rsidR="00B37F93" w:rsidRPr="00A608EE" w:rsidRDefault="00B37F93" w:rsidP="00A27AAA">
      <w:pPr>
        <w:pStyle w:val="paragraph"/>
        <w:numPr>
          <w:ilvl w:val="1"/>
          <w:numId w:val="11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At least one board member must have experience with the provider’s target clients through his/her current work, recent (less than 5 years) previous experiences, studies and advice as verified by her/his profile.</w:t>
      </w:r>
    </w:p>
    <w:p w14:paraId="72D2AEE9" w14:textId="77777777" w:rsidR="00B37F93" w:rsidRPr="00A608EE" w:rsidRDefault="00B37F93" w:rsidP="00A27AAA">
      <w:pPr>
        <w:pStyle w:val="paragraph"/>
        <w:numPr>
          <w:ilvl w:val="1"/>
          <w:numId w:val="11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S/he must be a pro-active board member with no operational functions at the provider.</w:t>
      </w:r>
    </w:p>
    <w:p w14:paraId="178D2605" w14:textId="77777777" w:rsidR="00B37F93" w:rsidRPr="00A608EE" w:rsidRDefault="00B37F93" w:rsidP="00A27AAA">
      <w:pPr>
        <w:pStyle w:val="paragraph"/>
        <w:numPr>
          <w:ilvl w:val="0"/>
          <w:numId w:val="11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To score 'partially', if only one of the above two conditions is fulfilled.</w:t>
      </w:r>
    </w:p>
    <w:p w14:paraId="1CF84D95" w14:textId="77777777" w:rsidR="00B37F93" w:rsidRPr="00A608EE" w:rsidRDefault="00B37F93" w:rsidP="00A27AAA">
      <w:pPr>
        <w:pStyle w:val="paragraph"/>
        <w:numPr>
          <w:ilvl w:val="0"/>
          <w:numId w:val="11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To score ‘no’, if none of the two conditions is fulfilled.</w:t>
      </w:r>
    </w:p>
    <w:p w14:paraId="0851F4EF" w14:textId="77777777" w:rsidR="00B37F93" w:rsidRPr="00A608EE" w:rsidRDefault="00B37F93" w:rsidP="00EE208A">
      <w:pPr>
        <w:pStyle w:val="paragraph"/>
        <w:spacing w:before="0" w:beforeAutospacing="0" w:after="0" w:afterAutospacing="0"/>
        <w:jc w:val="both"/>
        <w:textAlignment w:val="baseline"/>
        <w:rPr>
          <w:rFonts w:asciiTheme="majorHAnsi" w:hAnsiTheme="majorHAnsi"/>
          <w:sz w:val="20"/>
          <w:szCs w:val="20"/>
        </w:rPr>
      </w:pPr>
    </w:p>
    <w:p w14:paraId="11D65A30" w14:textId="77777777" w:rsidR="0053439B" w:rsidRPr="00A608EE" w:rsidRDefault="0053439B" w:rsidP="00EE208A">
      <w:pPr>
        <w:pStyle w:val="paragraph"/>
        <w:spacing w:before="0" w:beforeAutospacing="0" w:after="0" w:afterAutospacing="0"/>
        <w:jc w:val="both"/>
        <w:textAlignment w:val="baseline"/>
        <w:rPr>
          <w:rFonts w:asciiTheme="majorHAnsi" w:hAnsiTheme="majorHAnsi"/>
          <w:sz w:val="20"/>
          <w:szCs w:val="20"/>
        </w:rPr>
      </w:pPr>
    </w:p>
    <w:p w14:paraId="7CC516B5" w14:textId="77777777"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Sources of information</w:t>
      </w:r>
    </w:p>
    <w:p w14:paraId="300505D5" w14:textId="77777777" w:rsidR="00B37F93" w:rsidRPr="00A608EE" w:rsidRDefault="00B37F93" w:rsidP="00A27AAA">
      <w:pPr>
        <w:pStyle w:val="paragraph"/>
        <w:numPr>
          <w:ilvl w:val="0"/>
          <w:numId w:val="11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lastRenderedPageBreak/>
        <w:t>Board composition and board members curriculum vitae (CV)</w:t>
      </w:r>
    </w:p>
    <w:p w14:paraId="4BBD7B65" w14:textId="77777777" w:rsidR="00B37F93" w:rsidRPr="00A608EE" w:rsidRDefault="00B37F93" w:rsidP="00A27AAA">
      <w:pPr>
        <w:pStyle w:val="paragraph"/>
        <w:numPr>
          <w:ilvl w:val="0"/>
          <w:numId w:val="11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Attendance and participation of the experienced board members (with the target clients) at the board meetings as reflected by the board minutes</w:t>
      </w:r>
    </w:p>
    <w:p w14:paraId="3F33A251" w14:textId="77777777" w:rsidR="00B37F93" w:rsidRPr="00A608EE" w:rsidRDefault="00B37F93" w:rsidP="00A27AAA">
      <w:pPr>
        <w:pStyle w:val="paragraph"/>
        <w:numPr>
          <w:ilvl w:val="0"/>
          <w:numId w:val="11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Interviews with Board members</w:t>
      </w:r>
    </w:p>
    <w:p w14:paraId="4317F74D" w14:textId="77777777" w:rsidR="00B37F93" w:rsidRPr="00A608EE" w:rsidRDefault="00B37F93" w:rsidP="00EE208A">
      <w:pPr>
        <w:pStyle w:val="paragraph"/>
        <w:spacing w:before="0" w:beforeAutospacing="0" w:after="0" w:afterAutospacing="0"/>
        <w:jc w:val="both"/>
        <w:textAlignment w:val="baseline"/>
        <w:rPr>
          <w:rFonts w:asciiTheme="majorHAnsi" w:hAnsiTheme="majorHAnsi"/>
          <w:sz w:val="20"/>
          <w:szCs w:val="20"/>
        </w:rPr>
      </w:pPr>
    </w:p>
    <w:p w14:paraId="3AE6C1FC" w14:textId="77777777"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Evidence to provide</w:t>
      </w:r>
    </w:p>
    <w:p w14:paraId="31130FBB" w14:textId="44EAF031" w:rsidR="009847EB" w:rsidRPr="00A608EE" w:rsidRDefault="00B37F93" w:rsidP="00EE208A">
      <w:pPr>
        <w:pStyle w:val="paragraph"/>
        <w:spacing w:before="0" w:beforeAutospacing="0" w:after="0" w:afterAutospacing="0"/>
        <w:jc w:val="both"/>
        <w:textAlignment w:val="baseline"/>
        <w:rPr>
          <w:rStyle w:val="eop"/>
          <w:rFonts w:asciiTheme="majorHAnsi" w:hAnsiTheme="majorHAnsi"/>
          <w:sz w:val="20"/>
          <w:szCs w:val="20"/>
        </w:rPr>
      </w:pPr>
      <w:r w:rsidRPr="00A608EE">
        <w:rPr>
          <w:rFonts w:asciiTheme="majorHAnsi" w:hAnsiTheme="majorHAnsi"/>
          <w:sz w:val="20"/>
          <w:szCs w:val="20"/>
        </w:rPr>
        <w:t>Share in few key words the experience of the Board members related to the target clients of the provider. If the board has a board composition policy or targets related to board member experience, share that as well.</w:t>
      </w:r>
    </w:p>
    <w:p w14:paraId="0D1E5D29" w14:textId="77777777" w:rsidR="00856998" w:rsidRPr="00A608EE" w:rsidRDefault="00856998" w:rsidP="00EE208A">
      <w:pPr>
        <w:pStyle w:val="paragraph"/>
        <w:spacing w:before="0" w:beforeAutospacing="0" w:after="0" w:afterAutospacing="0"/>
        <w:jc w:val="both"/>
        <w:textAlignment w:val="baseline"/>
        <w:rPr>
          <w:rStyle w:val="eop"/>
          <w:rFonts w:asciiTheme="majorHAnsi" w:hAnsiTheme="majorHAnsi"/>
          <w:sz w:val="20"/>
          <w:szCs w:val="20"/>
        </w:rPr>
      </w:pPr>
    </w:p>
    <w:p w14:paraId="61361D57" w14:textId="3168DD8E" w:rsidR="00856998" w:rsidRPr="00A608EE" w:rsidRDefault="00856998" w:rsidP="00EE208A">
      <w:pPr>
        <w:pStyle w:val="Heading4"/>
        <w:spacing w:before="0" w:line="240" w:lineRule="auto"/>
        <w:jc w:val="both"/>
        <w:rPr>
          <w:rStyle w:val="normaltextrun"/>
        </w:rPr>
      </w:pPr>
      <w:r w:rsidRPr="00A608EE">
        <w:rPr>
          <w:rStyle w:val="normaltextrun"/>
        </w:rPr>
        <w:t xml:space="preserve">2.A.1.4 </w:t>
      </w:r>
      <w:r w:rsidR="00B37F93" w:rsidRPr="00A608EE">
        <w:rPr>
          <w:rStyle w:val="normaltextrun"/>
        </w:rPr>
        <w:t>The board includes members whose nationality/ethnicity is representative of the provider’s target clients</w:t>
      </w:r>
      <w:r w:rsidRPr="00A608EE">
        <w:rPr>
          <w:rStyle w:val="normaltextrun"/>
        </w:rPr>
        <w:t>.</w:t>
      </w:r>
    </w:p>
    <w:p w14:paraId="1A79EFF0" w14:textId="77777777" w:rsidR="00856998" w:rsidRPr="00A608EE" w:rsidRDefault="00856998" w:rsidP="00EE208A">
      <w:pPr>
        <w:pStyle w:val="paragraph"/>
        <w:spacing w:before="0" w:beforeAutospacing="0" w:after="0" w:afterAutospacing="0"/>
        <w:jc w:val="both"/>
        <w:rPr>
          <w:rFonts w:asciiTheme="majorHAnsi" w:hAnsiTheme="majorHAnsi"/>
          <w:sz w:val="20"/>
          <w:szCs w:val="20"/>
        </w:rPr>
      </w:pPr>
    </w:p>
    <w:p w14:paraId="2D0AF902" w14:textId="5AA2FFC7" w:rsidR="00856998" w:rsidRPr="00A608EE" w:rsidRDefault="004921CE" w:rsidP="00EE208A">
      <w:pPr>
        <w:pStyle w:val="paragraph"/>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4F5FC3" w:rsidRPr="00A608EE">
        <w:rPr>
          <w:rFonts w:asciiTheme="majorHAnsi" w:hAnsiTheme="majorHAnsi"/>
          <w:b/>
          <w:bCs/>
          <w:color w:val="2145CC" w:themeColor="accent5" w:themeShade="BF"/>
          <w:sz w:val="20"/>
          <w:szCs w:val="20"/>
        </w:rPr>
        <w:t xml:space="preserve">Indicator in </w:t>
      </w:r>
      <w:r w:rsidR="00856998"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18FF7BB9" w14:textId="4B10526F" w:rsidR="00856998" w:rsidRPr="00A608EE" w:rsidRDefault="002F5F81"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3373B417" w14:textId="4AA36B2B" w:rsidR="002F5F81" w:rsidRPr="00A608EE" w:rsidRDefault="00B37F93" w:rsidP="00EE208A">
      <w:pPr>
        <w:jc w:val="both"/>
        <w:rPr>
          <w:rFonts w:asciiTheme="majorHAnsi" w:hAnsiTheme="majorHAnsi"/>
          <w:sz w:val="20"/>
          <w:szCs w:val="15"/>
          <w:lang w:eastAsia="fr-FR"/>
        </w:rPr>
      </w:pPr>
      <w:r w:rsidRPr="00A608EE">
        <w:rPr>
          <w:rFonts w:asciiTheme="majorHAnsi" w:hAnsiTheme="majorHAnsi"/>
          <w:sz w:val="20"/>
          <w:szCs w:val="15"/>
          <w:lang w:eastAsia="fr-FR"/>
        </w:rPr>
        <w:t>The board’s full understanding of the socio-economic, cultural, religious and other characteristics of the targeted client segments is a prerequisite for its social performance responsibilities in ensuring that client-centric products/services and their distribution channels are offered and do create positive client benefits. This understanding is best ensured if there are at least two board members from the same nationality as the clients and preferably from the main ethnic groups served by the provider. One of the two board members could be a representative of the employees, if the provider has supported a staff association or company as additional shareholder. It is poor governance, if board members are only foreign shareholders with little knowledge of the clients’ livelihood conditions and their social and business environment.</w:t>
      </w:r>
    </w:p>
    <w:p w14:paraId="1457E041" w14:textId="77777777" w:rsidR="00672763" w:rsidRPr="00A608EE" w:rsidRDefault="00672763" w:rsidP="00EE208A">
      <w:pPr>
        <w:jc w:val="both"/>
        <w:rPr>
          <w:rFonts w:asciiTheme="majorHAnsi" w:hAnsiTheme="majorHAnsi"/>
          <w:sz w:val="20"/>
          <w:szCs w:val="15"/>
          <w:lang w:eastAsia="fr-FR"/>
        </w:rPr>
      </w:pPr>
    </w:p>
    <w:p w14:paraId="0A264DAD"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07744" behindDoc="1" locked="0" layoutInCell="1" allowOverlap="1" wp14:anchorId="7A7E8DEE" wp14:editId="7316E6FA">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716922873"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18443B5" w14:textId="77777777" w:rsidR="00672763" w:rsidRPr="00A608EE" w:rsidRDefault="00672763" w:rsidP="00EE208A">
      <w:pPr>
        <w:jc w:val="both"/>
        <w:rPr>
          <w:rFonts w:asciiTheme="majorHAnsi" w:hAnsiTheme="majorHAnsi"/>
          <w:sz w:val="20"/>
          <w:szCs w:val="15"/>
          <w:lang w:eastAsia="fr-FR"/>
        </w:rPr>
      </w:pPr>
    </w:p>
    <w:p w14:paraId="74E26F6D" w14:textId="324698CF" w:rsidR="002F5F81" w:rsidRPr="00A608EE" w:rsidRDefault="004876A2" w:rsidP="002F5F81">
      <w:pPr>
        <w:pStyle w:val="paragraph"/>
        <w:spacing w:before="0" w:beforeAutospacing="0" w:after="0" w:afterAutospacing="0"/>
        <w:jc w:val="both"/>
        <w:textAlignment w:val="baseline"/>
        <w:rPr>
          <w:rFonts w:asciiTheme="majorHAnsi" w:hAnsiTheme="majorHAnsi"/>
          <w:sz w:val="20"/>
          <w:szCs w:val="15"/>
        </w:rPr>
      </w:pPr>
      <w:r w:rsidRPr="00A608EE">
        <w:rPr>
          <w:rFonts w:ascii="Work Sans" w:hAnsi="Work Sans"/>
          <w:b/>
          <w:bCs/>
          <w:sz w:val="20"/>
          <w:szCs w:val="20"/>
        </w:rPr>
        <w:t>DI Indicator:</w:t>
      </w:r>
      <w:r w:rsidRPr="00A608EE">
        <w:rPr>
          <w:rFonts w:ascii="Work Sans" w:hAnsi="Work Sans"/>
          <w:sz w:val="20"/>
          <w:szCs w:val="20"/>
        </w:rPr>
        <w:t xml:space="preserve"> </w:t>
      </w:r>
      <w:r w:rsidR="002F5F81" w:rsidRPr="00A608EE">
        <w:rPr>
          <w:rFonts w:asciiTheme="majorHAnsi" w:hAnsiTheme="majorHAnsi"/>
          <w:sz w:val="20"/>
          <w:szCs w:val="15"/>
        </w:rPr>
        <w:t>The board includes members who are representative of the provider’s target clients, including persons with disabilities, aligned to its social strategy. Alternatively, the provider may partner with OPDs to ensure appropriate representation of the perspectives of persons with disabilities.</w:t>
      </w:r>
    </w:p>
    <w:p w14:paraId="061B01E0" w14:textId="77777777" w:rsidR="009F7A90" w:rsidRPr="00A608EE" w:rsidRDefault="009F7A90" w:rsidP="002F5F81">
      <w:pPr>
        <w:pStyle w:val="paragraph"/>
        <w:spacing w:before="0" w:beforeAutospacing="0" w:after="0" w:afterAutospacing="0"/>
        <w:jc w:val="both"/>
        <w:textAlignment w:val="baseline"/>
        <w:rPr>
          <w:rStyle w:val="normaltextrun"/>
          <w:rFonts w:asciiTheme="majorHAnsi" w:hAnsiTheme="majorHAnsi"/>
          <w:sz w:val="20"/>
          <w:szCs w:val="20"/>
        </w:rPr>
      </w:pPr>
    </w:p>
    <w:p w14:paraId="45C09378" w14:textId="50E1EBAC" w:rsidR="002F5F81" w:rsidRPr="00A608EE" w:rsidRDefault="002F5F81" w:rsidP="002F5F81">
      <w:pPr>
        <w:pStyle w:val="paragraph"/>
        <w:spacing w:before="0" w:beforeAutospacing="0" w:after="0" w:afterAutospacing="0"/>
        <w:jc w:val="both"/>
        <w:textAlignment w:val="baseline"/>
        <w:rPr>
          <w:rStyle w:val="normaltextrun"/>
          <w:rFonts w:asciiTheme="majorHAnsi" w:hAnsiTheme="majorHAnsi"/>
          <w:sz w:val="20"/>
          <w:szCs w:val="20"/>
        </w:rPr>
      </w:pPr>
      <w:r w:rsidRPr="00A608EE">
        <w:rPr>
          <w:noProof/>
        </w:rPr>
        <mc:AlternateContent>
          <mc:Choice Requires="wps">
            <w:drawing>
              <wp:anchor distT="0" distB="0" distL="114300" distR="114300" simplePos="0" relativeHeight="251743232" behindDoc="0" locked="0" layoutInCell="1" allowOverlap="1" wp14:anchorId="5DC51EF1" wp14:editId="6E40FF08">
                <wp:simplePos x="0" y="0"/>
                <wp:positionH relativeFrom="column">
                  <wp:posOffset>0</wp:posOffset>
                </wp:positionH>
                <wp:positionV relativeFrom="paragraph">
                  <wp:posOffset>146050</wp:posOffset>
                </wp:positionV>
                <wp:extent cx="1828800" cy="1828800"/>
                <wp:effectExtent l="0" t="0" r="0" b="0"/>
                <wp:wrapSquare wrapText="bothSides"/>
                <wp:docPr id="1859524304"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B887485" w14:textId="34516D35" w:rsidR="002F5F81" w:rsidRPr="00820B09" w:rsidRDefault="00B53772" w:rsidP="002F5F81">
                            <w:pPr>
                              <w:pStyle w:val="paragraph"/>
                              <w:spacing w:before="0" w:beforeAutospacing="0" w:after="0" w:afterAutospacing="0"/>
                              <w:jc w:val="both"/>
                              <w:textAlignment w:val="baseline"/>
                              <w:rPr>
                                <w:rFonts w:asciiTheme="majorHAnsi" w:hAnsiTheme="majorHAnsi"/>
                                <w:b/>
                                <w:bCs/>
                                <w:sz w:val="20"/>
                                <w:szCs w:val="20"/>
                              </w:rPr>
                            </w:pPr>
                            <w:r w:rsidRPr="00820B09">
                              <w:rPr>
                                <w:rFonts w:asciiTheme="majorHAnsi" w:hAnsiTheme="majorHAnsi"/>
                                <w:b/>
                                <w:bCs/>
                                <w:sz w:val="20"/>
                                <w:szCs w:val="20"/>
                              </w:rPr>
                              <w:t xml:space="preserve">Disability Inclusion – Info </w:t>
                            </w:r>
                            <w:r w:rsidR="002F5F81" w:rsidRPr="00820B09">
                              <w:rPr>
                                <w:rFonts w:asciiTheme="majorHAnsi" w:hAnsiTheme="majorHAnsi"/>
                                <w:b/>
                                <w:bCs/>
                                <w:sz w:val="20"/>
                                <w:szCs w:val="20"/>
                              </w:rPr>
                              <w:t>Box 2.A.1.4</w:t>
                            </w:r>
                          </w:p>
                          <w:p w14:paraId="1E02EBAD" w14:textId="77777777" w:rsidR="002F5F81" w:rsidRPr="00820B09" w:rsidRDefault="002F5F81" w:rsidP="002F5F81">
                            <w:pPr>
                              <w:pStyle w:val="paragraph"/>
                              <w:spacing w:before="0" w:beforeAutospacing="0" w:after="0" w:afterAutospacing="0"/>
                              <w:jc w:val="both"/>
                              <w:textAlignment w:val="baseline"/>
                              <w:rPr>
                                <w:rFonts w:asciiTheme="majorHAnsi" w:hAnsiTheme="majorHAnsi"/>
                                <w:b/>
                                <w:bCs/>
                                <w:sz w:val="20"/>
                                <w:szCs w:val="20"/>
                              </w:rPr>
                            </w:pPr>
                          </w:p>
                          <w:p w14:paraId="79D6566A" w14:textId="4E466630" w:rsidR="002F5F81" w:rsidRPr="00820B09" w:rsidRDefault="00A6505E" w:rsidP="002F5F81">
                            <w:pPr>
                              <w:jc w:val="both"/>
                              <w:rPr>
                                <w:rFonts w:asciiTheme="majorHAnsi" w:hAnsiTheme="majorHAnsi"/>
                                <w:sz w:val="20"/>
                                <w:szCs w:val="15"/>
                                <w:lang w:eastAsia="fr-FR"/>
                              </w:rPr>
                            </w:pPr>
                            <w:r w:rsidRPr="00820B09">
                              <w:rPr>
                                <w:rFonts w:asciiTheme="majorHAnsi" w:hAnsiTheme="majorHAnsi"/>
                                <w:sz w:val="20"/>
                                <w:szCs w:val="15"/>
                                <w:lang w:eastAsia="fr-FR"/>
                              </w:rPr>
                              <w:t xml:space="preserve">The </w:t>
                            </w:r>
                            <w:r w:rsidR="00E215F1" w:rsidRPr="00820B09">
                              <w:rPr>
                                <w:rFonts w:asciiTheme="majorHAnsi" w:hAnsiTheme="majorHAnsi"/>
                                <w:sz w:val="20"/>
                                <w:szCs w:val="15"/>
                                <w:lang w:eastAsia="fr-FR"/>
                              </w:rPr>
                              <w:t>provider</w:t>
                            </w:r>
                            <w:r w:rsidRPr="00820B09">
                              <w:rPr>
                                <w:rFonts w:asciiTheme="majorHAnsi" w:hAnsiTheme="majorHAnsi"/>
                                <w:sz w:val="20"/>
                                <w:szCs w:val="15"/>
                                <w:lang w:eastAsia="fr-FR"/>
                              </w:rPr>
                              <w:t xml:space="preserve"> should implement proactive measures to ensure b</w:t>
                            </w:r>
                            <w:r w:rsidR="002F5F81" w:rsidRPr="00820B09">
                              <w:rPr>
                                <w:rFonts w:asciiTheme="majorHAnsi" w:hAnsiTheme="majorHAnsi"/>
                                <w:sz w:val="20"/>
                                <w:szCs w:val="15"/>
                                <w:lang w:eastAsia="fr-FR"/>
                              </w:rPr>
                              <w:t xml:space="preserve">oard selection </w:t>
                            </w:r>
                            <w:r w:rsidR="00E215F1" w:rsidRPr="00820B09">
                              <w:rPr>
                                <w:rFonts w:asciiTheme="majorHAnsi" w:hAnsiTheme="majorHAnsi"/>
                                <w:sz w:val="20"/>
                                <w:szCs w:val="15"/>
                                <w:lang w:eastAsia="fr-FR"/>
                              </w:rPr>
                              <w:t>is</w:t>
                            </w:r>
                            <w:r w:rsidR="002F5F81" w:rsidRPr="00820B09">
                              <w:rPr>
                                <w:rFonts w:asciiTheme="majorHAnsi" w:hAnsiTheme="majorHAnsi"/>
                                <w:sz w:val="20"/>
                                <w:szCs w:val="15"/>
                                <w:lang w:eastAsia="fr-FR"/>
                              </w:rPr>
                              <w:t xml:space="preserve"> accessible for persons with disabilities, with reasonable accommodation and accessibility provided, budgeted for and delivered throughout the recruitment, onboarding and role delivery.</w:t>
                            </w:r>
                            <w:r w:rsidR="00E215F1" w:rsidRPr="00820B09">
                              <w:rPr>
                                <w:rFonts w:asciiTheme="majorHAnsi" w:hAnsiTheme="majorHAnsi"/>
                                <w:sz w:val="20"/>
                                <w:szCs w:val="15"/>
                                <w:lang w:eastAsia="fr-FR"/>
                              </w:rPr>
                              <w:t xml:space="preserve"> FSPs that are committed to disability inclusion as a core part of their strategy </w:t>
                            </w:r>
                            <w:r w:rsidR="002F5F81" w:rsidRPr="00820B09">
                              <w:rPr>
                                <w:rFonts w:asciiTheme="majorHAnsi" w:hAnsiTheme="majorHAnsi"/>
                                <w:sz w:val="20"/>
                                <w:szCs w:val="15"/>
                                <w:lang w:eastAsia="fr-FR"/>
                              </w:rPr>
                              <w:t>should prioritize representation of persons with disabilities in the board</w:t>
                            </w:r>
                            <w:r w:rsidR="00E215F1" w:rsidRPr="00820B09">
                              <w:rPr>
                                <w:rFonts w:asciiTheme="majorHAnsi" w:hAnsiTheme="majorHAnsi"/>
                                <w:sz w:val="20"/>
                                <w:szCs w:val="15"/>
                                <w:lang w:eastAsia="fr-FR"/>
                              </w:rPr>
                              <w:t xml:space="preserve"> membership</w:t>
                            </w:r>
                            <w:r w:rsidR="002F5F81" w:rsidRPr="00820B09">
                              <w:rPr>
                                <w:rFonts w:asciiTheme="majorHAnsi" w:hAnsiTheme="majorHAnsi"/>
                                <w:sz w:val="20"/>
                                <w:szCs w:val="15"/>
                                <w:lang w:eastAsia="fr-FR"/>
                              </w:rPr>
                              <w:t>.</w:t>
                            </w:r>
                          </w:p>
                          <w:p w14:paraId="30AD5C93" w14:textId="77777777" w:rsidR="002F5F81" w:rsidRPr="00820B09" w:rsidRDefault="002F5F81" w:rsidP="002F5F81">
                            <w:pPr>
                              <w:jc w:val="both"/>
                              <w:rPr>
                                <w:rFonts w:asciiTheme="majorHAnsi" w:hAnsiTheme="majorHAnsi"/>
                                <w:sz w:val="20"/>
                                <w:szCs w:val="15"/>
                                <w:lang w:eastAsia="fr-FR"/>
                              </w:rPr>
                            </w:pPr>
                          </w:p>
                          <w:p w14:paraId="2B5EA429" w14:textId="15CE3AA5" w:rsidR="00E52645" w:rsidRPr="00820B09" w:rsidRDefault="00E215F1" w:rsidP="00E52645">
                            <w:pPr>
                              <w:jc w:val="both"/>
                              <w:rPr>
                                <w:rFonts w:asciiTheme="majorHAnsi" w:hAnsiTheme="majorHAnsi"/>
                                <w:sz w:val="20"/>
                                <w:szCs w:val="15"/>
                                <w:lang w:eastAsia="fr-FR"/>
                              </w:rPr>
                            </w:pPr>
                            <w:r w:rsidRPr="00820B09">
                              <w:rPr>
                                <w:rFonts w:asciiTheme="majorHAnsi" w:hAnsiTheme="majorHAnsi"/>
                                <w:sz w:val="20"/>
                                <w:szCs w:val="15"/>
                                <w:lang w:eastAsia="fr-FR"/>
                              </w:rPr>
                              <w:t xml:space="preserve">Recognizing that </w:t>
                            </w:r>
                            <w:r w:rsidR="002F5F81" w:rsidRPr="00820B09">
                              <w:rPr>
                                <w:rFonts w:asciiTheme="majorHAnsi" w:hAnsiTheme="majorHAnsi"/>
                                <w:sz w:val="20"/>
                                <w:szCs w:val="15"/>
                                <w:lang w:eastAsia="fr-FR"/>
                              </w:rPr>
                              <w:t xml:space="preserve">it might not always be feasible </w:t>
                            </w:r>
                            <w:r w:rsidRPr="00820B09">
                              <w:rPr>
                                <w:rFonts w:asciiTheme="majorHAnsi" w:hAnsiTheme="majorHAnsi"/>
                                <w:sz w:val="20"/>
                                <w:szCs w:val="15"/>
                                <w:lang w:eastAsia="fr-FR"/>
                              </w:rPr>
                              <w:t xml:space="preserve">for </w:t>
                            </w:r>
                            <w:r w:rsidR="002F5F81" w:rsidRPr="00820B09">
                              <w:rPr>
                                <w:rFonts w:asciiTheme="majorHAnsi" w:hAnsiTheme="majorHAnsi"/>
                                <w:sz w:val="20"/>
                                <w:szCs w:val="15"/>
                                <w:lang w:eastAsia="fr-FR"/>
                              </w:rPr>
                              <w:t xml:space="preserve">every group </w:t>
                            </w:r>
                            <w:r w:rsidRPr="00820B09">
                              <w:rPr>
                                <w:rFonts w:asciiTheme="majorHAnsi" w:hAnsiTheme="majorHAnsi"/>
                                <w:sz w:val="20"/>
                                <w:szCs w:val="15"/>
                                <w:lang w:eastAsia="fr-FR"/>
                              </w:rPr>
                              <w:t xml:space="preserve">within the target client population to be </w:t>
                            </w:r>
                            <w:r w:rsidR="002F5F81" w:rsidRPr="00820B09">
                              <w:rPr>
                                <w:rFonts w:asciiTheme="majorHAnsi" w:hAnsiTheme="majorHAnsi"/>
                                <w:sz w:val="20"/>
                                <w:szCs w:val="15"/>
                                <w:lang w:eastAsia="fr-FR"/>
                              </w:rPr>
                              <w:t>represented on the board</w:t>
                            </w:r>
                            <w:r w:rsidRPr="00820B09">
                              <w:rPr>
                                <w:rFonts w:asciiTheme="majorHAnsi" w:hAnsiTheme="majorHAnsi"/>
                                <w:sz w:val="20"/>
                                <w:szCs w:val="15"/>
                                <w:lang w:eastAsia="fr-FR"/>
                              </w:rPr>
                              <w:t>, providers may in this case</w:t>
                            </w:r>
                            <w:r w:rsidR="002F5F81" w:rsidRPr="00820B09">
                              <w:rPr>
                                <w:rFonts w:asciiTheme="majorHAnsi" w:hAnsiTheme="majorHAnsi"/>
                                <w:sz w:val="20"/>
                                <w:szCs w:val="15"/>
                                <w:lang w:eastAsia="fr-FR"/>
                              </w:rPr>
                              <w:t xml:space="preserve"> prioritize </w:t>
                            </w:r>
                            <w:r w:rsidR="00EF4F6E" w:rsidRPr="00820B09">
                              <w:rPr>
                                <w:rFonts w:asciiTheme="majorHAnsi" w:hAnsiTheme="majorHAnsi"/>
                                <w:sz w:val="20"/>
                                <w:szCs w:val="15"/>
                                <w:lang w:eastAsia="fr-FR"/>
                              </w:rPr>
                              <w:t xml:space="preserve">building </w:t>
                            </w:r>
                            <w:r w:rsidR="002F5F81" w:rsidRPr="00820B09">
                              <w:rPr>
                                <w:rFonts w:asciiTheme="majorHAnsi" w:hAnsiTheme="majorHAnsi"/>
                                <w:sz w:val="20"/>
                                <w:szCs w:val="15"/>
                                <w:lang w:eastAsia="fr-FR"/>
                              </w:rPr>
                              <w:t xml:space="preserve">partnership with </w:t>
                            </w:r>
                            <w:r w:rsidR="00FE5465" w:rsidRPr="00820B09">
                              <w:rPr>
                                <w:rFonts w:asciiTheme="majorHAnsi" w:hAnsiTheme="majorHAnsi"/>
                                <w:sz w:val="20"/>
                                <w:szCs w:val="20"/>
                              </w:rPr>
                              <w:t>organizations of persons with disabilities (</w:t>
                            </w:r>
                            <w:r w:rsidR="002F5F81" w:rsidRPr="00820B09">
                              <w:rPr>
                                <w:rFonts w:asciiTheme="majorHAnsi" w:hAnsiTheme="majorHAnsi"/>
                                <w:sz w:val="20"/>
                                <w:szCs w:val="15"/>
                                <w:lang w:eastAsia="fr-FR"/>
                              </w:rPr>
                              <w:t>OPDs</w:t>
                            </w:r>
                            <w:r w:rsidR="00FE5465" w:rsidRPr="00820B09">
                              <w:rPr>
                                <w:rFonts w:asciiTheme="majorHAnsi" w:hAnsiTheme="majorHAnsi"/>
                                <w:sz w:val="20"/>
                                <w:szCs w:val="15"/>
                                <w:lang w:eastAsia="fr-FR"/>
                              </w:rPr>
                              <w:t>)</w:t>
                            </w:r>
                            <w:r w:rsidRPr="00820B09">
                              <w:rPr>
                                <w:rFonts w:asciiTheme="majorHAnsi" w:hAnsiTheme="majorHAnsi"/>
                                <w:sz w:val="20"/>
                                <w:szCs w:val="15"/>
                                <w:lang w:eastAsia="fr-FR"/>
                              </w:rPr>
                              <w:t>.</w:t>
                            </w:r>
                            <w:r w:rsidR="00EF4F6E" w:rsidRPr="00820B09">
                              <w:rPr>
                                <w:rFonts w:asciiTheme="majorHAnsi" w:hAnsiTheme="majorHAnsi"/>
                                <w:sz w:val="20"/>
                                <w:szCs w:val="15"/>
                                <w:lang w:eastAsia="fr-FR"/>
                              </w:rPr>
                              <w:t xml:space="preserve"> </w:t>
                            </w:r>
                            <w:r w:rsidRPr="00820B09">
                              <w:rPr>
                                <w:rFonts w:asciiTheme="majorHAnsi" w:hAnsiTheme="majorHAnsi"/>
                                <w:sz w:val="20"/>
                                <w:szCs w:val="15"/>
                                <w:lang w:eastAsia="fr-FR"/>
                              </w:rPr>
                              <w:t>H</w:t>
                            </w:r>
                            <w:r w:rsidR="00EF4F6E" w:rsidRPr="00820B09">
                              <w:rPr>
                                <w:rFonts w:asciiTheme="majorHAnsi" w:hAnsiTheme="majorHAnsi"/>
                                <w:sz w:val="20"/>
                                <w:szCs w:val="15"/>
                                <w:lang w:eastAsia="fr-FR"/>
                              </w:rPr>
                              <w:t xml:space="preserve">olding meaningful consultations </w:t>
                            </w:r>
                            <w:r w:rsidRPr="00820B09">
                              <w:rPr>
                                <w:rFonts w:asciiTheme="majorHAnsi" w:hAnsiTheme="majorHAnsi"/>
                                <w:sz w:val="20"/>
                                <w:szCs w:val="15"/>
                                <w:lang w:eastAsia="fr-FR"/>
                              </w:rPr>
                              <w:t xml:space="preserve">with OPD partners helps </w:t>
                            </w:r>
                            <w:r w:rsidR="00EF4F6E" w:rsidRPr="00820B09">
                              <w:rPr>
                                <w:rFonts w:asciiTheme="majorHAnsi" w:hAnsiTheme="majorHAnsi"/>
                                <w:sz w:val="20"/>
                                <w:szCs w:val="15"/>
                                <w:lang w:eastAsia="fr-FR"/>
                              </w:rPr>
                              <w:t>to ensure the perspective</w:t>
                            </w:r>
                            <w:r w:rsidRPr="00820B09">
                              <w:rPr>
                                <w:rFonts w:asciiTheme="majorHAnsi" w:hAnsiTheme="majorHAnsi"/>
                                <w:sz w:val="20"/>
                                <w:szCs w:val="15"/>
                                <w:lang w:eastAsia="fr-FR"/>
                              </w:rPr>
                              <w:t xml:space="preserve"> of persons with disabilities</w:t>
                            </w:r>
                            <w:r w:rsidR="00EF4F6E" w:rsidRPr="00820B09">
                              <w:rPr>
                                <w:rFonts w:asciiTheme="majorHAnsi" w:hAnsiTheme="majorHAnsi"/>
                                <w:sz w:val="20"/>
                                <w:szCs w:val="15"/>
                                <w:lang w:eastAsia="fr-FR"/>
                              </w:rPr>
                              <w:t xml:space="preserve"> are taken into account in board decision-making</w:t>
                            </w:r>
                            <w:r w:rsidR="00E52645" w:rsidRPr="00820B09">
                              <w:rPr>
                                <w:rFonts w:asciiTheme="majorHAnsi" w:hAnsiTheme="majorHAnsi"/>
                                <w:sz w:val="20"/>
                                <w:szCs w:val="15"/>
                                <w:lang w:eastAsia="fr-FR"/>
                              </w:rPr>
                              <w:t xml:space="preserve">, though </w:t>
                            </w:r>
                            <w:r w:rsidRPr="00820B09">
                              <w:rPr>
                                <w:rFonts w:asciiTheme="majorHAnsi" w:hAnsiTheme="majorHAnsi"/>
                                <w:sz w:val="20"/>
                                <w:szCs w:val="15"/>
                                <w:lang w:eastAsia="fr-FR"/>
                              </w:rPr>
                              <w:t>it</w:t>
                            </w:r>
                            <w:r w:rsidR="00E52645" w:rsidRPr="00820B09">
                              <w:rPr>
                                <w:rFonts w:asciiTheme="majorHAnsi" w:hAnsiTheme="majorHAnsi"/>
                                <w:sz w:val="20"/>
                                <w:szCs w:val="15"/>
                                <w:lang w:eastAsia="fr-FR"/>
                              </w:rPr>
                              <w:t xml:space="preserve"> does not constitute representation.</w:t>
                            </w:r>
                            <w:r w:rsidR="00D3208B" w:rsidRPr="00820B09">
                              <w:rPr>
                                <w:rFonts w:asciiTheme="majorHAnsi" w:hAnsiTheme="majorHAnsi"/>
                                <w:sz w:val="20"/>
                                <w:szCs w:val="15"/>
                                <w:lang w:eastAsia="fr-FR"/>
                              </w:rPr>
                              <w:t xml:space="preserve"> BFFI’s Disability Inclusion Guide for FSPs and the resources for this indicator include guidance of building partnerships and holding consultations with OPDs.</w:t>
                            </w:r>
                          </w:p>
                          <w:p w14:paraId="792257B1" w14:textId="77777777" w:rsidR="00E52645" w:rsidRPr="00820B09" w:rsidRDefault="00E52645" w:rsidP="002F5F81">
                            <w:pPr>
                              <w:jc w:val="both"/>
                              <w:rPr>
                                <w:rFonts w:asciiTheme="majorHAnsi" w:hAnsiTheme="majorHAnsi"/>
                                <w:sz w:val="20"/>
                                <w:szCs w:val="15"/>
                                <w:lang w:eastAsia="fr-FR"/>
                              </w:rPr>
                            </w:pPr>
                          </w:p>
                          <w:p w14:paraId="1F47E02F" w14:textId="53392070" w:rsidR="002F5F81" w:rsidRPr="00820B09" w:rsidRDefault="00E52645" w:rsidP="002F5F81">
                            <w:pPr>
                              <w:jc w:val="both"/>
                              <w:rPr>
                                <w:rFonts w:asciiTheme="majorHAnsi" w:hAnsiTheme="majorHAnsi"/>
                                <w:sz w:val="20"/>
                                <w:szCs w:val="15"/>
                                <w:lang w:eastAsia="fr-FR"/>
                              </w:rPr>
                            </w:pPr>
                            <w:r w:rsidRPr="00820B09">
                              <w:rPr>
                                <w:rFonts w:asciiTheme="majorHAnsi" w:hAnsiTheme="majorHAnsi"/>
                                <w:sz w:val="20"/>
                                <w:szCs w:val="15"/>
                                <w:lang w:eastAsia="fr-FR"/>
                              </w:rPr>
                              <w:t>The FSP can also reinforce commitment to disability inclusion by a</w:t>
                            </w:r>
                            <w:r w:rsidR="002F5F81" w:rsidRPr="00820B09">
                              <w:rPr>
                                <w:rFonts w:asciiTheme="majorHAnsi" w:hAnsiTheme="majorHAnsi"/>
                                <w:sz w:val="20"/>
                                <w:szCs w:val="15"/>
                                <w:lang w:eastAsia="fr-FR"/>
                              </w:rPr>
                              <w:t>ppointing a disability inclusion champion on the board</w:t>
                            </w:r>
                            <w:r w:rsidRPr="00820B09">
                              <w:rPr>
                                <w:rFonts w:asciiTheme="majorHAnsi" w:hAnsiTheme="majorHAnsi"/>
                                <w:sz w:val="20"/>
                                <w:szCs w:val="15"/>
                                <w:lang w:eastAsia="fr-FR"/>
                              </w:rPr>
                              <w:t xml:space="preserve">, and ensuring at least one board member has direct professional experience working with persons with disabilities.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C51EF1" id="_x0000_s1035" type="#_x0000_t202" style="position:absolute;left:0;text-align:left;margin-left:0;margin-top:11.5pt;width:2in;height:2in;z-index:2517432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VSf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" filled="f" strokeweight=".5pt">
                <v:textbox style="mso-fit-shape-to-text:t">
                  <w:txbxContent>
                    <w:p w14:paraId="5B887485" w14:textId="34516D35" w:rsidR="002F5F81" w:rsidRPr="00820B09" w:rsidRDefault="00B53772" w:rsidP="002F5F81">
                      <w:pPr>
                        <w:pStyle w:val="paragraph"/>
                        <w:spacing w:before="0" w:beforeAutospacing="0" w:after="0" w:afterAutospacing="0"/>
                        <w:jc w:val="both"/>
                        <w:textAlignment w:val="baseline"/>
                        <w:rPr>
                          <w:rFonts w:asciiTheme="majorHAnsi" w:hAnsiTheme="majorHAnsi"/>
                          <w:b/>
                          <w:bCs/>
                          <w:sz w:val="20"/>
                          <w:szCs w:val="20"/>
                        </w:rPr>
                      </w:pPr>
                      <w:r w:rsidRPr="00820B09">
                        <w:rPr>
                          <w:rFonts w:asciiTheme="majorHAnsi" w:hAnsiTheme="majorHAnsi"/>
                          <w:b/>
                          <w:bCs/>
                          <w:sz w:val="20"/>
                          <w:szCs w:val="20"/>
                        </w:rPr>
                        <w:t xml:space="preserve">Disability Inclusion – Info </w:t>
                      </w:r>
                      <w:r w:rsidR="002F5F81" w:rsidRPr="00820B09">
                        <w:rPr>
                          <w:rFonts w:asciiTheme="majorHAnsi" w:hAnsiTheme="majorHAnsi"/>
                          <w:b/>
                          <w:bCs/>
                          <w:sz w:val="20"/>
                          <w:szCs w:val="20"/>
                        </w:rPr>
                        <w:t>Box 2.A.1.4</w:t>
                      </w:r>
                    </w:p>
                    <w:p w14:paraId="1E02EBAD" w14:textId="77777777" w:rsidR="002F5F81" w:rsidRPr="00820B09" w:rsidRDefault="002F5F81" w:rsidP="002F5F81">
                      <w:pPr>
                        <w:pStyle w:val="paragraph"/>
                        <w:spacing w:before="0" w:beforeAutospacing="0" w:after="0" w:afterAutospacing="0"/>
                        <w:jc w:val="both"/>
                        <w:textAlignment w:val="baseline"/>
                        <w:rPr>
                          <w:rFonts w:asciiTheme="majorHAnsi" w:hAnsiTheme="majorHAnsi"/>
                          <w:b/>
                          <w:bCs/>
                          <w:sz w:val="20"/>
                          <w:szCs w:val="20"/>
                        </w:rPr>
                      </w:pPr>
                    </w:p>
                    <w:p w14:paraId="79D6566A" w14:textId="4E466630" w:rsidR="002F5F81" w:rsidRPr="00820B09" w:rsidRDefault="00A6505E" w:rsidP="002F5F81">
                      <w:pPr>
                        <w:jc w:val="both"/>
                        <w:rPr>
                          <w:rFonts w:asciiTheme="majorHAnsi" w:hAnsiTheme="majorHAnsi"/>
                          <w:sz w:val="20"/>
                          <w:szCs w:val="15"/>
                          <w:lang w:eastAsia="fr-FR"/>
                        </w:rPr>
                      </w:pPr>
                      <w:r w:rsidRPr="00820B09">
                        <w:rPr>
                          <w:rFonts w:asciiTheme="majorHAnsi" w:hAnsiTheme="majorHAnsi"/>
                          <w:sz w:val="20"/>
                          <w:szCs w:val="15"/>
                          <w:lang w:eastAsia="fr-FR"/>
                        </w:rPr>
                        <w:t xml:space="preserve">The </w:t>
                      </w:r>
                      <w:r w:rsidR="00E215F1" w:rsidRPr="00820B09">
                        <w:rPr>
                          <w:rFonts w:asciiTheme="majorHAnsi" w:hAnsiTheme="majorHAnsi"/>
                          <w:sz w:val="20"/>
                          <w:szCs w:val="15"/>
                          <w:lang w:eastAsia="fr-FR"/>
                        </w:rPr>
                        <w:t>provider</w:t>
                      </w:r>
                      <w:r w:rsidRPr="00820B09">
                        <w:rPr>
                          <w:rFonts w:asciiTheme="majorHAnsi" w:hAnsiTheme="majorHAnsi"/>
                          <w:sz w:val="20"/>
                          <w:szCs w:val="15"/>
                          <w:lang w:eastAsia="fr-FR"/>
                        </w:rPr>
                        <w:t xml:space="preserve"> should implement proactive measures to ensure b</w:t>
                      </w:r>
                      <w:r w:rsidR="002F5F81" w:rsidRPr="00820B09">
                        <w:rPr>
                          <w:rFonts w:asciiTheme="majorHAnsi" w:hAnsiTheme="majorHAnsi"/>
                          <w:sz w:val="20"/>
                          <w:szCs w:val="15"/>
                          <w:lang w:eastAsia="fr-FR"/>
                        </w:rPr>
                        <w:t xml:space="preserve">oard selection </w:t>
                      </w:r>
                      <w:r w:rsidR="00E215F1" w:rsidRPr="00820B09">
                        <w:rPr>
                          <w:rFonts w:asciiTheme="majorHAnsi" w:hAnsiTheme="majorHAnsi"/>
                          <w:sz w:val="20"/>
                          <w:szCs w:val="15"/>
                          <w:lang w:eastAsia="fr-FR"/>
                        </w:rPr>
                        <w:t>is</w:t>
                      </w:r>
                      <w:r w:rsidR="002F5F81" w:rsidRPr="00820B09">
                        <w:rPr>
                          <w:rFonts w:asciiTheme="majorHAnsi" w:hAnsiTheme="majorHAnsi"/>
                          <w:sz w:val="20"/>
                          <w:szCs w:val="15"/>
                          <w:lang w:eastAsia="fr-FR"/>
                        </w:rPr>
                        <w:t xml:space="preserve"> accessible for persons with disabilities, with reasonable accommodation and accessibility provided, budgeted for and delivered throughout the recruitment, onboarding and role delivery.</w:t>
                      </w:r>
                      <w:r w:rsidR="00E215F1" w:rsidRPr="00820B09">
                        <w:rPr>
                          <w:rFonts w:asciiTheme="majorHAnsi" w:hAnsiTheme="majorHAnsi"/>
                          <w:sz w:val="20"/>
                          <w:szCs w:val="15"/>
                          <w:lang w:eastAsia="fr-FR"/>
                        </w:rPr>
                        <w:t xml:space="preserve"> FSPs that are committed to disability inclusion as a core part of their strategy </w:t>
                      </w:r>
                      <w:r w:rsidR="002F5F81" w:rsidRPr="00820B09">
                        <w:rPr>
                          <w:rFonts w:asciiTheme="majorHAnsi" w:hAnsiTheme="majorHAnsi"/>
                          <w:sz w:val="20"/>
                          <w:szCs w:val="15"/>
                          <w:lang w:eastAsia="fr-FR"/>
                        </w:rPr>
                        <w:t>should prioritize representation of persons with disabilities in the board</w:t>
                      </w:r>
                      <w:r w:rsidR="00E215F1" w:rsidRPr="00820B09">
                        <w:rPr>
                          <w:rFonts w:asciiTheme="majorHAnsi" w:hAnsiTheme="majorHAnsi"/>
                          <w:sz w:val="20"/>
                          <w:szCs w:val="15"/>
                          <w:lang w:eastAsia="fr-FR"/>
                        </w:rPr>
                        <w:t xml:space="preserve"> membership</w:t>
                      </w:r>
                      <w:r w:rsidR="002F5F81" w:rsidRPr="00820B09">
                        <w:rPr>
                          <w:rFonts w:asciiTheme="majorHAnsi" w:hAnsiTheme="majorHAnsi"/>
                          <w:sz w:val="20"/>
                          <w:szCs w:val="15"/>
                          <w:lang w:eastAsia="fr-FR"/>
                        </w:rPr>
                        <w:t>.</w:t>
                      </w:r>
                    </w:p>
                    <w:p w14:paraId="30AD5C93" w14:textId="77777777" w:rsidR="002F5F81" w:rsidRPr="00820B09" w:rsidRDefault="002F5F81" w:rsidP="002F5F81">
                      <w:pPr>
                        <w:jc w:val="both"/>
                        <w:rPr>
                          <w:rFonts w:asciiTheme="majorHAnsi" w:hAnsiTheme="majorHAnsi"/>
                          <w:sz w:val="20"/>
                          <w:szCs w:val="15"/>
                          <w:lang w:eastAsia="fr-FR"/>
                        </w:rPr>
                      </w:pPr>
                    </w:p>
                    <w:p w14:paraId="2B5EA429" w14:textId="15CE3AA5" w:rsidR="00E52645" w:rsidRPr="00820B09" w:rsidRDefault="00E215F1" w:rsidP="00E52645">
                      <w:pPr>
                        <w:jc w:val="both"/>
                        <w:rPr>
                          <w:rFonts w:asciiTheme="majorHAnsi" w:hAnsiTheme="majorHAnsi"/>
                          <w:sz w:val="20"/>
                          <w:szCs w:val="15"/>
                          <w:lang w:eastAsia="fr-FR"/>
                        </w:rPr>
                      </w:pPr>
                      <w:r w:rsidRPr="00820B09">
                        <w:rPr>
                          <w:rFonts w:asciiTheme="majorHAnsi" w:hAnsiTheme="majorHAnsi"/>
                          <w:sz w:val="20"/>
                          <w:szCs w:val="15"/>
                          <w:lang w:eastAsia="fr-FR"/>
                        </w:rPr>
                        <w:t xml:space="preserve">Recognizing that </w:t>
                      </w:r>
                      <w:r w:rsidR="002F5F81" w:rsidRPr="00820B09">
                        <w:rPr>
                          <w:rFonts w:asciiTheme="majorHAnsi" w:hAnsiTheme="majorHAnsi"/>
                          <w:sz w:val="20"/>
                          <w:szCs w:val="15"/>
                          <w:lang w:eastAsia="fr-FR"/>
                        </w:rPr>
                        <w:t xml:space="preserve">it might not always be feasible </w:t>
                      </w:r>
                      <w:r w:rsidRPr="00820B09">
                        <w:rPr>
                          <w:rFonts w:asciiTheme="majorHAnsi" w:hAnsiTheme="majorHAnsi"/>
                          <w:sz w:val="20"/>
                          <w:szCs w:val="15"/>
                          <w:lang w:eastAsia="fr-FR"/>
                        </w:rPr>
                        <w:t xml:space="preserve">for </w:t>
                      </w:r>
                      <w:r w:rsidR="002F5F81" w:rsidRPr="00820B09">
                        <w:rPr>
                          <w:rFonts w:asciiTheme="majorHAnsi" w:hAnsiTheme="majorHAnsi"/>
                          <w:sz w:val="20"/>
                          <w:szCs w:val="15"/>
                          <w:lang w:eastAsia="fr-FR"/>
                        </w:rPr>
                        <w:t xml:space="preserve">every group </w:t>
                      </w:r>
                      <w:r w:rsidRPr="00820B09">
                        <w:rPr>
                          <w:rFonts w:asciiTheme="majorHAnsi" w:hAnsiTheme="majorHAnsi"/>
                          <w:sz w:val="20"/>
                          <w:szCs w:val="15"/>
                          <w:lang w:eastAsia="fr-FR"/>
                        </w:rPr>
                        <w:t xml:space="preserve">within the target client population to be </w:t>
                      </w:r>
                      <w:r w:rsidR="002F5F81" w:rsidRPr="00820B09">
                        <w:rPr>
                          <w:rFonts w:asciiTheme="majorHAnsi" w:hAnsiTheme="majorHAnsi"/>
                          <w:sz w:val="20"/>
                          <w:szCs w:val="15"/>
                          <w:lang w:eastAsia="fr-FR"/>
                        </w:rPr>
                        <w:t>represented on the board</w:t>
                      </w:r>
                      <w:r w:rsidRPr="00820B09">
                        <w:rPr>
                          <w:rFonts w:asciiTheme="majorHAnsi" w:hAnsiTheme="majorHAnsi"/>
                          <w:sz w:val="20"/>
                          <w:szCs w:val="15"/>
                          <w:lang w:eastAsia="fr-FR"/>
                        </w:rPr>
                        <w:t>, providers may in this case</w:t>
                      </w:r>
                      <w:r w:rsidR="002F5F81" w:rsidRPr="00820B09">
                        <w:rPr>
                          <w:rFonts w:asciiTheme="majorHAnsi" w:hAnsiTheme="majorHAnsi"/>
                          <w:sz w:val="20"/>
                          <w:szCs w:val="15"/>
                          <w:lang w:eastAsia="fr-FR"/>
                        </w:rPr>
                        <w:t xml:space="preserve"> prioritize </w:t>
                      </w:r>
                      <w:r w:rsidR="00EF4F6E" w:rsidRPr="00820B09">
                        <w:rPr>
                          <w:rFonts w:asciiTheme="majorHAnsi" w:hAnsiTheme="majorHAnsi"/>
                          <w:sz w:val="20"/>
                          <w:szCs w:val="15"/>
                          <w:lang w:eastAsia="fr-FR"/>
                        </w:rPr>
                        <w:t xml:space="preserve">building </w:t>
                      </w:r>
                      <w:r w:rsidR="002F5F81" w:rsidRPr="00820B09">
                        <w:rPr>
                          <w:rFonts w:asciiTheme="majorHAnsi" w:hAnsiTheme="majorHAnsi"/>
                          <w:sz w:val="20"/>
                          <w:szCs w:val="15"/>
                          <w:lang w:eastAsia="fr-FR"/>
                        </w:rPr>
                        <w:t xml:space="preserve">partnership with </w:t>
                      </w:r>
                      <w:r w:rsidR="00FE5465" w:rsidRPr="00820B09">
                        <w:rPr>
                          <w:rFonts w:asciiTheme="majorHAnsi" w:hAnsiTheme="majorHAnsi"/>
                          <w:sz w:val="20"/>
                          <w:szCs w:val="20"/>
                        </w:rPr>
                        <w:t>organizations of persons with disabilities (</w:t>
                      </w:r>
                      <w:r w:rsidR="002F5F81" w:rsidRPr="00820B09">
                        <w:rPr>
                          <w:rFonts w:asciiTheme="majorHAnsi" w:hAnsiTheme="majorHAnsi"/>
                          <w:sz w:val="20"/>
                          <w:szCs w:val="15"/>
                          <w:lang w:eastAsia="fr-FR"/>
                        </w:rPr>
                        <w:t>OPDs</w:t>
                      </w:r>
                      <w:r w:rsidR="00FE5465" w:rsidRPr="00820B09">
                        <w:rPr>
                          <w:rFonts w:asciiTheme="majorHAnsi" w:hAnsiTheme="majorHAnsi"/>
                          <w:sz w:val="20"/>
                          <w:szCs w:val="15"/>
                          <w:lang w:eastAsia="fr-FR"/>
                        </w:rPr>
                        <w:t>)</w:t>
                      </w:r>
                      <w:r w:rsidRPr="00820B09">
                        <w:rPr>
                          <w:rFonts w:asciiTheme="majorHAnsi" w:hAnsiTheme="majorHAnsi"/>
                          <w:sz w:val="20"/>
                          <w:szCs w:val="15"/>
                          <w:lang w:eastAsia="fr-FR"/>
                        </w:rPr>
                        <w:t>.</w:t>
                      </w:r>
                      <w:r w:rsidR="00EF4F6E" w:rsidRPr="00820B09">
                        <w:rPr>
                          <w:rFonts w:asciiTheme="majorHAnsi" w:hAnsiTheme="majorHAnsi"/>
                          <w:sz w:val="20"/>
                          <w:szCs w:val="15"/>
                          <w:lang w:eastAsia="fr-FR"/>
                        </w:rPr>
                        <w:t xml:space="preserve"> </w:t>
                      </w:r>
                      <w:r w:rsidRPr="00820B09">
                        <w:rPr>
                          <w:rFonts w:asciiTheme="majorHAnsi" w:hAnsiTheme="majorHAnsi"/>
                          <w:sz w:val="20"/>
                          <w:szCs w:val="15"/>
                          <w:lang w:eastAsia="fr-FR"/>
                        </w:rPr>
                        <w:t>H</w:t>
                      </w:r>
                      <w:r w:rsidR="00EF4F6E" w:rsidRPr="00820B09">
                        <w:rPr>
                          <w:rFonts w:asciiTheme="majorHAnsi" w:hAnsiTheme="majorHAnsi"/>
                          <w:sz w:val="20"/>
                          <w:szCs w:val="15"/>
                          <w:lang w:eastAsia="fr-FR"/>
                        </w:rPr>
                        <w:t xml:space="preserve">olding meaningful consultations </w:t>
                      </w:r>
                      <w:r w:rsidRPr="00820B09">
                        <w:rPr>
                          <w:rFonts w:asciiTheme="majorHAnsi" w:hAnsiTheme="majorHAnsi"/>
                          <w:sz w:val="20"/>
                          <w:szCs w:val="15"/>
                          <w:lang w:eastAsia="fr-FR"/>
                        </w:rPr>
                        <w:t xml:space="preserve">with OPD partners helps </w:t>
                      </w:r>
                      <w:r w:rsidR="00EF4F6E" w:rsidRPr="00820B09">
                        <w:rPr>
                          <w:rFonts w:asciiTheme="majorHAnsi" w:hAnsiTheme="majorHAnsi"/>
                          <w:sz w:val="20"/>
                          <w:szCs w:val="15"/>
                          <w:lang w:eastAsia="fr-FR"/>
                        </w:rPr>
                        <w:t>to ensure the perspective</w:t>
                      </w:r>
                      <w:r w:rsidRPr="00820B09">
                        <w:rPr>
                          <w:rFonts w:asciiTheme="majorHAnsi" w:hAnsiTheme="majorHAnsi"/>
                          <w:sz w:val="20"/>
                          <w:szCs w:val="15"/>
                          <w:lang w:eastAsia="fr-FR"/>
                        </w:rPr>
                        <w:t xml:space="preserve"> of persons with disabilities</w:t>
                      </w:r>
                      <w:r w:rsidR="00EF4F6E" w:rsidRPr="00820B09">
                        <w:rPr>
                          <w:rFonts w:asciiTheme="majorHAnsi" w:hAnsiTheme="majorHAnsi"/>
                          <w:sz w:val="20"/>
                          <w:szCs w:val="15"/>
                          <w:lang w:eastAsia="fr-FR"/>
                        </w:rPr>
                        <w:t xml:space="preserve"> are taken into account in board decision-making</w:t>
                      </w:r>
                      <w:r w:rsidR="00E52645" w:rsidRPr="00820B09">
                        <w:rPr>
                          <w:rFonts w:asciiTheme="majorHAnsi" w:hAnsiTheme="majorHAnsi"/>
                          <w:sz w:val="20"/>
                          <w:szCs w:val="15"/>
                          <w:lang w:eastAsia="fr-FR"/>
                        </w:rPr>
                        <w:t xml:space="preserve">, though </w:t>
                      </w:r>
                      <w:r w:rsidRPr="00820B09">
                        <w:rPr>
                          <w:rFonts w:asciiTheme="majorHAnsi" w:hAnsiTheme="majorHAnsi"/>
                          <w:sz w:val="20"/>
                          <w:szCs w:val="15"/>
                          <w:lang w:eastAsia="fr-FR"/>
                        </w:rPr>
                        <w:t>it</w:t>
                      </w:r>
                      <w:r w:rsidR="00E52645" w:rsidRPr="00820B09">
                        <w:rPr>
                          <w:rFonts w:asciiTheme="majorHAnsi" w:hAnsiTheme="majorHAnsi"/>
                          <w:sz w:val="20"/>
                          <w:szCs w:val="15"/>
                          <w:lang w:eastAsia="fr-FR"/>
                        </w:rPr>
                        <w:t xml:space="preserve"> does not constitute representation.</w:t>
                      </w:r>
                      <w:r w:rsidR="00D3208B" w:rsidRPr="00820B09">
                        <w:rPr>
                          <w:rFonts w:asciiTheme="majorHAnsi" w:hAnsiTheme="majorHAnsi"/>
                          <w:sz w:val="20"/>
                          <w:szCs w:val="15"/>
                          <w:lang w:eastAsia="fr-FR"/>
                        </w:rPr>
                        <w:t xml:space="preserve"> BFFI’s Disability Inclusion Guide for FSPs and the resources for this indicator include guidance of building partnerships and holding consultations with OPDs.</w:t>
                      </w:r>
                    </w:p>
                    <w:p w14:paraId="792257B1" w14:textId="77777777" w:rsidR="00E52645" w:rsidRPr="00820B09" w:rsidRDefault="00E52645" w:rsidP="002F5F81">
                      <w:pPr>
                        <w:jc w:val="both"/>
                        <w:rPr>
                          <w:rFonts w:asciiTheme="majorHAnsi" w:hAnsiTheme="majorHAnsi"/>
                          <w:sz w:val="20"/>
                          <w:szCs w:val="15"/>
                          <w:lang w:eastAsia="fr-FR"/>
                        </w:rPr>
                      </w:pPr>
                    </w:p>
                    <w:p w14:paraId="1F47E02F" w14:textId="53392070" w:rsidR="002F5F81" w:rsidRPr="00820B09" w:rsidRDefault="00E52645" w:rsidP="002F5F81">
                      <w:pPr>
                        <w:jc w:val="both"/>
                        <w:rPr>
                          <w:rFonts w:asciiTheme="majorHAnsi" w:hAnsiTheme="majorHAnsi"/>
                          <w:sz w:val="20"/>
                          <w:szCs w:val="15"/>
                          <w:lang w:eastAsia="fr-FR"/>
                        </w:rPr>
                      </w:pPr>
                      <w:r w:rsidRPr="00820B09">
                        <w:rPr>
                          <w:rFonts w:asciiTheme="majorHAnsi" w:hAnsiTheme="majorHAnsi"/>
                          <w:sz w:val="20"/>
                          <w:szCs w:val="15"/>
                          <w:lang w:eastAsia="fr-FR"/>
                        </w:rPr>
                        <w:t>The FSP can also reinforce commitment to disability inclusion by a</w:t>
                      </w:r>
                      <w:r w:rsidR="002F5F81" w:rsidRPr="00820B09">
                        <w:rPr>
                          <w:rFonts w:asciiTheme="majorHAnsi" w:hAnsiTheme="majorHAnsi"/>
                          <w:sz w:val="20"/>
                          <w:szCs w:val="15"/>
                          <w:lang w:eastAsia="fr-FR"/>
                        </w:rPr>
                        <w:t>ppointing a disability inclusion champion on the board</w:t>
                      </w:r>
                      <w:r w:rsidRPr="00820B09">
                        <w:rPr>
                          <w:rFonts w:asciiTheme="majorHAnsi" w:hAnsiTheme="majorHAnsi"/>
                          <w:sz w:val="20"/>
                          <w:szCs w:val="15"/>
                          <w:lang w:eastAsia="fr-FR"/>
                        </w:rPr>
                        <w:t xml:space="preserve">, and ensuring at least one board member has direct professional experience working with persons with disabilities. </w:t>
                      </w:r>
                    </w:p>
                  </w:txbxContent>
                </v:textbox>
                <w10:wrap type="square"/>
              </v:shape>
            </w:pict>
          </mc:Fallback>
        </mc:AlternateContent>
      </w:r>
    </w:p>
    <w:p w14:paraId="41AEA5FE" w14:textId="59FAB279"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Scoring guidance</w:t>
      </w:r>
    </w:p>
    <w:p w14:paraId="6422CD53" w14:textId="77777777" w:rsidR="00B37F93" w:rsidRPr="00A608EE" w:rsidRDefault="00B37F93" w:rsidP="00A27AAA">
      <w:pPr>
        <w:pStyle w:val="paragraph"/>
        <w:numPr>
          <w:ilvl w:val="0"/>
          <w:numId w:val="11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lastRenderedPageBreak/>
        <w:t>Score ‘yes’, if the two conditions are fulfilled:</w:t>
      </w:r>
    </w:p>
    <w:p w14:paraId="262BD101" w14:textId="77777777" w:rsidR="00B37F93" w:rsidRPr="00A608EE" w:rsidRDefault="00B37F93" w:rsidP="00A27AAA">
      <w:pPr>
        <w:pStyle w:val="paragraph"/>
        <w:numPr>
          <w:ilvl w:val="1"/>
          <w:numId w:val="11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At least two board members are from the same nationality as the clients, and</w:t>
      </w:r>
    </w:p>
    <w:p w14:paraId="79FDE3C2" w14:textId="77777777" w:rsidR="00B37F93" w:rsidRPr="00A608EE" w:rsidRDefault="00B37F93" w:rsidP="00A27AAA">
      <w:pPr>
        <w:pStyle w:val="paragraph"/>
        <w:numPr>
          <w:ilvl w:val="1"/>
          <w:numId w:val="11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They are pro-active board members bringing in the ‘client-centric lens’ into discussions and decision-making as verified by minutes of board minutes.</w:t>
      </w:r>
    </w:p>
    <w:p w14:paraId="1C1785DC" w14:textId="77777777" w:rsidR="00B37F93" w:rsidRPr="00A608EE" w:rsidRDefault="00B37F93" w:rsidP="00A27AAA">
      <w:pPr>
        <w:pStyle w:val="paragraph"/>
        <w:numPr>
          <w:ilvl w:val="0"/>
          <w:numId w:val="11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‘partially’, if the above two conditions are not fully fulfilled.</w:t>
      </w:r>
    </w:p>
    <w:p w14:paraId="4D77107A" w14:textId="77777777" w:rsidR="00B37F93" w:rsidRPr="00A608EE" w:rsidRDefault="00B37F93" w:rsidP="00A27AAA">
      <w:pPr>
        <w:pStyle w:val="paragraph"/>
        <w:numPr>
          <w:ilvl w:val="0"/>
          <w:numId w:val="11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‘no’, if none of the two conditions is fulfilled.</w:t>
      </w:r>
    </w:p>
    <w:p w14:paraId="7EE1B67D" w14:textId="77777777"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p>
    <w:p w14:paraId="6BC00411" w14:textId="0596A26C"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Sources of information</w:t>
      </w:r>
    </w:p>
    <w:p w14:paraId="4068E1A8" w14:textId="77777777" w:rsidR="00B37F93" w:rsidRPr="00A608EE" w:rsidRDefault="00B37F93" w:rsidP="00A27AAA">
      <w:pPr>
        <w:pStyle w:val="paragraph"/>
        <w:numPr>
          <w:ilvl w:val="0"/>
          <w:numId w:val="11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Board composition</w:t>
      </w:r>
    </w:p>
    <w:p w14:paraId="12A5D003" w14:textId="77777777" w:rsidR="00B37F93" w:rsidRPr="00A608EE" w:rsidRDefault="00B37F93" w:rsidP="00A27AAA">
      <w:pPr>
        <w:pStyle w:val="paragraph"/>
        <w:numPr>
          <w:ilvl w:val="0"/>
          <w:numId w:val="11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Board minutes to check attendance and participation of the ‘local’ board members at the board meetings</w:t>
      </w:r>
    </w:p>
    <w:p w14:paraId="7E29BEBB" w14:textId="77777777" w:rsidR="00B37F93" w:rsidRPr="00A608EE" w:rsidRDefault="00B37F93" w:rsidP="00A27AAA">
      <w:pPr>
        <w:pStyle w:val="paragraph"/>
        <w:numPr>
          <w:ilvl w:val="0"/>
          <w:numId w:val="11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Interviews with ‘local’ board members</w:t>
      </w:r>
    </w:p>
    <w:p w14:paraId="3659C0EC" w14:textId="77777777"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p>
    <w:p w14:paraId="2286FC41" w14:textId="3422CE86" w:rsidR="00B37F93" w:rsidRPr="00A608EE" w:rsidRDefault="00B37F93"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Evidence to provide</w:t>
      </w:r>
    </w:p>
    <w:p w14:paraId="2F8807E1" w14:textId="77777777" w:rsidR="00B37F93" w:rsidRPr="00A608EE" w:rsidRDefault="00B37F93"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Specify the number of ‘local’ board members. Explain their actual participation in board meetings.</w:t>
      </w:r>
    </w:p>
    <w:p w14:paraId="2B7370DF" w14:textId="77777777" w:rsidR="00856998" w:rsidRPr="00A608EE" w:rsidRDefault="00856998" w:rsidP="00EE208A">
      <w:pPr>
        <w:pStyle w:val="paragraph"/>
        <w:spacing w:before="0" w:beforeAutospacing="0" w:after="0" w:afterAutospacing="0"/>
        <w:jc w:val="both"/>
        <w:textAlignment w:val="baseline"/>
        <w:rPr>
          <w:rStyle w:val="eop"/>
          <w:rFonts w:asciiTheme="majorHAnsi" w:hAnsiTheme="majorHAnsi"/>
          <w:sz w:val="20"/>
          <w:szCs w:val="20"/>
        </w:rPr>
      </w:pPr>
    </w:p>
    <w:p w14:paraId="18A316E2" w14:textId="77777777" w:rsidR="00D70B93" w:rsidRPr="00A608EE" w:rsidRDefault="00D70B93" w:rsidP="00EE208A">
      <w:pPr>
        <w:pStyle w:val="paragraph"/>
        <w:spacing w:before="0" w:beforeAutospacing="0" w:after="0" w:afterAutospacing="0"/>
        <w:jc w:val="both"/>
        <w:textAlignment w:val="baseline"/>
        <w:rPr>
          <w:rStyle w:val="eop"/>
          <w:rFonts w:asciiTheme="majorHAnsi" w:hAnsiTheme="majorHAnsi"/>
          <w:sz w:val="20"/>
          <w:szCs w:val="20"/>
        </w:rPr>
      </w:pPr>
    </w:p>
    <w:p w14:paraId="00D83EA5" w14:textId="4A734FFE" w:rsidR="00E27245" w:rsidRPr="00A608EE" w:rsidRDefault="00E27245" w:rsidP="00EE208A">
      <w:pPr>
        <w:pStyle w:val="Heading3"/>
        <w:spacing w:before="0" w:line="240" w:lineRule="auto"/>
        <w:jc w:val="both"/>
        <w:rPr>
          <w:rStyle w:val="normaltextrun"/>
        </w:rPr>
      </w:pPr>
      <w:bookmarkStart w:id="35" w:name="_Toc230938779"/>
      <w:r w:rsidRPr="00A608EE">
        <w:rPr>
          <w:rStyle w:val="normaltextrun"/>
        </w:rPr>
        <w:t xml:space="preserve">2.A.2 </w:t>
      </w:r>
      <w:r w:rsidR="0056156D" w:rsidRPr="00A608EE">
        <w:rPr>
          <w:rStyle w:val="normaltextrun"/>
        </w:rPr>
        <w:t>The provider trains board members on their social performance management responsibilities</w:t>
      </w:r>
      <w:r w:rsidR="003F46BB" w:rsidRPr="00A608EE">
        <w:rPr>
          <w:rStyle w:val="normaltextrun"/>
        </w:rPr>
        <w:t>.</w:t>
      </w:r>
      <w:bookmarkEnd w:id="35"/>
    </w:p>
    <w:p w14:paraId="7AA7C595" w14:textId="77777777" w:rsidR="00A90059" w:rsidRPr="00A608EE" w:rsidRDefault="00A90059" w:rsidP="00EE208A">
      <w:pPr>
        <w:pStyle w:val="paragraph"/>
        <w:spacing w:before="0" w:beforeAutospacing="0" w:after="0" w:afterAutospacing="0"/>
        <w:jc w:val="both"/>
        <w:rPr>
          <w:rFonts w:asciiTheme="majorHAnsi" w:hAnsiTheme="majorHAnsi"/>
          <w:sz w:val="20"/>
          <w:szCs w:val="20"/>
        </w:rPr>
      </w:pPr>
    </w:p>
    <w:p w14:paraId="5A7A2E1C" w14:textId="0BD311C3" w:rsidR="0056156D" w:rsidRPr="00A608EE" w:rsidRDefault="0056156D"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Each board member must understand the provider’s social goals and the role the board should play in managing social performance. SEPM can seem like a lofty abstraction that board members don’t associate with their own day-to-day work. Effective boards need information on the concrete importance of SEPM, how it will benefit the different client segments and the provider, and what role they as leaders must play.</w:t>
      </w:r>
    </w:p>
    <w:p w14:paraId="33725D5F" w14:textId="77777777" w:rsidR="0056156D" w:rsidRPr="00A608EE" w:rsidRDefault="0056156D" w:rsidP="00EE208A">
      <w:pPr>
        <w:pStyle w:val="paragraph"/>
        <w:spacing w:before="0" w:beforeAutospacing="0" w:after="0" w:afterAutospacing="0"/>
        <w:jc w:val="both"/>
        <w:rPr>
          <w:rFonts w:asciiTheme="majorHAnsi" w:hAnsiTheme="majorHAnsi"/>
          <w:sz w:val="20"/>
          <w:szCs w:val="20"/>
        </w:rPr>
      </w:pPr>
    </w:p>
    <w:p w14:paraId="22EC481D" w14:textId="7B5C6438" w:rsidR="00A90059" w:rsidRPr="00A608EE" w:rsidRDefault="0056156D"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board orientation to SEPM should include a discussion of SEPM’s importance and how it will benefit the provider and its target clients, a comprehensive look at the social strategy, as well as updates on local initiatives (e.g., regulation; national Codes of Conduct) and international initiatives such as the Universal Standards for Social and Environmental Performance Management and the board’s role in managing social performance to achieve the social goals.</w:t>
      </w:r>
    </w:p>
    <w:p w14:paraId="4A51B94C" w14:textId="77777777" w:rsidR="0056156D" w:rsidRPr="00A608EE" w:rsidRDefault="0056156D" w:rsidP="00EE208A">
      <w:pPr>
        <w:pStyle w:val="paragraph"/>
        <w:spacing w:before="0" w:beforeAutospacing="0" w:after="0" w:afterAutospacing="0"/>
        <w:jc w:val="both"/>
        <w:rPr>
          <w:rFonts w:asciiTheme="majorHAnsi" w:hAnsiTheme="majorHAnsi"/>
          <w:sz w:val="20"/>
          <w:szCs w:val="20"/>
        </w:rPr>
      </w:pPr>
    </w:p>
    <w:p w14:paraId="3ACE6BE7" w14:textId="77777777" w:rsidR="0056156D" w:rsidRPr="00A608EE" w:rsidRDefault="0056156D" w:rsidP="00EE208A">
      <w:pPr>
        <w:jc w:val="both"/>
        <w:rPr>
          <w:rFonts w:asciiTheme="majorHAnsi" w:hAnsiTheme="majorHAnsi"/>
          <w:b/>
          <w:bCs/>
          <w:sz w:val="20"/>
          <w:szCs w:val="15"/>
          <w:lang w:eastAsia="fr-FR"/>
        </w:rPr>
      </w:pPr>
      <w:r w:rsidRPr="00A608EE">
        <w:rPr>
          <w:rFonts w:asciiTheme="majorHAnsi" w:hAnsiTheme="majorHAnsi"/>
          <w:b/>
          <w:bCs/>
          <w:sz w:val="20"/>
          <w:szCs w:val="15"/>
          <w:lang w:eastAsia="fr-FR"/>
        </w:rPr>
        <w:t>Discuss the importance of SEPM and how it will benefit the institution</w:t>
      </w:r>
    </w:p>
    <w:p w14:paraId="7C6643D4" w14:textId="77777777" w:rsidR="0056156D" w:rsidRPr="00A608EE" w:rsidRDefault="0056156D"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Explain the basics: SEPM is a management approach that puts clients at the center of all strategic and operational decisions. SEPM begins with a clear social strategy, which is then carried out by the board, management, and employees. Once they understand what SEPM is, convince them how valuable it is for the provider to serve satisfied and loyal clients. Discuss how stronger SEPM practices will help the FSP serve clients better, strengthen the institution’s financial performance, and help to solve operational challenges. Use language that your board will find appealing. For example, the terms “balanced performance management” and “responsible finance” may be more palatable for financially minded board members. For more tips on discussing SEPM with your board, check out </w:t>
      </w:r>
      <w:hyperlink r:id="rId74" w:history="1">
        <w:r w:rsidRPr="00A608EE">
          <w:rPr>
            <w:rStyle w:val="Hyperlink"/>
            <w:rFonts w:asciiTheme="majorHAnsi" w:hAnsiTheme="majorHAnsi"/>
            <w:sz w:val="20"/>
            <w:szCs w:val="20"/>
          </w:rPr>
          <w:t>Suggested Talking Points on the Benefits of SPM </w:t>
        </w:r>
      </w:hyperlink>
      <w:r w:rsidRPr="00A608EE">
        <w:rPr>
          <w:rFonts w:asciiTheme="majorHAnsi" w:hAnsiTheme="majorHAnsi"/>
          <w:sz w:val="20"/>
          <w:szCs w:val="20"/>
        </w:rPr>
        <w:t>and </w:t>
      </w:r>
      <w:hyperlink r:id="rId75" w:history="1">
        <w:r w:rsidRPr="00A608EE">
          <w:rPr>
            <w:rStyle w:val="Hyperlink"/>
            <w:rFonts w:asciiTheme="majorHAnsi" w:hAnsiTheme="majorHAnsi"/>
            <w:sz w:val="20"/>
            <w:szCs w:val="20"/>
          </w:rPr>
          <w:t>Does good client protection impact financial performance</w:t>
        </w:r>
      </w:hyperlink>
      <w:r w:rsidRPr="00A608EE">
        <w:rPr>
          <w:rFonts w:asciiTheme="majorHAnsi" w:hAnsiTheme="majorHAnsi"/>
          <w:sz w:val="20"/>
          <w:szCs w:val="20"/>
        </w:rPr>
        <w:t>.</w:t>
      </w:r>
    </w:p>
    <w:p w14:paraId="49F98EC9" w14:textId="4D934351" w:rsidR="00A90059" w:rsidRPr="00A608EE" w:rsidRDefault="00A90059" w:rsidP="00EE208A">
      <w:pPr>
        <w:pStyle w:val="paragraph"/>
        <w:spacing w:before="0" w:beforeAutospacing="0" w:after="0" w:afterAutospacing="0"/>
        <w:jc w:val="both"/>
        <w:rPr>
          <w:rFonts w:asciiTheme="majorHAnsi" w:hAnsiTheme="majorHAnsi"/>
          <w:sz w:val="20"/>
          <w:szCs w:val="20"/>
        </w:rPr>
      </w:pPr>
      <w:r w:rsidRPr="00A608EE">
        <w:rPr>
          <w:sz w:val="20"/>
          <w:szCs w:val="20"/>
        </w:rPr>
        <w:t> </w:t>
      </w:r>
      <w:r w:rsidRPr="00A608EE">
        <w:rPr>
          <w:rFonts w:asciiTheme="majorHAnsi" w:hAnsiTheme="majorHAnsi"/>
          <w:sz w:val="20"/>
          <w:szCs w:val="20"/>
        </w:rPr>
        <w:t> </w:t>
      </w:r>
    </w:p>
    <w:p w14:paraId="1F2601B4" w14:textId="77777777" w:rsidR="0056156D" w:rsidRPr="00A608EE" w:rsidRDefault="0056156D" w:rsidP="00EE208A">
      <w:pPr>
        <w:pStyle w:val="paragraph"/>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Discuss the Universal Standards and key industry SEPM initiatives</w:t>
      </w:r>
    </w:p>
    <w:p w14:paraId="101C1D6D" w14:textId="77777777" w:rsidR="0056156D" w:rsidRPr="00A608EE" w:rsidRDefault="0056156D"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Boards don’t need to understand the details of national and international efforts to support strong SEPM practices and the SPI social audit tools as global measurement and reporting tool. But they should know that SEPM is a global initiative, that there are communities of practice dedicated to helping FSPs improve performance, and that impact investors are paying increasing attention. </w:t>
      </w:r>
      <w:r w:rsidRPr="00A608EE">
        <w:rPr>
          <w:rFonts w:asciiTheme="majorHAnsi" w:hAnsiTheme="majorHAnsi"/>
          <w:sz w:val="20"/>
          <w:szCs w:val="20"/>
          <w:u w:val="single"/>
        </w:rPr>
        <w:t>Key message:</w:t>
      </w:r>
      <w:r w:rsidRPr="00A608EE">
        <w:rPr>
          <w:rFonts w:asciiTheme="majorHAnsi" w:hAnsiTheme="majorHAnsi"/>
          <w:sz w:val="20"/>
          <w:szCs w:val="20"/>
        </w:rPr>
        <w:t> you aren’t acting alone!</w:t>
      </w:r>
    </w:p>
    <w:p w14:paraId="70EC2DE0" w14:textId="77777777" w:rsidR="0056156D" w:rsidRPr="00A608EE" w:rsidRDefault="0056156D" w:rsidP="00EE208A">
      <w:pPr>
        <w:pStyle w:val="paragraph"/>
        <w:spacing w:before="0" w:beforeAutospacing="0" w:after="0" w:afterAutospacing="0"/>
        <w:jc w:val="both"/>
        <w:rPr>
          <w:rFonts w:asciiTheme="majorHAnsi" w:hAnsiTheme="majorHAnsi"/>
          <w:b/>
          <w:bCs/>
          <w:sz w:val="20"/>
          <w:szCs w:val="20"/>
        </w:rPr>
      </w:pPr>
    </w:p>
    <w:p w14:paraId="21A19992" w14:textId="4A671DB9" w:rsidR="0056156D" w:rsidRPr="00A608EE" w:rsidRDefault="0056156D" w:rsidP="00EE208A">
      <w:pPr>
        <w:pStyle w:val="paragraph"/>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Discuss the board’s role in SEPM</w:t>
      </w:r>
    </w:p>
    <w:p w14:paraId="75BEFDF5" w14:textId="6F7B275E" w:rsidR="0056156D" w:rsidRPr="00A608EE" w:rsidRDefault="0056156D"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As a part of this orientation, discuss with your board members their specific responsibilities related to the social performance management to include:</w:t>
      </w:r>
    </w:p>
    <w:p w14:paraId="4C9C5618"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Ensuring that client focus is integrated into the strategic and business plans;</w:t>
      </w:r>
    </w:p>
    <w:p w14:paraId="249FB761"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Reviewing and discussing social performance reports and check for programs and action plans to facilitate the achievement of the social goals to ensure:</w:t>
      </w:r>
    </w:p>
    <w:p w14:paraId="1E4AC3DB" w14:textId="77777777" w:rsidR="0056156D" w:rsidRPr="00A608EE" w:rsidRDefault="0056156D" w:rsidP="00A27AAA">
      <w:pPr>
        <w:pStyle w:val="paragraph"/>
        <w:numPr>
          <w:ilvl w:val="1"/>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is reaching its target client segments; and</w:t>
      </w:r>
    </w:p>
    <w:p w14:paraId="35486434" w14:textId="77777777" w:rsidR="0056156D" w:rsidRPr="00A608EE" w:rsidRDefault="0056156D" w:rsidP="00A27AAA">
      <w:pPr>
        <w:pStyle w:val="paragraph"/>
        <w:numPr>
          <w:ilvl w:val="1"/>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All products and services and their distribution channels are appropriate to client’s needs.</w:t>
      </w:r>
    </w:p>
    <w:p w14:paraId="3538E8D9"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Suggesting modifications to the products and services, operations, or social goals/targets, based on review of social performance information;</w:t>
      </w:r>
    </w:p>
    <w:p w14:paraId="63498B05"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Hold the CEO accountable for achieving the social goals and their targets;</w:t>
      </w:r>
    </w:p>
    <w:p w14:paraId="176735E1"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Make strategic decisions about growth, prices, and profits that balance social and financial performance;</w:t>
      </w:r>
    </w:p>
    <w:p w14:paraId="6D8AC443"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Reviewing Human Resources policies to evaluate social responsibility to employees;</w:t>
      </w:r>
    </w:p>
    <w:p w14:paraId="7F984223"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Ensuring your institution is in compliance with national/regional/ international regulation, including codes of conduct;</w:t>
      </w:r>
    </w:p>
    <w:p w14:paraId="0F2E260A" w14:textId="77777777" w:rsidR="0056156D" w:rsidRPr="00A608EE" w:rsidRDefault="0056156D" w:rsidP="00A27AAA">
      <w:pPr>
        <w:pStyle w:val="paragraph"/>
        <w:numPr>
          <w:ilvl w:val="0"/>
          <w:numId w:val="11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Reviewing and updating the mission statement and social strategy (or “Theory of Change”), as necessary</w:t>
      </w:r>
    </w:p>
    <w:p w14:paraId="11FDDA98" w14:textId="77777777" w:rsidR="0056156D" w:rsidRPr="00A608EE" w:rsidRDefault="0056156D" w:rsidP="00EE208A">
      <w:pPr>
        <w:pStyle w:val="paragraph"/>
        <w:spacing w:before="0" w:beforeAutospacing="0" w:after="0" w:afterAutospacing="0"/>
        <w:jc w:val="both"/>
        <w:rPr>
          <w:rFonts w:asciiTheme="majorHAnsi" w:hAnsiTheme="majorHAnsi"/>
          <w:sz w:val="20"/>
          <w:szCs w:val="20"/>
        </w:rPr>
      </w:pPr>
    </w:p>
    <w:p w14:paraId="38FA4B2C" w14:textId="77777777" w:rsidR="00E541D1" w:rsidRPr="00A608EE" w:rsidRDefault="00E541D1"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Confirm that each board member agrees to uphold the responsibilities that your institution specifies by having them sign an agreement that details their social performance responsibilities. Essential Practice 6C1 provides further guidance on ensuring that investor board members are aligned with your institution’s social goals.</w:t>
      </w:r>
    </w:p>
    <w:p w14:paraId="705CBB3A" w14:textId="77777777" w:rsidR="00E541D1" w:rsidRPr="00A608EE" w:rsidRDefault="00E541D1" w:rsidP="00EE208A">
      <w:pPr>
        <w:pStyle w:val="paragraph"/>
        <w:spacing w:before="0" w:beforeAutospacing="0" w:after="0" w:afterAutospacing="0"/>
        <w:jc w:val="both"/>
        <w:rPr>
          <w:rFonts w:asciiTheme="majorHAnsi" w:hAnsiTheme="majorHAnsi"/>
          <w:sz w:val="20"/>
          <w:szCs w:val="20"/>
        </w:rPr>
      </w:pPr>
    </w:p>
    <w:p w14:paraId="7D1C2D20" w14:textId="3048C8E6" w:rsidR="00E541D1" w:rsidRPr="00A608EE" w:rsidRDefault="00E541D1"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 addition to providing board orientation, consider pairing newer board members with existing ones (“mentors”). Ask the pair to meet one or more times to discuss your institution’s history, mission, social goals, and related topics. Board members should visit client businesses and branch offices within the first year after joining the board; understanding the institution’s field operations helps the institution’s social goals “come alive” to the board.</w:t>
      </w:r>
    </w:p>
    <w:p w14:paraId="6F52AB56" w14:textId="77777777" w:rsidR="00E541D1" w:rsidRPr="00A608EE" w:rsidRDefault="00E541D1" w:rsidP="00EE208A">
      <w:pPr>
        <w:pStyle w:val="paragraph"/>
        <w:spacing w:before="0" w:beforeAutospacing="0" w:after="0" w:afterAutospacing="0"/>
        <w:jc w:val="both"/>
        <w:rPr>
          <w:rFonts w:asciiTheme="majorHAnsi" w:hAnsiTheme="majorHAnsi"/>
          <w:sz w:val="20"/>
          <w:szCs w:val="20"/>
        </w:rPr>
      </w:pPr>
    </w:p>
    <w:p w14:paraId="286694A2" w14:textId="3CFC25F4" w:rsidR="00A90059" w:rsidRPr="00A608EE" w:rsidRDefault="00E541D1"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sz w:val="20"/>
          <w:szCs w:val="20"/>
        </w:rPr>
        <w:t>If you find that your board resists or deprioritizes its social performance responsibilities, consider using the terms “client-centered,” “responsible finance” and “balanced performance management” instead of “social performance.” You can also position it within the broader corporate ESG framework for financial service providers. Choose terms that appeal to the financial orientation of board members and describe the financial benefits of pursuing social goals. Often, the lack of interest in social performance is based in a misperception that SPM is a costly distraction from prudent oversight of the provider’s financial performance.</w:t>
      </w:r>
    </w:p>
    <w:p w14:paraId="5002A54C" w14:textId="77777777" w:rsidR="00E541D1" w:rsidRPr="00A608EE" w:rsidRDefault="00E541D1" w:rsidP="00EE208A">
      <w:pPr>
        <w:pStyle w:val="paragraph"/>
        <w:spacing w:before="0" w:beforeAutospacing="0" w:after="0" w:afterAutospacing="0"/>
        <w:jc w:val="both"/>
        <w:rPr>
          <w:rFonts w:asciiTheme="majorHAnsi" w:hAnsiTheme="majorHAnsi"/>
          <w:sz w:val="20"/>
          <w:szCs w:val="20"/>
        </w:rPr>
      </w:pPr>
    </w:p>
    <w:p w14:paraId="2401AA68" w14:textId="44445221" w:rsidR="00E27245" w:rsidRPr="00A608EE" w:rsidRDefault="00E541D1"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For example, the council helped formulate the NWTF's “80-50-30” social performance targets in the Philippines by (1) targeting 80% of new clients living below the poverty line at entry, (2) 50% of those clients showing a positive change in their poverty level after three years, and (3) 30% of those clients moving above the poverty line after five years.</w:t>
      </w:r>
    </w:p>
    <w:p w14:paraId="4B8F47B9" w14:textId="77777777" w:rsidR="00E541D1" w:rsidRPr="00A608EE" w:rsidRDefault="00E541D1" w:rsidP="00EE208A">
      <w:pPr>
        <w:pStyle w:val="paragraph"/>
        <w:spacing w:before="0" w:beforeAutospacing="0" w:after="0" w:afterAutospacing="0"/>
        <w:jc w:val="both"/>
        <w:textAlignment w:val="baseline"/>
        <w:rPr>
          <w:rFonts w:asciiTheme="majorHAnsi" w:hAnsiTheme="majorHAnsi"/>
          <w:sz w:val="20"/>
          <w:szCs w:val="20"/>
        </w:rPr>
      </w:pPr>
    </w:p>
    <w:p w14:paraId="41EFCC08" w14:textId="031EE5FD" w:rsidR="00A12F31" w:rsidRPr="00A608EE" w:rsidRDefault="00E541D1" w:rsidP="00EE208A">
      <w:pPr>
        <w:pStyle w:val="paragraph"/>
        <w:spacing w:before="0" w:beforeAutospacing="0" w:after="0" w:afterAutospacing="0"/>
        <w:jc w:val="both"/>
        <w:textAlignment w:val="baseline"/>
        <w:rPr>
          <w:rFonts w:asciiTheme="majorHAnsi" w:eastAsiaTheme="majorEastAsia" w:hAnsiTheme="majorHAnsi"/>
          <w:b/>
          <w:bCs/>
          <w:sz w:val="20"/>
          <w:szCs w:val="20"/>
        </w:rPr>
      </w:pPr>
      <w:r w:rsidRPr="00A608EE">
        <w:rPr>
          <w:rStyle w:val="eop"/>
          <w:rFonts w:asciiTheme="majorHAnsi" w:eastAsiaTheme="majorEastAsia" w:hAnsiTheme="majorHAnsi"/>
          <w:b/>
          <w:bCs/>
          <w:sz w:val="20"/>
          <w:szCs w:val="20"/>
        </w:rPr>
        <w:t>Resources</w:t>
      </w:r>
      <w:r w:rsidR="00A12F31" w:rsidRPr="00A608EE">
        <w:rPr>
          <w:rStyle w:val="eop"/>
          <w:rFonts w:asciiTheme="majorHAnsi" w:eastAsiaTheme="majorEastAsia" w:hAnsiTheme="majorHAnsi"/>
          <w:b/>
          <w:bCs/>
          <w:sz w:val="20"/>
          <w:szCs w:val="20"/>
        </w:rPr>
        <w:t>:</w:t>
      </w:r>
    </w:p>
    <w:p w14:paraId="52BD151E" w14:textId="77777777" w:rsidR="00E541D1" w:rsidRPr="00A608EE" w:rsidRDefault="00E541D1" w:rsidP="00A27AAA">
      <w:pPr>
        <w:pStyle w:val="paragraph"/>
        <w:numPr>
          <w:ilvl w:val="0"/>
          <w:numId w:val="116"/>
        </w:numPr>
        <w:spacing w:before="0" w:beforeAutospacing="0" w:after="0" w:afterAutospacing="0"/>
        <w:jc w:val="both"/>
        <w:textAlignment w:val="baseline"/>
        <w:rPr>
          <w:rFonts w:asciiTheme="majorHAnsi" w:hAnsiTheme="majorHAnsi"/>
          <w:sz w:val="20"/>
          <w:szCs w:val="20"/>
        </w:rPr>
      </w:pPr>
      <w:hyperlink r:id="rId76" w:history="1">
        <w:r w:rsidRPr="00A608EE">
          <w:rPr>
            <w:rStyle w:val="Hyperlink"/>
            <w:rFonts w:asciiTheme="majorHAnsi" w:hAnsiTheme="majorHAnsi"/>
            <w:sz w:val="20"/>
            <w:szCs w:val="20"/>
          </w:rPr>
          <w:t>Suggested Talking Points on the Benefits of SPM</w:t>
        </w:r>
      </w:hyperlink>
    </w:p>
    <w:p w14:paraId="3ADFFBB0" w14:textId="77777777" w:rsidR="00E541D1" w:rsidRPr="00A608EE" w:rsidRDefault="00E541D1" w:rsidP="00A27AAA">
      <w:pPr>
        <w:pStyle w:val="paragraph"/>
        <w:numPr>
          <w:ilvl w:val="0"/>
          <w:numId w:val="116"/>
        </w:numPr>
        <w:spacing w:before="0" w:beforeAutospacing="0" w:after="0" w:afterAutospacing="0"/>
        <w:jc w:val="both"/>
        <w:textAlignment w:val="baseline"/>
        <w:rPr>
          <w:rFonts w:asciiTheme="majorHAnsi" w:hAnsiTheme="majorHAnsi"/>
          <w:sz w:val="20"/>
          <w:szCs w:val="20"/>
        </w:rPr>
      </w:pPr>
      <w:hyperlink r:id="rId77" w:history="1">
        <w:r w:rsidRPr="00A608EE">
          <w:rPr>
            <w:rStyle w:val="Hyperlink"/>
            <w:rFonts w:asciiTheme="majorHAnsi" w:hAnsiTheme="majorHAnsi"/>
            <w:sz w:val="20"/>
            <w:szCs w:val="20"/>
          </w:rPr>
          <w:t>NWTF Orients the Board on SPM</w:t>
        </w:r>
      </w:hyperlink>
    </w:p>
    <w:p w14:paraId="3DC755F8" w14:textId="77777777" w:rsidR="00E541D1" w:rsidRPr="00A608EE" w:rsidRDefault="00E541D1" w:rsidP="00A27AAA">
      <w:pPr>
        <w:pStyle w:val="paragraph"/>
        <w:numPr>
          <w:ilvl w:val="0"/>
          <w:numId w:val="116"/>
        </w:numPr>
        <w:spacing w:before="0" w:beforeAutospacing="0" w:after="0" w:afterAutospacing="0"/>
        <w:jc w:val="both"/>
        <w:textAlignment w:val="baseline"/>
        <w:rPr>
          <w:rFonts w:asciiTheme="majorHAnsi" w:hAnsiTheme="majorHAnsi"/>
          <w:sz w:val="20"/>
          <w:szCs w:val="20"/>
        </w:rPr>
      </w:pPr>
      <w:hyperlink r:id="rId78" w:history="1">
        <w:r w:rsidRPr="00A608EE">
          <w:rPr>
            <w:rStyle w:val="Hyperlink"/>
            <w:rFonts w:asciiTheme="majorHAnsi" w:hAnsiTheme="majorHAnsi"/>
            <w:sz w:val="20"/>
            <w:szCs w:val="20"/>
          </w:rPr>
          <w:t>Khushhali Bank Microfinance Ltd (Pakistan) provides board with SPM orientation and TOR</w:t>
        </w:r>
      </w:hyperlink>
    </w:p>
    <w:p w14:paraId="2339EC6D" w14:textId="72BD9288" w:rsidR="00E541D1" w:rsidRPr="00A608EE" w:rsidRDefault="00E541D1" w:rsidP="00A27AAA">
      <w:pPr>
        <w:pStyle w:val="paragraph"/>
        <w:numPr>
          <w:ilvl w:val="0"/>
          <w:numId w:val="116"/>
        </w:numPr>
        <w:spacing w:before="0" w:beforeAutospacing="0" w:after="0" w:afterAutospacing="0"/>
        <w:jc w:val="both"/>
        <w:textAlignment w:val="baseline"/>
        <w:rPr>
          <w:rFonts w:asciiTheme="majorHAnsi" w:hAnsiTheme="majorHAnsi"/>
          <w:sz w:val="20"/>
          <w:szCs w:val="20"/>
        </w:rPr>
      </w:pPr>
      <w:hyperlink r:id="rId79" w:history="1">
        <w:r w:rsidRPr="00A608EE">
          <w:rPr>
            <w:rStyle w:val="Hyperlink"/>
            <w:rFonts w:asciiTheme="majorHAnsi" w:hAnsiTheme="majorHAnsi"/>
            <w:sz w:val="20"/>
            <w:szCs w:val="20"/>
          </w:rPr>
          <w:t>Sèvis Finansye Fonkoze SPM Commi</w:t>
        </w:r>
        <w:r w:rsidR="00C37E87" w:rsidRPr="00A608EE">
          <w:rPr>
            <w:rStyle w:val="Hyperlink"/>
            <w:rFonts w:asciiTheme="majorHAnsi" w:hAnsiTheme="majorHAnsi"/>
            <w:sz w:val="20"/>
            <w:szCs w:val="20"/>
          </w:rPr>
          <w:t>t</w:t>
        </w:r>
        <w:r w:rsidRPr="00A608EE">
          <w:rPr>
            <w:rStyle w:val="Hyperlink"/>
            <w:rFonts w:asciiTheme="majorHAnsi" w:hAnsiTheme="majorHAnsi"/>
            <w:sz w:val="20"/>
            <w:szCs w:val="20"/>
          </w:rPr>
          <w:t>tee Charter</w:t>
        </w:r>
      </w:hyperlink>
    </w:p>
    <w:p w14:paraId="22FCF536" w14:textId="276C4E2D" w:rsidR="00D3208B" w:rsidRPr="00A608EE" w:rsidRDefault="00D3208B" w:rsidP="00A27AAA">
      <w:pPr>
        <w:pStyle w:val="paragraph"/>
        <w:numPr>
          <w:ilvl w:val="0"/>
          <w:numId w:val="116"/>
        </w:numPr>
        <w:spacing w:before="0" w:beforeAutospacing="0" w:after="0" w:afterAutospacing="0"/>
        <w:ind w:left="714" w:hanging="357"/>
        <w:contextualSpacing/>
        <w:jc w:val="both"/>
        <w:textAlignment w:val="baseline"/>
        <w:rPr>
          <w:rFonts w:asciiTheme="majorHAnsi" w:hAnsiTheme="majorHAnsi"/>
          <w:b/>
          <w:bCs/>
          <w:szCs w:val="20"/>
        </w:rPr>
      </w:pPr>
      <w:r w:rsidRPr="00A608EE">
        <w:rPr>
          <w:rFonts w:asciiTheme="majorHAnsi" w:hAnsiTheme="majorHAnsi"/>
          <w:b/>
          <w:bCs/>
          <w:sz w:val="20"/>
          <w:szCs w:val="20"/>
        </w:rPr>
        <w:t xml:space="preserve">[DI Focus]: </w:t>
      </w:r>
      <w:hyperlink r:id="rId80" w:history="1">
        <w:r w:rsidR="005229E5" w:rsidRPr="00A608EE">
          <w:rPr>
            <w:rStyle w:val="Hyperlink"/>
            <w:rFonts w:asciiTheme="majorHAnsi" w:hAnsiTheme="majorHAnsi"/>
            <w:sz w:val="20"/>
            <w:szCs w:val="20"/>
          </w:rPr>
          <w:t>CFI at Accion’s Framework for Disability Inclusion by Joshua Goldstein et al includes guidance for FSPs on building partnerships with OPDs (pages 9-11)</w:t>
        </w:r>
      </w:hyperlink>
    </w:p>
    <w:p w14:paraId="0409F75F" w14:textId="3C53CF2D" w:rsidR="00E27245" w:rsidRPr="00A608EE" w:rsidRDefault="005229E5" w:rsidP="00A27AAA">
      <w:pPr>
        <w:pStyle w:val="paragraph"/>
        <w:numPr>
          <w:ilvl w:val="0"/>
          <w:numId w:val="11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81" w:history="1">
        <w:r w:rsidRPr="00A608EE">
          <w:rPr>
            <w:rStyle w:val="Hyperlink"/>
            <w:rFonts w:asciiTheme="majorHAnsi" w:hAnsiTheme="majorHAnsi"/>
            <w:sz w:val="20"/>
            <w:szCs w:val="20"/>
          </w:rPr>
          <w:t>CBM’s Guidelines for rights-based consultations with OPDs</w:t>
        </w:r>
      </w:hyperlink>
    </w:p>
    <w:p w14:paraId="270C5480" w14:textId="77777777" w:rsidR="00CF1893" w:rsidRPr="00A608EE" w:rsidRDefault="00CF1893" w:rsidP="00EE208A">
      <w:pPr>
        <w:pStyle w:val="paragraph"/>
        <w:spacing w:before="0" w:beforeAutospacing="0" w:after="0" w:afterAutospacing="0"/>
        <w:jc w:val="both"/>
        <w:textAlignment w:val="baseline"/>
        <w:rPr>
          <w:rFonts w:asciiTheme="majorHAnsi" w:hAnsiTheme="majorHAnsi"/>
          <w:sz w:val="20"/>
          <w:szCs w:val="20"/>
        </w:rPr>
      </w:pPr>
    </w:p>
    <w:p w14:paraId="4E595908" w14:textId="158512E3" w:rsidR="009620D1" w:rsidRPr="00A608EE" w:rsidRDefault="009620D1" w:rsidP="00EE208A">
      <w:pPr>
        <w:pStyle w:val="Heading4"/>
        <w:spacing w:before="0" w:line="240" w:lineRule="auto"/>
        <w:jc w:val="both"/>
      </w:pPr>
      <w:r w:rsidRPr="00A608EE">
        <w:rPr>
          <w:rStyle w:val="normaltextrun"/>
        </w:rPr>
        <w:lastRenderedPageBreak/>
        <w:t xml:space="preserve">2.A.2.1 </w:t>
      </w:r>
      <w:r w:rsidR="00B24EFC" w:rsidRPr="00A608EE">
        <w:rPr>
          <w:rStyle w:val="normaltextrun"/>
        </w:rPr>
        <w:t>During new member orientation or subsequent training, the provider trains each board member on the following</w:t>
      </w:r>
      <w:r w:rsidR="002D7DF3" w:rsidRPr="00A608EE">
        <w:rPr>
          <w:rStyle w:val="normaltextrun"/>
        </w:rPr>
        <w:t>:</w:t>
      </w:r>
    </w:p>
    <w:p w14:paraId="2C093F4E" w14:textId="3CEF48AD" w:rsidR="00B24EFC" w:rsidRPr="00A608EE" w:rsidRDefault="00B24EFC" w:rsidP="00EE208A">
      <w:pPr>
        <w:pStyle w:val="Heading5"/>
        <w:spacing w:line="240" w:lineRule="auto"/>
        <w:ind w:left="708"/>
        <w:jc w:val="both"/>
        <w:rPr>
          <w:rStyle w:val="normaltextrun"/>
          <w:rFonts w:cs="Calibri Light"/>
          <w:i/>
          <w:color w:val="auto"/>
          <w:szCs w:val="20"/>
        </w:rPr>
      </w:pPr>
      <w:r w:rsidRPr="00A608EE">
        <w:rPr>
          <w:rStyle w:val="normaltextrun"/>
          <w:rFonts w:cs="Calibri Light"/>
          <w:i/>
          <w:color w:val="auto"/>
          <w:szCs w:val="20"/>
        </w:rPr>
        <w:t>2.A.2.1.1 The provider’s social goals.</w:t>
      </w:r>
    </w:p>
    <w:p w14:paraId="79CE6E39" w14:textId="77777777" w:rsidR="00B24EFC" w:rsidRPr="00A608EE" w:rsidRDefault="00B24EFC" w:rsidP="00EE208A">
      <w:pPr>
        <w:pStyle w:val="Heading5"/>
        <w:spacing w:line="240" w:lineRule="auto"/>
        <w:ind w:left="708"/>
        <w:jc w:val="both"/>
        <w:rPr>
          <w:rStyle w:val="normaltextrun"/>
          <w:rFonts w:cs="Calibri Light"/>
          <w:i/>
          <w:color w:val="auto"/>
          <w:szCs w:val="20"/>
        </w:rPr>
      </w:pPr>
      <w:r w:rsidRPr="00A608EE">
        <w:rPr>
          <w:rStyle w:val="normaltextrun"/>
          <w:rFonts w:cs="Calibri Light"/>
          <w:i/>
          <w:color w:val="auto"/>
          <w:szCs w:val="20"/>
        </w:rPr>
        <w:t>2.A.2.1.2 The board’s role in managing the provider’s social performance.</w:t>
      </w:r>
    </w:p>
    <w:p w14:paraId="7E9F4F1F" w14:textId="42C3E865" w:rsidR="00B24EFC" w:rsidRPr="00A608EE" w:rsidRDefault="00B24EFC" w:rsidP="00EE208A">
      <w:pPr>
        <w:pStyle w:val="Heading5"/>
        <w:spacing w:before="0" w:line="240" w:lineRule="auto"/>
        <w:ind w:left="708"/>
        <w:jc w:val="both"/>
        <w:rPr>
          <w:rFonts w:cs="Calibri Light"/>
          <w:i/>
          <w:color w:val="auto"/>
          <w:szCs w:val="20"/>
        </w:rPr>
      </w:pPr>
      <w:r w:rsidRPr="00A608EE">
        <w:rPr>
          <w:rStyle w:val="normaltextrun"/>
          <w:rFonts w:cs="Calibri Light"/>
          <w:i/>
          <w:color w:val="auto"/>
          <w:szCs w:val="20"/>
        </w:rPr>
        <w:t>2.A.2.1.3 The Universal Standard for Social and Environmental Performance Management</w:t>
      </w:r>
    </w:p>
    <w:p w14:paraId="2ED533A1" w14:textId="77777777" w:rsidR="006A547D" w:rsidRPr="00A608EE" w:rsidRDefault="006A547D" w:rsidP="00EE208A">
      <w:pPr>
        <w:jc w:val="both"/>
      </w:pPr>
    </w:p>
    <w:p w14:paraId="1A17AC2F" w14:textId="37F1FC9B" w:rsidR="00A90059" w:rsidRPr="00A608EE" w:rsidRDefault="004F5FC3" w:rsidP="00EE208A">
      <w:pPr>
        <w:pStyle w:val="paragraph"/>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A90059"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A90059" w:rsidRPr="00A608EE">
        <w:rPr>
          <w:rFonts w:asciiTheme="majorHAnsi" w:hAnsiTheme="majorHAnsi"/>
          <w:b/>
          <w:bCs/>
          <w:color w:val="2145CC" w:themeColor="accent5" w:themeShade="BF"/>
          <w:sz w:val="20"/>
          <w:szCs w:val="20"/>
        </w:rPr>
        <w:t>SPI5 Full </w:t>
      </w:r>
      <w:r w:rsidR="009A58DF" w:rsidRPr="00A608EE">
        <w:rPr>
          <w:rFonts w:ascii="Work Sans" w:hAnsi="Work Sans"/>
          <w:b/>
          <w:bCs/>
          <w:color w:val="2145CC" w:themeColor="accent5" w:themeShade="BF"/>
          <w:sz w:val="20"/>
          <w:szCs w:val="20"/>
        </w:rPr>
        <w:t>| DI Focus</w:t>
      </w:r>
    </w:p>
    <w:p w14:paraId="1935596C" w14:textId="4C375932" w:rsidR="00A90059" w:rsidRPr="00A608EE" w:rsidRDefault="00A90059"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r w:rsidR="004E7EB1" w:rsidRPr="00A608EE">
        <w:rPr>
          <w:rFonts w:asciiTheme="majorHAnsi" w:hAnsiTheme="majorHAnsi"/>
          <w:sz w:val="20"/>
          <w:szCs w:val="20"/>
        </w:rPr>
        <w:t> </w:t>
      </w:r>
    </w:p>
    <w:p w14:paraId="7CD088A4" w14:textId="36ABB6B9" w:rsidR="00156EBF" w:rsidRPr="00A608EE" w:rsidRDefault="00B24EFC" w:rsidP="008D472A">
      <w:pPr>
        <w:jc w:val="both"/>
        <w:rPr>
          <w:rFonts w:asciiTheme="majorHAnsi" w:hAnsiTheme="majorHAnsi"/>
          <w:sz w:val="20"/>
          <w:szCs w:val="20"/>
          <w:lang w:eastAsia="fr-FR"/>
        </w:rPr>
      </w:pPr>
      <w:r w:rsidRPr="00A608EE">
        <w:rPr>
          <w:rFonts w:asciiTheme="majorHAnsi" w:hAnsiTheme="majorHAnsi"/>
          <w:sz w:val="20"/>
          <w:szCs w:val="20"/>
          <w:lang w:eastAsia="fr-FR"/>
        </w:rPr>
        <w:t>In order to successfully support and safeguard the social strategy, board members need to understand what that strategy is and how they can help uphold it. New board members should be oriented to social performance and global trends in the area so they know they are part of a larger movement dedicated to socially responsible governance.</w:t>
      </w:r>
    </w:p>
    <w:p w14:paraId="64E2EC8B" w14:textId="77777777" w:rsidR="00672763" w:rsidRPr="00A608EE" w:rsidRDefault="00672763" w:rsidP="008D472A">
      <w:pPr>
        <w:jc w:val="both"/>
        <w:rPr>
          <w:rFonts w:asciiTheme="majorHAnsi" w:hAnsiTheme="majorHAnsi"/>
          <w:sz w:val="20"/>
          <w:szCs w:val="20"/>
          <w:lang w:eastAsia="fr-FR"/>
        </w:rPr>
      </w:pPr>
    </w:p>
    <w:p w14:paraId="57C7C4F0"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09792" behindDoc="1" locked="0" layoutInCell="1" allowOverlap="1" wp14:anchorId="25DB1EBB" wp14:editId="6F322DE0">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217904176"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DDDF9DF" w14:textId="77777777" w:rsidR="00672763" w:rsidRPr="00A608EE" w:rsidRDefault="00672763" w:rsidP="008D472A">
      <w:pPr>
        <w:jc w:val="both"/>
        <w:rPr>
          <w:rStyle w:val="normaltextrun"/>
          <w:rFonts w:asciiTheme="majorHAnsi" w:hAnsiTheme="majorHAnsi"/>
          <w:sz w:val="20"/>
          <w:szCs w:val="20"/>
          <w:lang w:eastAsia="fr-FR"/>
        </w:rPr>
      </w:pPr>
    </w:p>
    <w:p w14:paraId="1455EFAD" w14:textId="3B9BB5CB" w:rsidR="00156EBF"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156EBF" w:rsidRPr="00A608EE">
        <w:rPr>
          <w:rFonts w:asciiTheme="majorHAnsi" w:hAnsiTheme="majorHAnsi"/>
          <w:sz w:val="20"/>
          <w:szCs w:val="20"/>
          <w:lang w:eastAsia="fr-FR"/>
        </w:rPr>
        <w:t xml:space="preserve">Training for board members on social performance management responsibilities includes specific training on disability rights and inclusion related to the provider's social goals, including compliance with the </w:t>
      </w:r>
      <w:r w:rsidR="00EB123D" w:rsidRPr="00A608EE">
        <w:rPr>
          <w:rFonts w:asciiTheme="majorHAnsi" w:hAnsiTheme="majorHAnsi"/>
          <w:sz w:val="20"/>
          <w:szCs w:val="20"/>
          <w:lang w:eastAsia="fr-FR"/>
        </w:rPr>
        <w:t>UN</w:t>
      </w:r>
      <w:r w:rsidR="00156EBF" w:rsidRPr="00A608EE">
        <w:rPr>
          <w:rFonts w:asciiTheme="majorHAnsi" w:hAnsiTheme="majorHAnsi"/>
          <w:sz w:val="20"/>
          <w:szCs w:val="20"/>
          <w:lang w:eastAsia="fr-FR"/>
        </w:rPr>
        <w:t>CRPD and local legislation and regulation.</w:t>
      </w:r>
    </w:p>
    <w:p w14:paraId="5B02B83A" w14:textId="77777777" w:rsidR="0084416A" w:rsidRPr="00A608EE" w:rsidRDefault="0084416A" w:rsidP="00EE208A">
      <w:pPr>
        <w:jc w:val="both"/>
        <w:rPr>
          <w:rFonts w:asciiTheme="majorHAnsi" w:hAnsiTheme="majorHAnsi"/>
          <w:sz w:val="20"/>
          <w:szCs w:val="20"/>
          <w:lang w:eastAsia="fr-FR"/>
        </w:rPr>
      </w:pPr>
    </w:p>
    <w:p w14:paraId="2D6E5E5A" w14:textId="17F2C9CE" w:rsidR="0084416A" w:rsidRPr="00A608EE" w:rsidRDefault="0084416A" w:rsidP="00EE208A">
      <w:pPr>
        <w:jc w:val="both"/>
        <w:rPr>
          <w:rFonts w:asciiTheme="majorHAnsi" w:hAnsiTheme="majorHAnsi"/>
          <w:sz w:val="20"/>
          <w:szCs w:val="20"/>
          <w:lang w:eastAsia="fr-FR"/>
        </w:rPr>
      </w:pPr>
      <w:r w:rsidRPr="00A608EE">
        <w:rPr>
          <w:noProof/>
        </w:rPr>
        <w:lastRenderedPageBreak/>
        <mc:AlternateContent>
          <mc:Choice Requires="wps">
            <w:drawing>
              <wp:anchor distT="0" distB="0" distL="114300" distR="114300" simplePos="0" relativeHeight="251782144" behindDoc="0" locked="0" layoutInCell="1" allowOverlap="1" wp14:anchorId="3F83A560" wp14:editId="6A1FEF7A">
                <wp:simplePos x="0" y="0"/>
                <wp:positionH relativeFrom="column">
                  <wp:posOffset>69850</wp:posOffset>
                </wp:positionH>
                <wp:positionV relativeFrom="paragraph">
                  <wp:posOffset>80645</wp:posOffset>
                </wp:positionV>
                <wp:extent cx="1828800" cy="1828800"/>
                <wp:effectExtent l="0" t="0" r="0" b="0"/>
                <wp:wrapSquare wrapText="bothSides"/>
                <wp:docPr id="1939965078"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720FB39B" w14:textId="34D855C9" w:rsidR="0084416A" w:rsidRPr="00820B09" w:rsidRDefault="0084416A" w:rsidP="0084416A">
                            <w:pPr>
                              <w:pStyle w:val="paragraph"/>
                              <w:spacing w:before="0" w:beforeAutospacing="0" w:after="0" w:afterAutospacing="0"/>
                              <w:jc w:val="both"/>
                              <w:textAlignment w:val="baseline"/>
                              <w:rPr>
                                <w:rFonts w:asciiTheme="majorHAnsi" w:hAnsiTheme="majorHAnsi"/>
                                <w:b/>
                                <w:bCs/>
                                <w:sz w:val="20"/>
                                <w:szCs w:val="20"/>
                              </w:rPr>
                            </w:pPr>
                            <w:r w:rsidRPr="00820B09">
                              <w:rPr>
                                <w:rFonts w:asciiTheme="majorHAnsi" w:hAnsiTheme="majorHAnsi"/>
                                <w:b/>
                                <w:bCs/>
                                <w:sz w:val="20"/>
                                <w:szCs w:val="20"/>
                              </w:rPr>
                              <w:t>Disability Inclusion – Info Box 2.A.2.1</w:t>
                            </w:r>
                          </w:p>
                          <w:p w14:paraId="5F6A3EA9" w14:textId="77777777" w:rsidR="0084416A" w:rsidRPr="00820B09" w:rsidRDefault="0084416A" w:rsidP="0084416A">
                            <w:pPr>
                              <w:pStyle w:val="paragraph"/>
                              <w:spacing w:before="0" w:beforeAutospacing="0" w:after="0" w:afterAutospacing="0"/>
                              <w:jc w:val="both"/>
                              <w:textAlignment w:val="baseline"/>
                              <w:rPr>
                                <w:rFonts w:asciiTheme="majorHAnsi" w:hAnsiTheme="majorHAnsi"/>
                                <w:b/>
                                <w:bCs/>
                                <w:sz w:val="20"/>
                                <w:szCs w:val="20"/>
                              </w:rPr>
                            </w:pPr>
                          </w:p>
                          <w:p w14:paraId="441D480D" w14:textId="7E462EBD" w:rsidR="009E2DD8" w:rsidRPr="00820B09" w:rsidRDefault="0084416A" w:rsidP="0084416A">
                            <w:pPr>
                              <w:jc w:val="both"/>
                              <w:rPr>
                                <w:rFonts w:asciiTheme="majorHAnsi" w:hAnsiTheme="majorHAnsi"/>
                                <w:sz w:val="20"/>
                                <w:szCs w:val="15"/>
                                <w:lang w:eastAsia="fr-FR"/>
                              </w:rPr>
                            </w:pPr>
                            <w:hyperlink r:id="rId82" w:history="1">
                              <w:r w:rsidRPr="00820B09">
                                <w:rPr>
                                  <w:rStyle w:val="Hyperlink"/>
                                  <w:rFonts w:asciiTheme="majorHAnsi" w:hAnsiTheme="majorHAnsi"/>
                                  <w:sz w:val="20"/>
                                  <w:szCs w:val="15"/>
                                  <w:lang w:eastAsia="fr-FR"/>
                                </w:rPr>
                                <w:t xml:space="preserve">The </w:t>
                              </w:r>
                              <w:r w:rsidR="009E2DD8" w:rsidRPr="00820B09">
                                <w:rPr>
                                  <w:rStyle w:val="Hyperlink"/>
                                  <w:rFonts w:asciiTheme="majorHAnsi" w:hAnsiTheme="majorHAnsi"/>
                                  <w:sz w:val="20"/>
                                  <w:szCs w:val="15"/>
                                  <w:lang w:eastAsia="fr-FR"/>
                                </w:rPr>
                                <w:t>UN Convention on the Rights of Persons with Disabilities (</w:t>
                              </w:r>
                              <w:r w:rsidRPr="00820B09">
                                <w:rPr>
                                  <w:rStyle w:val="Hyperlink"/>
                                  <w:rFonts w:asciiTheme="majorHAnsi" w:hAnsiTheme="majorHAnsi"/>
                                  <w:sz w:val="20"/>
                                  <w:szCs w:val="15"/>
                                  <w:lang w:eastAsia="fr-FR"/>
                                </w:rPr>
                                <w:t>UNCRPD</w:t>
                              </w:r>
                              <w:r w:rsidR="009E2DD8" w:rsidRPr="00820B09">
                                <w:rPr>
                                  <w:rStyle w:val="Hyperlink"/>
                                  <w:rFonts w:asciiTheme="majorHAnsi" w:hAnsiTheme="majorHAnsi"/>
                                  <w:sz w:val="20"/>
                                  <w:szCs w:val="15"/>
                                  <w:lang w:eastAsia="fr-FR"/>
                                </w:rPr>
                                <w:t>)</w:t>
                              </w:r>
                            </w:hyperlink>
                            <w:r w:rsidRPr="00820B09">
                              <w:rPr>
                                <w:rFonts w:asciiTheme="majorHAnsi" w:hAnsiTheme="majorHAnsi"/>
                                <w:sz w:val="20"/>
                                <w:szCs w:val="15"/>
                                <w:lang w:eastAsia="fr-FR"/>
                              </w:rPr>
                              <w:t xml:space="preserve"> is the cornerstone of the international disability rights framework, and shapes how disability rights are interpreted, implemented, monitored, and enforced across different international, regional and national instruments. </w:t>
                            </w:r>
                          </w:p>
                          <w:p w14:paraId="23E76CF6" w14:textId="77777777" w:rsidR="009E2DD8" w:rsidRPr="00820B09" w:rsidRDefault="009E2DD8" w:rsidP="0084416A">
                            <w:pPr>
                              <w:jc w:val="both"/>
                              <w:rPr>
                                <w:rFonts w:asciiTheme="majorHAnsi" w:hAnsiTheme="majorHAnsi"/>
                                <w:sz w:val="20"/>
                                <w:szCs w:val="15"/>
                                <w:lang w:eastAsia="fr-FR"/>
                              </w:rPr>
                            </w:pPr>
                          </w:p>
                          <w:p w14:paraId="4773FD6F" w14:textId="7C19ACCF" w:rsidR="009E2DD8" w:rsidRPr="00820B09" w:rsidRDefault="009E2DD8" w:rsidP="0084416A">
                            <w:pPr>
                              <w:jc w:val="both"/>
                              <w:rPr>
                                <w:rFonts w:asciiTheme="majorHAnsi" w:hAnsiTheme="majorHAnsi"/>
                                <w:sz w:val="20"/>
                                <w:szCs w:val="15"/>
                                <w:lang w:eastAsia="fr-FR"/>
                              </w:rPr>
                            </w:pPr>
                            <w:r w:rsidRPr="00820B09">
                              <w:rPr>
                                <w:rFonts w:asciiTheme="majorHAnsi" w:hAnsiTheme="majorHAnsi"/>
                                <w:sz w:val="20"/>
                                <w:szCs w:val="15"/>
                                <w:lang w:eastAsia="fr-FR"/>
                              </w:rPr>
                              <w:t xml:space="preserve">It articulates the rights of persons with disabilities to fully participate in all spheres of life on an equal basis with others, without discrimination, and defines universal principles that underpin disability inclusion, including accessibility, Universal Design, and reasonable accommodation. It recognizes persons with disabilities as rights-holders with legal capacity, and the right to make decisions about their own lives, including controlling their own financial affairs. </w:t>
                            </w:r>
                          </w:p>
                          <w:p w14:paraId="73F1DA38" w14:textId="77777777" w:rsidR="009E2DD8" w:rsidRPr="00820B09" w:rsidRDefault="009E2DD8" w:rsidP="0084416A">
                            <w:pPr>
                              <w:jc w:val="both"/>
                              <w:rPr>
                                <w:rFonts w:asciiTheme="majorHAnsi" w:hAnsiTheme="majorHAnsi"/>
                                <w:sz w:val="20"/>
                                <w:szCs w:val="15"/>
                                <w:lang w:eastAsia="fr-FR"/>
                              </w:rPr>
                            </w:pPr>
                          </w:p>
                          <w:p w14:paraId="72CDFFF1" w14:textId="1EA6C832" w:rsidR="009E2DD8" w:rsidRPr="00820B09" w:rsidRDefault="009E2DD8" w:rsidP="0084416A">
                            <w:pPr>
                              <w:jc w:val="both"/>
                              <w:rPr>
                                <w:rFonts w:asciiTheme="majorHAnsi" w:hAnsiTheme="majorHAnsi"/>
                                <w:sz w:val="20"/>
                                <w:szCs w:val="15"/>
                                <w:lang w:eastAsia="fr-FR"/>
                              </w:rPr>
                            </w:pPr>
                            <w:r w:rsidRPr="00820B09">
                              <w:rPr>
                                <w:rFonts w:asciiTheme="majorHAnsi" w:hAnsiTheme="majorHAnsi"/>
                                <w:sz w:val="20"/>
                                <w:szCs w:val="15"/>
                                <w:lang w:eastAsia="fr-FR"/>
                              </w:rPr>
                              <w:t xml:space="preserve">The UNCRPD </w:t>
                            </w:r>
                            <w:r w:rsidR="005610AF" w:rsidRPr="00820B09">
                              <w:rPr>
                                <w:rFonts w:asciiTheme="majorHAnsi" w:hAnsiTheme="majorHAnsi"/>
                                <w:sz w:val="20"/>
                                <w:szCs w:val="15"/>
                                <w:lang w:eastAsia="fr-FR"/>
                              </w:rPr>
                              <w:t>advances</w:t>
                            </w:r>
                            <w:r w:rsidRPr="00820B09">
                              <w:rPr>
                                <w:rFonts w:asciiTheme="majorHAnsi" w:hAnsiTheme="majorHAnsi"/>
                                <w:sz w:val="20"/>
                                <w:szCs w:val="15"/>
                                <w:lang w:eastAsia="fr-FR"/>
                              </w:rPr>
                              <w:t xml:space="preserve"> a social and rights-based model of disability, defining disability as arising from the interaction between individuals’ impairments, and socially created barriers, and recognizes responsibilities of both public and private sector actors to identify and remove social and environmental barriers to enable persons with disabilities to access their rights. </w:t>
                            </w:r>
                          </w:p>
                          <w:p w14:paraId="069C3C1F" w14:textId="77777777" w:rsidR="0084416A" w:rsidRPr="00820B09" w:rsidRDefault="0084416A" w:rsidP="0084416A">
                            <w:pPr>
                              <w:jc w:val="both"/>
                              <w:rPr>
                                <w:rFonts w:asciiTheme="majorHAnsi" w:hAnsiTheme="majorHAnsi"/>
                                <w:sz w:val="20"/>
                                <w:szCs w:val="15"/>
                                <w:lang w:eastAsia="fr-FR"/>
                              </w:rPr>
                            </w:pPr>
                          </w:p>
                          <w:p w14:paraId="62645AE0" w14:textId="53C3743B" w:rsidR="00B53772" w:rsidRPr="00820B09" w:rsidRDefault="0084416A" w:rsidP="00B53772">
                            <w:pPr>
                              <w:jc w:val="both"/>
                              <w:rPr>
                                <w:rFonts w:asciiTheme="majorHAnsi" w:hAnsiTheme="majorHAnsi"/>
                                <w:sz w:val="20"/>
                                <w:szCs w:val="15"/>
                                <w:lang w:eastAsia="fr-FR"/>
                              </w:rPr>
                            </w:pPr>
                            <w:r w:rsidRPr="00820B09">
                              <w:rPr>
                                <w:rFonts w:asciiTheme="majorHAnsi" w:hAnsiTheme="majorHAnsi"/>
                                <w:sz w:val="20"/>
                                <w:szCs w:val="15"/>
                                <w:lang w:eastAsia="fr-FR"/>
                              </w:rPr>
                              <w:t>193 countries have ratified or acceded to the UNCRPD since its adoption in 2006, obligating them to adopt and enforce laws and policies to protect, promote and fulfil the rights of persons with disabilities.</w:t>
                            </w:r>
                            <w:r w:rsidR="009E2DD8" w:rsidRPr="00820B09">
                              <w:rPr>
                                <w:rFonts w:asciiTheme="majorHAnsi" w:hAnsiTheme="majorHAnsi"/>
                                <w:sz w:val="20"/>
                                <w:szCs w:val="15"/>
                                <w:lang w:eastAsia="fr-FR"/>
                              </w:rPr>
                              <w:t xml:space="preserve"> Most countries have implemented disability-related civil rights and anti-discrimination laws, reflecting a shift from welfare-based approaches toward equality through social and rights-based frameworks, aligned to the UNCRPD. </w:t>
                            </w:r>
                            <w:r w:rsidR="00B53772" w:rsidRPr="00820B09">
                              <w:rPr>
                                <w:rFonts w:asciiTheme="majorHAnsi" w:hAnsiTheme="majorHAnsi"/>
                                <w:sz w:val="20"/>
                                <w:szCs w:val="15"/>
                                <w:lang w:eastAsia="fr-FR"/>
                              </w:rPr>
                              <w:t>In many cases, national laws on non-discrimination and equal access to employment, including provision of reasonable accommodation in the workplace, apply to both public and private sector organizations. In many cases, laws on accessibility of buildings, and increasingly laws on digital accessibility, apply to all organizations providing facilities and services to the public, including both public and private sector entities.</w:t>
                            </w:r>
                            <w:r w:rsidR="00B53772" w:rsidRPr="00820B09" w:rsidDel="00A6505E">
                              <w:rPr>
                                <w:rFonts w:asciiTheme="majorHAnsi" w:hAnsiTheme="majorHAnsi"/>
                                <w:sz w:val="20"/>
                                <w:szCs w:val="15"/>
                                <w:lang w:eastAsia="fr-FR"/>
                              </w:rPr>
                              <w:t xml:space="preserve"> </w:t>
                            </w:r>
                          </w:p>
                          <w:p w14:paraId="3C155BB3" w14:textId="77777777" w:rsidR="00B53772" w:rsidRPr="00820B09" w:rsidRDefault="00B53772" w:rsidP="00B53772">
                            <w:pPr>
                              <w:jc w:val="both"/>
                              <w:rPr>
                                <w:rFonts w:asciiTheme="majorHAnsi" w:hAnsiTheme="majorHAnsi"/>
                                <w:sz w:val="20"/>
                                <w:szCs w:val="15"/>
                                <w:lang w:eastAsia="fr-FR"/>
                              </w:rPr>
                            </w:pPr>
                          </w:p>
                          <w:p w14:paraId="16B433D6" w14:textId="66033ADD" w:rsidR="00B53772" w:rsidRPr="00820B09" w:rsidRDefault="00B53772" w:rsidP="00B53772">
                            <w:pPr>
                              <w:jc w:val="both"/>
                              <w:rPr>
                                <w:rFonts w:asciiTheme="majorHAnsi" w:hAnsiTheme="majorHAnsi"/>
                                <w:sz w:val="20"/>
                                <w:szCs w:val="15"/>
                                <w:lang w:eastAsia="fr-FR"/>
                              </w:rPr>
                            </w:pPr>
                            <w:r w:rsidRPr="00820B09">
                              <w:rPr>
                                <w:rFonts w:asciiTheme="majorHAnsi" w:hAnsiTheme="majorHAnsi"/>
                                <w:sz w:val="20"/>
                                <w:szCs w:val="15"/>
                                <w:lang w:eastAsia="fr-FR"/>
                              </w:rPr>
                              <w:t>In addition, an number of central banks and regulators have implemented regulatory frameworks requiring FSPs to implement specific measures that facilitate persons with disabilities’ access to their products and services</w:t>
                            </w:r>
                            <w:r w:rsidR="005229E5" w:rsidRPr="00820B09">
                              <w:rPr>
                                <w:rFonts w:asciiTheme="majorHAnsi" w:hAnsiTheme="majorHAnsi"/>
                                <w:sz w:val="20"/>
                                <w:szCs w:val="15"/>
                                <w:lang w:eastAsia="fr-FR"/>
                              </w:rPr>
                              <w:t xml:space="preserve"> (see resource list for this indicator for examples)</w:t>
                            </w:r>
                            <w:r w:rsidRPr="00820B09">
                              <w:rPr>
                                <w:rFonts w:asciiTheme="majorHAnsi" w:hAnsiTheme="majorHAnsi"/>
                                <w:sz w:val="20"/>
                                <w:szCs w:val="15"/>
                                <w:lang w:eastAsia="fr-FR"/>
                              </w:rPr>
                              <w:t xml:space="preserve">. </w:t>
                            </w:r>
                          </w:p>
                          <w:p w14:paraId="54B62AD1" w14:textId="77777777" w:rsidR="00B53772" w:rsidRPr="00820B09" w:rsidRDefault="00B53772" w:rsidP="00B53772">
                            <w:pPr>
                              <w:jc w:val="both"/>
                              <w:rPr>
                                <w:rFonts w:asciiTheme="majorHAnsi" w:hAnsiTheme="majorHAnsi"/>
                                <w:sz w:val="20"/>
                                <w:szCs w:val="15"/>
                                <w:lang w:eastAsia="fr-FR"/>
                              </w:rPr>
                            </w:pPr>
                          </w:p>
                          <w:p w14:paraId="745167B8" w14:textId="513D36D8" w:rsidR="00B53772" w:rsidRPr="00820B09" w:rsidRDefault="00B53772" w:rsidP="00B53772">
                            <w:pPr>
                              <w:jc w:val="both"/>
                              <w:rPr>
                                <w:rFonts w:asciiTheme="majorHAnsi" w:hAnsiTheme="majorHAnsi"/>
                                <w:sz w:val="20"/>
                                <w:szCs w:val="15"/>
                                <w:lang w:eastAsia="fr-FR"/>
                              </w:rPr>
                            </w:pPr>
                            <w:r w:rsidRPr="00820B09">
                              <w:rPr>
                                <w:rFonts w:asciiTheme="majorHAnsi" w:hAnsiTheme="majorHAnsi"/>
                                <w:sz w:val="20"/>
                                <w:szCs w:val="15"/>
                                <w:lang w:eastAsia="fr-FR"/>
                              </w:rPr>
                              <w:t xml:space="preserve">The BFFI Disability Inclusion Guide for FSPs includes further information on the core principles and concepts of disability and disability inclusion, the UNCRPD and regional and national legal and regulatory frameworks. </w:t>
                            </w:r>
                          </w:p>
                          <w:p w14:paraId="688834C0" w14:textId="33482F3A" w:rsidR="00CA6457" w:rsidRPr="00820B09" w:rsidRDefault="00CA6457" w:rsidP="00A02AC4">
                            <w:pPr>
                              <w:jc w:val="both"/>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F83A560" id="_x0000_s1036" type="#_x0000_t202" style="position:absolute;left:0;text-align:left;margin-left:5.5pt;margin-top:6.35pt;width:2in;height:2in;z-index:2517821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" filled="f" strokeweight=".5pt">
                <v:textbox style="mso-fit-shape-to-text:t">
                  <w:txbxContent>
                    <w:p w14:paraId="720FB39B" w14:textId="34D855C9" w:rsidR="0084416A" w:rsidRPr="00820B09" w:rsidRDefault="0084416A" w:rsidP="0084416A">
                      <w:pPr>
                        <w:pStyle w:val="paragraph"/>
                        <w:spacing w:before="0" w:beforeAutospacing="0" w:after="0" w:afterAutospacing="0"/>
                        <w:jc w:val="both"/>
                        <w:textAlignment w:val="baseline"/>
                        <w:rPr>
                          <w:rFonts w:asciiTheme="majorHAnsi" w:hAnsiTheme="majorHAnsi"/>
                          <w:b/>
                          <w:bCs/>
                          <w:sz w:val="20"/>
                          <w:szCs w:val="20"/>
                        </w:rPr>
                      </w:pPr>
                      <w:r w:rsidRPr="00820B09">
                        <w:rPr>
                          <w:rFonts w:asciiTheme="majorHAnsi" w:hAnsiTheme="majorHAnsi"/>
                          <w:b/>
                          <w:bCs/>
                          <w:sz w:val="20"/>
                          <w:szCs w:val="20"/>
                        </w:rPr>
                        <w:t>Disability Inclusion – Info Box 2.A.2.1</w:t>
                      </w:r>
                    </w:p>
                    <w:p w14:paraId="5F6A3EA9" w14:textId="77777777" w:rsidR="0084416A" w:rsidRPr="00820B09" w:rsidRDefault="0084416A" w:rsidP="0084416A">
                      <w:pPr>
                        <w:pStyle w:val="paragraph"/>
                        <w:spacing w:before="0" w:beforeAutospacing="0" w:after="0" w:afterAutospacing="0"/>
                        <w:jc w:val="both"/>
                        <w:textAlignment w:val="baseline"/>
                        <w:rPr>
                          <w:rFonts w:asciiTheme="majorHAnsi" w:hAnsiTheme="majorHAnsi"/>
                          <w:b/>
                          <w:bCs/>
                          <w:sz w:val="20"/>
                          <w:szCs w:val="20"/>
                        </w:rPr>
                      </w:pPr>
                    </w:p>
                    <w:p w14:paraId="441D480D" w14:textId="7E462EBD" w:rsidR="009E2DD8" w:rsidRPr="00820B09" w:rsidRDefault="0084416A" w:rsidP="0084416A">
                      <w:pPr>
                        <w:jc w:val="both"/>
                        <w:rPr>
                          <w:rFonts w:asciiTheme="majorHAnsi" w:hAnsiTheme="majorHAnsi"/>
                          <w:sz w:val="20"/>
                          <w:szCs w:val="15"/>
                          <w:lang w:eastAsia="fr-FR"/>
                        </w:rPr>
                      </w:pPr>
                      <w:hyperlink r:id="rId83" w:history="1">
                        <w:r w:rsidRPr="00820B09">
                          <w:rPr>
                            <w:rStyle w:val="Hyperlink"/>
                            <w:rFonts w:asciiTheme="majorHAnsi" w:hAnsiTheme="majorHAnsi"/>
                            <w:sz w:val="20"/>
                            <w:szCs w:val="15"/>
                            <w:lang w:eastAsia="fr-FR"/>
                          </w:rPr>
                          <w:t xml:space="preserve">The </w:t>
                        </w:r>
                        <w:r w:rsidR="009E2DD8" w:rsidRPr="00820B09">
                          <w:rPr>
                            <w:rStyle w:val="Hyperlink"/>
                            <w:rFonts w:asciiTheme="majorHAnsi" w:hAnsiTheme="majorHAnsi"/>
                            <w:sz w:val="20"/>
                            <w:szCs w:val="15"/>
                            <w:lang w:eastAsia="fr-FR"/>
                          </w:rPr>
                          <w:t>UN Convention on the Rights of Persons with Disabilities (</w:t>
                        </w:r>
                        <w:r w:rsidRPr="00820B09">
                          <w:rPr>
                            <w:rStyle w:val="Hyperlink"/>
                            <w:rFonts w:asciiTheme="majorHAnsi" w:hAnsiTheme="majorHAnsi"/>
                            <w:sz w:val="20"/>
                            <w:szCs w:val="15"/>
                            <w:lang w:eastAsia="fr-FR"/>
                          </w:rPr>
                          <w:t>UNCRPD</w:t>
                        </w:r>
                        <w:r w:rsidR="009E2DD8" w:rsidRPr="00820B09">
                          <w:rPr>
                            <w:rStyle w:val="Hyperlink"/>
                            <w:rFonts w:asciiTheme="majorHAnsi" w:hAnsiTheme="majorHAnsi"/>
                            <w:sz w:val="20"/>
                            <w:szCs w:val="15"/>
                            <w:lang w:eastAsia="fr-FR"/>
                          </w:rPr>
                          <w:t>)</w:t>
                        </w:r>
                      </w:hyperlink>
                      <w:r w:rsidRPr="00820B09">
                        <w:rPr>
                          <w:rFonts w:asciiTheme="majorHAnsi" w:hAnsiTheme="majorHAnsi"/>
                          <w:sz w:val="20"/>
                          <w:szCs w:val="15"/>
                          <w:lang w:eastAsia="fr-FR"/>
                        </w:rPr>
                        <w:t xml:space="preserve"> is the cornerstone of the international disability rights framework, and shapes how disability rights are interpreted, implemented, monitored, and enforced across different international, regional and national instruments. </w:t>
                      </w:r>
                    </w:p>
                    <w:p w14:paraId="23E76CF6" w14:textId="77777777" w:rsidR="009E2DD8" w:rsidRPr="00820B09" w:rsidRDefault="009E2DD8" w:rsidP="0084416A">
                      <w:pPr>
                        <w:jc w:val="both"/>
                        <w:rPr>
                          <w:rFonts w:asciiTheme="majorHAnsi" w:hAnsiTheme="majorHAnsi"/>
                          <w:sz w:val="20"/>
                          <w:szCs w:val="15"/>
                          <w:lang w:eastAsia="fr-FR"/>
                        </w:rPr>
                      </w:pPr>
                    </w:p>
                    <w:p w14:paraId="4773FD6F" w14:textId="7C19ACCF" w:rsidR="009E2DD8" w:rsidRPr="00820B09" w:rsidRDefault="009E2DD8" w:rsidP="0084416A">
                      <w:pPr>
                        <w:jc w:val="both"/>
                        <w:rPr>
                          <w:rFonts w:asciiTheme="majorHAnsi" w:hAnsiTheme="majorHAnsi"/>
                          <w:sz w:val="20"/>
                          <w:szCs w:val="15"/>
                          <w:lang w:eastAsia="fr-FR"/>
                        </w:rPr>
                      </w:pPr>
                      <w:r w:rsidRPr="00820B09">
                        <w:rPr>
                          <w:rFonts w:asciiTheme="majorHAnsi" w:hAnsiTheme="majorHAnsi"/>
                          <w:sz w:val="20"/>
                          <w:szCs w:val="15"/>
                          <w:lang w:eastAsia="fr-FR"/>
                        </w:rPr>
                        <w:t xml:space="preserve">It articulates the rights of persons with disabilities to fully participate in all spheres of life on an equal basis with others, without discrimination, and defines universal principles that underpin disability inclusion, including accessibility, Universal Design, and reasonable accommodation. It recognizes persons with disabilities as rights-holders with legal capacity, and the right to make decisions about their own lives, including controlling their own financial affairs. </w:t>
                      </w:r>
                    </w:p>
                    <w:p w14:paraId="73F1DA38" w14:textId="77777777" w:rsidR="009E2DD8" w:rsidRPr="00820B09" w:rsidRDefault="009E2DD8" w:rsidP="0084416A">
                      <w:pPr>
                        <w:jc w:val="both"/>
                        <w:rPr>
                          <w:rFonts w:asciiTheme="majorHAnsi" w:hAnsiTheme="majorHAnsi"/>
                          <w:sz w:val="20"/>
                          <w:szCs w:val="15"/>
                          <w:lang w:eastAsia="fr-FR"/>
                        </w:rPr>
                      </w:pPr>
                    </w:p>
                    <w:p w14:paraId="72CDFFF1" w14:textId="1EA6C832" w:rsidR="009E2DD8" w:rsidRPr="00820B09" w:rsidRDefault="009E2DD8" w:rsidP="0084416A">
                      <w:pPr>
                        <w:jc w:val="both"/>
                        <w:rPr>
                          <w:rFonts w:asciiTheme="majorHAnsi" w:hAnsiTheme="majorHAnsi"/>
                          <w:sz w:val="20"/>
                          <w:szCs w:val="15"/>
                          <w:lang w:eastAsia="fr-FR"/>
                        </w:rPr>
                      </w:pPr>
                      <w:r w:rsidRPr="00820B09">
                        <w:rPr>
                          <w:rFonts w:asciiTheme="majorHAnsi" w:hAnsiTheme="majorHAnsi"/>
                          <w:sz w:val="20"/>
                          <w:szCs w:val="15"/>
                          <w:lang w:eastAsia="fr-FR"/>
                        </w:rPr>
                        <w:t xml:space="preserve">The UNCRPD </w:t>
                      </w:r>
                      <w:r w:rsidR="005610AF" w:rsidRPr="00820B09">
                        <w:rPr>
                          <w:rFonts w:asciiTheme="majorHAnsi" w:hAnsiTheme="majorHAnsi"/>
                          <w:sz w:val="20"/>
                          <w:szCs w:val="15"/>
                          <w:lang w:eastAsia="fr-FR"/>
                        </w:rPr>
                        <w:t>advances</w:t>
                      </w:r>
                      <w:r w:rsidRPr="00820B09">
                        <w:rPr>
                          <w:rFonts w:asciiTheme="majorHAnsi" w:hAnsiTheme="majorHAnsi"/>
                          <w:sz w:val="20"/>
                          <w:szCs w:val="15"/>
                          <w:lang w:eastAsia="fr-FR"/>
                        </w:rPr>
                        <w:t xml:space="preserve"> a social and rights-based model of disability, defining disability as arising from the interaction between individuals’ impairments, and socially created barriers, and recognizes responsibilities of both public and private sector actors to identify and remove social and environmental barriers to enable persons with disabilities to access their rights. </w:t>
                      </w:r>
                    </w:p>
                    <w:p w14:paraId="069C3C1F" w14:textId="77777777" w:rsidR="0084416A" w:rsidRPr="00820B09" w:rsidRDefault="0084416A" w:rsidP="0084416A">
                      <w:pPr>
                        <w:jc w:val="both"/>
                        <w:rPr>
                          <w:rFonts w:asciiTheme="majorHAnsi" w:hAnsiTheme="majorHAnsi"/>
                          <w:sz w:val="20"/>
                          <w:szCs w:val="15"/>
                          <w:lang w:eastAsia="fr-FR"/>
                        </w:rPr>
                      </w:pPr>
                    </w:p>
                    <w:p w14:paraId="62645AE0" w14:textId="53C3743B" w:rsidR="00B53772" w:rsidRPr="00820B09" w:rsidRDefault="0084416A" w:rsidP="00B53772">
                      <w:pPr>
                        <w:jc w:val="both"/>
                        <w:rPr>
                          <w:rFonts w:asciiTheme="majorHAnsi" w:hAnsiTheme="majorHAnsi"/>
                          <w:sz w:val="20"/>
                          <w:szCs w:val="15"/>
                          <w:lang w:eastAsia="fr-FR"/>
                        </w:rPr>
                      </w:pPr>
                      <w:r w:rsidRPr="00820B09">
                        <w:rPr>
                          <w:rFonts w:asciiTheme="majorHAnsi" w:hAnsiTheme="majorHAnsi"/>
                          <w:sz w:val="20"/>
                          <w:szCs w:val="15"/>
                          <w:lang w:eastAsia="fr-FR"/>
                        </w:rPr>
                        <w:t>193 countries have ratified or acceded to the UNCRPD since its adoption in 2006, obligating them to adopt and enforce laws and policies to protect, promote and fulfil the rights of persons with disabilities.</w:t>
                      </w:r>
                      <w:r w:rsidR="009E2DD8" w:rsidRPr="00820B09">
                        <w:rPr>
                          <w:rFonts w:asciiTheme="majorHAnsi" w:hAnsiTheme="majorHAnsi"/>
                          <w:sz w:val="20"/>
                          <w:szCs w:val="15"/>
                          <w:lang w:eastAsia="fr-FR"/>
                        </w:rPr>
                        <w:t xml:space="preserve"> Most countries have implemented disability-related civil rights and anti-discrimination laws, reflecting a shift from welfare-based approaches toward equality through social and rights-based frameworks, aligned to the UNCRPD. </w:t>
                      </w:r>
                      <w:r w:rsidR="00B53772" w:rsidRPr="00820B09">
                        <w:rPr>
                          <w:rFonts w:asciiTheme="majorHAnsi" w:hAnsiTheme="majorHAnsi"/>
                          <w:sz w:val="20"/>
                          <w:szCs w:val="15"/>
                          <w:lang w:eastAsia="fr-FR"/>
                        </w:rPr>
                        <w:t>In many cases, national laws on non-discrimination and equal access to employment, including provision of reasonable accommodation in the workplace, apply to both public and private sector organizations. In many cases, laws on accessibility of buildings, and increasingly laws on digital accessibility, apply to all organizations providing facilities and services to the public, including both public and private sector entities.</w:t>
                      </w:r>
                      <w:r w:rsidR="00B53772" w:rsidRPr="00820B09" w:rsidDel="00A6505E">
                        <w:rPr>
                          <w:rFonts w:asciiTheme="majorHAnsi" w:hAnsiTheme="majorHAnsi"/>
                          <w:sz w:val="20"/>
                          <w:szCs w:val="15"/>
                          <w:lang w:eastAsia="fr-FR"/>
                        </w:rPr>
                        <w:t xml:space="preserve"> </w:t>
                      </w:r>
                    </w:p>
                    <w:p w14:paraId="3C155BB3" w14:textId="77777777" w:rsidR="00B53772" w:rsidRPr="00820B09" w:rsidRDefault="00B53772" w:rsidP="00B53772">
                      <w:pPr>
                        <w:jc w:val="both"/>
                        <w:rPr>
                          <w:rFonts w:asciiTheme="majorHAnsi" w:hAnsiTheme="majorHAnsi"/>
                          <w:sz w:val="20"/>
                          <w:szCs w:val="15"/>
                          <w:lang w:eastAsia="fr-FR"/>
                        </w:rPr>
                      </w:pPr>
                    </w:p>
                    <w:p w14:paraId="16B433D6" w14:textId="66033ADD" w:rsidR="00B53772" w:rsidRPr="00820B09" w:rsidRDefault="00B53772" w:rsidP="00B53772">
                      <w:pPr>
                        <w:jc w:val="both"/>
                        <w:rPr>
                          <w:rFonts w:asciiTheme="majorHAnsi" w:hAnsiTheme="majorHAnsi"/>
                          <w:sz w:val="20"/>
                          <w:szCs w:val="15"/>
                          <w:lang w:eastAsia="fr-FR"/>
                        </w:rPr>
                      </w:pPr>
                      <w:r w:rsidRPr="00820B09">
                        <w:rPr>
                          <w:rFonts w:asciiTheme="majorHAnsi" w:hAnsiTheme="majorHAnsi"/>
                          <w:sz w:val="20"/>
                          <w:szCs w:val="15"/>
                          <w:lang w:eastAsia="fr-FR"/>
                        </w:rPr>
                        <w:t>In addition, an number of central banks and regulators have implemented regulatory frameworks requiring FSPs to implement specific measures that facilitate persons with disabilities’ access to their products and services</w:t>
                      </w:r>
                      <w:r w:rsidR="005229E5" w:rsidRPr="00820B09">
                        <w:rPr>
                          <w:rFonts w:asciiTheme="majorHAnsi" w:hAnsiTheme="majorHAnsi"/>
                          <w:sz w:val="20"/>
                          <w:szCs w:val="15"/>
                          <w:lang w:eastAsia="fr-FR"/>
                        </w:rPr>
                        <w:t xml:space="preserve"> (see resource list for this indicator for examples)</w:t>
                      </w:r>
                      <w:r w:rsidRPr="00820B09">
                        <w:rPr>
                          <w:rFonts w:asciiTheme="majorHAnsi" w:hAnsiTheme="majorHAnsi"/>
                          <w:sz w:val="20"/>
                          <w:szCs w:val="15"/>
                          <w:lang w:eastAsia="fr-FR"/>
                        </w:rPr>
                        <w:t xml:space="preserve">. </w:t>
                      </w:r>
                    </w:p>
                    <w:p w14:paraId="54B62AD1" w14:textId="77777777" w:rsidR="00B53772" w:rsidRPr="00820B09" w:rsidRDefault="00B53772" w:rsidP="00B53772">
                      <w:pPr>
                        <w:jc w:val="both"/>
                        <w:rPr>
                          <w:rFonts w:asciiTheme="majorHAnsi" w:hAnsiTheme="majorHAnsi"/>
                          <w:sz w:val="20"/>
                          <w:szCs w:val="15"/>
                          <w:lang w:eastAsia="fr-FR"/>
                        </w:rPr>
                      </w:pPr>
                    </w:p>
                    <w:p w14:paraId="745167B8" w14:textId="513D36D8" w:rsidR="00B53772" w:rsidRPr="00820B09" w:rsidRDefault="00B53772" w:rsidP="00B53772">
                      <w:pPr>
                        <w:jc w:val="both"/>
                        <w:rPr>
                          <w:rFonts w:asciiTheme="majorHAnsi" w:hAnsiTheme="majorHAnsi"/>
                          <w:sz w:val="20"/>
                          <w:szCs w:val="15"/>
                          <w:lang w:eastAsia="fr-FR"/>
                        </w:rPr>
                      </w:pPr>
                      <w:r w:rsidRPr="00820B09">
                        <w:rPr>
                          <w:rFonts w:asciiTheme="majorHAnsi" w:hAnsiTheme="majorHAnsi"/>
                          <w:sz w:val="20"/>
                          <w:szCs w:val="15"/>
                          <w:lang w:eastAsia="fr-FR"/>
                        </w:rPr>
                        <w:t xml:space="preserve">The BFFI Disability Inclusion Guide for FSPs includes further information on the core principles and concepts of disability and disability inclusion, the UNCRPD and regional and national legal and regulatory frameworks. </w:t>
                      </w:r>
                    </w:p>
                    <w:p w14:paraId="688834C0" w14:textId="33482F3A" w:rsidR="00CA6457" w:rsidRPr="00820B09" w:rsidRDefault="00CA6457" w:rsidP="00A02AC4">
                      <w:pPr>
                        <w:jc w:val="both"/>
                      </w:pPr>
                    </w:p>
                  </w:txbxContent>
                </v:textbox>
                <w10:wrap type="square"/>
              </v:shape>
            </w:pict>
          </mc:Fallback>
        </mc:AlternateContent>
      </w:r>
    </w:p>
    <w:p w14:paraId="75844FC1" w14:textId="723F79DA" w:rsidR="00B24EFC" w:rsidRPr="00A608EE" w:rsidRDefault="005160B6"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w:t>
      </w:r>
      <w:r w:rsidR="00B24EFC" w:rsidRPr="00A608EE">
        <w:rPr>
          <w:rFonts w:asciiTheme="majorHAnsi" w:hAnsiTheme="majorHAnsi"/>
          <w:b/>
          <w:bCs/>
          <w:sz w:val="20"/>
          <w:szCs w:val="20"/>
        </w:rPr>
        <w:t>coring guidance</w:t>
      </w:r>
    </w:p>
    <w:p w14:paraId="6FF48C48" w14:textId="77777777" w:rsidR="00B24EFC" w:rsidRPr="00A608EE" w:rsidRDefault="00B24EFC" w:rsidP="00A27AAA">
      <w:pPr>
        <w:pStyle w:val="paragraph"/>
        <w:numPr>
          <w:ilvl w:val="0"/>
          <w:numId w:val="11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‘yes’, if SEPM training material are made available to board members and SEPM training sessions are regularly offered to new board members (in line with board rotation among existing shareholders or board representatives of new shareholders) and if both training material and sessions cover at least the social goals, the role of the board in SEPM and an introduction to the Universal Standards.</w:t>
      </w:r>
    </w:p>
    <w:p w14:paraId="13B69906" w14:textId="77777777" w:rsidR="00B24EFC" w:rsidRPr="00A608EE" w:rsidRDefault="00B24EFC" w:rsidP="00A27AAA">
      <w:pPr>
        <w:pStyle w:val="paragraph"/>
        <w:numPr>
          <w:ilvl w:val="0"/>
          <w:numId w:val="11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‘partially’, if SEPM orientation is only anecdotical, not systematically done for new members, informal or covers some topics but not others.</w:t>
      </w:r>
    </w:p>
    <w:p w14:paraId="5F194030" w14:textId="77777777" w:rsidR="00B24EFC" w:rsidRPr="00A608EE" w:rsidRDefault="00B24EFC" w:rsidP="00A27AAA">
      <w:pPr>
        <w:pStyle w:val="paragraph"/>
        <w:numPr>
          <w:ilvl w:val="0"/>
          <w:numId w:val="11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‘no’, if board members are only vaguely aware of the social goals and its role in SEPM and new board members receive no briefing at all.</w:t>
      </w:r>
    </w:p>
    <w:p w14:paraId="16368394" w14:textId="77777777" w:rsidR="00B24EFC" w:rsidRPr="00A608EE" w:rsidRDefault="00B24EFC" w:rsidP="00EE208A">
      <w:pPr>
        <w:pStyle w:val="paragraph"/>
        <w:spacing w:before="0" w:beforeAutospacing="0" w:after="0" w:afterAutospacing="0"/>
        <w:jc w:val="both"/>
        <w:textAlignment w:val="baseline"/>
        <w:rPr>
          <w:rFonts w:asciiTheme="majorHAnsi" w:hAnsiTheme="majorHAnsi"/>
          <w:sz w:val="20"/>
          <w:szCs w:val="20"/>
        </w:rPr>
      </w:pPr>
    </w:p>
    <w:p w14:paraId="66C05670" w14:textId="17759DE1" w:rsidR="00B24EFC" w:rsidRPr="00A608EE" w:rsidRDefault="00B24EFC"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Sources of information</w:t>
      </w:r>
    </w:p>
    <w:p w14:paraId="7BC10131" w14:textId="77777777" w:rsidR="00B24EFC" w:rsidRPr="00A608EE" w:rsidRDefault="00B24EFC" w:rsidP="00A27AAA">
      <w:pPr>
        <w:pStyle w:val="paragraph"/>
        <w:numPr>
          <w:ilvl w:val="0"/>
          <w:numId w:val="118"/>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Board minutes</w:t>
      </w:r>
    </w:p>
    <w:p w14:paraId="3657B454" w14:textId="77777777" w:rsidR="00B24EFC" w:rsidRPr="00A608EE" w:rsidRDefault="00B24EFC" w:rsidP="00A27AAA">
      <w:pPr>
        <w:pStyle w:val="paragraph"/>
        <w:numPr>
          <w:ilvl w:val="0"/>
          <w:numId w:val="118"/>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Presentation used to train the board</w:t>
      </w:r>
    </w:p>
    <w:p w14:paraId="5DADDA59" w14:textId="77777777" w:rsidR="00B24EFC" w:rsidRPr="00A608EE" w:rsidRDefault="00B24EFC" w:rsidP="00A27AAA">
      <w:pPr>
        <w:pStyle w:val="paragraph"/>
        <w:numPr>
          <w:ilvl w:val="0"/>
          <w:numId w:val="118"/>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Interviews with board members</w:t>
      </w:r>
    </w:p>
    <w:p w14:paraId="719E6E62" w14:textId="77777777" w:rsidR="00B24EFC" w:rsidRPr="00A608EE" w:rsidRDefault="00B24EFC" w:rsidP="00A27AAA">
      <w:pPr>
        <w:pStyle w:val="paragraph"/>
        <w:numPr>
          <w:ilvl w:val="0"/>
          <w:numId w:val="118"/>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Interviews with CEO/managing director</w:t>
      </w:r>
    </w:p>
    <w:p w14:paraId="10CE32A6" w14:textId="77777777" w:rsidR="00B24EFC" w:rsidRPr="00A608EE" w:rsidRDefault="00B24EFC" w:rsidP="00EE208A">
      <w:pPr>
        <w:pStyle w:val="paragraph"/>
        <w:spacing w:before="0" w:beforeAutospacing="0" w:after="0" w:afterAutospacing="0"/>
        <w:jc w:val="both"/>
        <w:textAlignment w:val="baseline"/>
        <w:rPr>
          <w:rFonts w:asciiTheme="majorHAnsi" w:hAnsiTheme="majorHAnsi"/>
          <w:sz w:val="20"/>
          <w:szCs w:val="20"/>
        </w:rPr>
      </w:pPr>
    </w:p>
    <w:p w14:paraId="65FD8E93" w14:textId="44627924" w:rsidR="00B24EFC" w:rsidRPr="00A608EE" w:rsidRDefault="00B24EFC"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Evidence to provide</w:t>
      </w:r>
    </w:p>
    <w:p w14:paraId="4B5389AC" w14:textId="77777777" w:rsidR="00B24EFC" w:rsidRPr="00A608EE" w:rsidRDefault="00B24EFC"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Give the date of the board minutes where information is found, or reference to examples cited during interviews with board members or CEO. Note the frequency of such training (e.g., annual or sporadic). Board turnover rates are often high and therefore annual refreshers on SEPM may be warranted in these cases.</w:t>
      </w:r>
    </w:p>
    <w:p w14:paraId="44B7C73F" w14:textId="77777777" w:rsidR="00B24EFC" w:rsidRPr="00A608EE" w:rsidRDefault="00B24EFC" w:rsidP="00EE208A">
      <w:pPr>
        <w:pStyle w:val="paragraph"/>
        <w:spacing w:before="0" w:beforeAutospacing="0" w:after="0" w:afterAutospacing="0"/>
        <w:jc w:val="both"/>
        <w:textAlignment w:val="baseline"/>
        <w:rPr>
          <w:rFonts w:asciiTheme="majorHAnsi" w:hAnsiTheme="majorHAnsi"/>
          <w:sz w:val="20"/>
          <w:szCs w:val="20"/>
        </w:rPr>
      </w:pPr>
    </w:p>
    <w:p w14:paraId="5ED57761" w14:textId="5179B23E" w:rsidR="00B24EFC" w:rsidRPr="00A608EE" w:rsidRDefault="00B24EFC"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Resources for indicator 2.A.2.1</w:t>
      </w:r>
    </w:p>
    <w:p w14:paraId="3E51B3A8" w14:textId="77777777" w:rsidR="00B24EFC" w:rsidRPr="00A608EE" w:rsidRDefault="00B24EFC" w:rsidP="00A27AAA">
      <w:pPr>
        <w:pStyle w:val="paragraph"/>
        <w:numPr>
          <w:ilvl w:val="0"/>
          <w:numId w:val="119"/>
        </w:numPr>
        <w:spacing w:before="0" w:beforeAutospacing="0" w:after="0" w:afterAutospacing="0"/>
        <w:jc w:val="both"/>
        <w:textAlignment w:val="baseline"/>
        <w:rPr>
          <w:rFonts w:asciiTheme="majorHAnsi" w:hAnsiTheme="majorHAnsi"/>
          <w:sz w:val="20"/>
          <w:szCs w:val="20"/>
        </w:rPr>
      </w:pPr>
      <w:hyperlink r:id="rId84" w:history="1">
        <w:r w:rsidRPr="00A608EE">
          <w:rPr>
            <w:rStyle w:val="Hyperlink"/>
            <w:rFonts w:asciiTheme="majorHAnsi" w:hAnsiTheme="majorHAnsi"/>
            <w:sz w:val="20"/>
            <w:szCs w:val="20"/>
          </w:rPr>
          <w:t>NWTF Orients the Board on SPM</w:t>
        </w:r>
      </w:hyperlink>
    </w:p>
    <w:p w14:paraId="5F6611B1" w14:textId="77777777" w:rsidR="00B24EFC" w:rsidRPr="00A608EE" w:rsidRDefault="00B24EFC" w:rsidP="00A27AAA">
      <w:pPr>
        <w:pStyle w:val="paragraph"/>
        <w:numPr>
          <w:ilvl w:val="0"/>
          <w:numId w:val="119"/>
        </w:numPr>
        <w:spacing w:before="0" w:beforeAutospacing="0" w:after="0" w:afterAutospacing="0"/>
        <w:jc w:val="both"/>
        <w:textAlignment w:val="baseline"/>
        <w:rPr>
          <w:rFonts w:asciiTheme="majorHAnsi" w:hAnsiTheme="majorHAnsi"/>
          <w:sz w:val="20"/>
          <w:szCs w:val="20"/>
        </w:rPr>
      </w:pPr>
      <w:hyperlink r:id="rId85" w:history="1">
        <w:r w:rsidRPr="00A608EE">
          <w:rPr>
            <w:rStyle w:val="Hyperlink"/>
            <w:rFonts w:asciiTheme="majorHAnsi" w:hAnsiTheme="majorHAnsi"/>
            <w:sz w:val="20"/>
            <w:szCs w:val="20"/>
          </w:rPr>
          <w:t>Khushhali Bank Microfinance Ltd (Pakistan) provides board with SPM orientation and TOR</w:t>
        </w:r>
      </w:hyperlink>
    </w:p>
    <w:p w14:paraId="21F5219C" w14:textId="722BC1E9" w:rsidR="005229E5" w:rsidRPr="00A608EE" w:rsidRDefault="005229E5" w:rsidP="00A27AAA">
      <w:pPr>
        <w:pStyle w:val="paragraph"/>
        <w:numPr>
          <w:ilvl w:val="0"/>
          <w:numId w:val="119"/>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86" w:history="1">
        <w:r w:rsidRPr="00A608EE">
          <w:rPr>
            <w:rStyle w:val="Hyperlink"/>
            <w:rFonts w:asciiTheme="majorHAnsi" w:hAnsiTheme="majorHAnsi"/>
            <w:sz w:val="20"/>
            <w:szCs w:val="20"/>
          </w:rPr>
          <w:t>This special report on Financial Inclusion for Persons with Disabilities by Alliance for Financial Inclusion (AFI) gives examples of actions by central banks and regulators to advance disability-inclusive financial services</w:t>
        </w:r>
      </w:hyperlink>
      <w:r w:rsidRPr="00A608EE">
        <w:rPr>
          <w:rFonts w:asciiTheme="majorHAnsi" w:hAnsiTheme="majorHAnsi"/>
          <w:sz w:val="20"/>
          <w:szCs w:val="20"/>
        </w:rPr>
        <w:t xml:space="preserve"> </w:t>
      </w:r>
    </w:p>
    <w:p w14:paraId="3D0C748A" w14:textId="426B8D29" w:rsidR="00780B5D" w:rsidRPr="00A608EE" w:rsidRDefault="00780B5D" w:rsidP="00EE208A">
      <w:pPr>
        <w:pStyle w:val="paragraph"/>
        <w:spacing w:before="0" w:beforeAutospacing="0" w:after="0" w:afterAutospacing="0"/>
        <w:jc w:val="both"/>
        <w:textAlignment w:val="baseline"/>
        <w:rPr>
          <w:rStyle w:val="eop"/>
          <w:rFonts w:asciiTheme="majorHAnsi" w:hAnsiTheme="majorHAnsi"/>
          <w:sz w:val="20"/>
          <w:szCs w:val="20"/>
        </w:rPr>
      </w:pPr>
    </w:p>
    <w:p w14:paraId="33132D9F" w14:textId="77777777" w:rsidR="00D70B93" w:rsidRPr="00A608EE" w:rsidRDefault="00D70B93" w:rsidP="00EE208A">
      <w:pPr>
        <w:pStyle w:val="paragraph"/>
        <w:spacing w:before="0" w:beforeAutospacing="0" w:after="0" w:afterAutospacing="0"/>
        <w:jc w:val="both"/>
        <w:textAlignment w:val="baseline"/>
        <w:rPr>
          <w:rStyle w:val="eop"/>
          <w:rFonts w:asciiTheme="majorHAnsi" w:hAnsiTheme="majorHAnsi"/>
          <w:sz w:val="20"/>
          <w:szCs w:val="20"/>
        </w:rPr>
      </w:pPr>
    </w:p>
    <w:p w14:paraId="644EC1E7" w14:textId="37612333" w:rsidR="00780B5D" w:rsidRPr="00A608EE" w:rsidRDefault="00780B5D" w:rsidP="00EE208A">
      <w:pPr>
        <w:pStyle w:val="Heading3"/>
        <w:spacing w:before="0" w:line="240" w:lineRule="auto"/>
        <w:jc w:val="both"/>
      </w:pPr>
      <w:bookmarkStart w:id="36" w:name="_Toc230938780"/>
      <w:r w:rsidRPr="00A608EE">
        <w:rPr>
          <w:rStyle w:val="normaltextrun"/>
        </w:rPr>
        <w:t xml:space="preserve">2.A.3 </w:t>
      </w:r>
      <w:r w:rsidR="009770C9" w:rsidRPr="00A608EE">
        <w:rPr>
          <w:rStyle w:val="normaltextrun"/>
        </w:rPr>
        <w:t>The board makes strategic decisions based on social and financial data</w:t>
      </w:r>
      <w:r w:rsidR="00642E78" w:rsidRPr="00A608EE">
        <w:rPr>
          <w:rStyle w:val="normaltextrun"/>
        </w:rPr>
        <w:t>.</w:t>
      </w:r>
      <w:bookmarkEnd w:id="36"/>
    </w:p>
    <w:p w14:paraId="3C71A385" w14:textId="77777777" w:rsidR="00780B5D" w:rsidRPr="00A608EE" w:rsidRDefault="00780B5D" w:rsidP="00EE208A">
      <w:pPr>
        <w:pStyle w:val="paragraph"/>
        <w:spacing w:before="0" w:beforeAutospacing="0" w:after="0" w:afterAutospacing="0"/>
        <w:jc w:val="both"/>
        <w:textAlignment w:val="baseline"/>
        <w:rPr>
          <w:rFonts w:asciiTheme="majorHAnsi" w:hAnsiTheme="majorHAnsi" w:cs="Calibri"/>
          <w:sz w:val="20"/>
          <w:szCs w:val="20"/>
        </w:rPr>
      </w:pPr>
      <w:r w:rsidRPr="00A608EE">
        <w:rPr>
          <w:rStyle w:val="eop"/>
          <w:rFonts w:asciiTheme="majorHAnsi" w:eastAsiaTheme="majorEastAsia" w:hAnsiTheme="majorHAnsi" w:cs="Calibri Light"/>
          <w:sz w:val="20"/>
          <w:szCs w:val="20"/>
        </w:rPr>
        <w:t> </w:t>
      </w:r>
    </w:p>
    <w:p w14:paraId="1C6F04EF"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Many boards view their role as primarily financial, and as such, they focus on corporate oversight and fiduciary responsibilities. However, this attitude creates a gap between the provider’s purpose (benefiting clients) and the board’s management priorities. The board should adopt a balanced approach to social and financial performance management by reviewing each decision in light of how it will affect clients. To achieve this balance, the board must:</w:t>
      </w:r>
    </w:p>
    <w:p w14:paraId="6A1D0808" w14:textId="77777777" w:rsidR="009770C9" w:rsidRPr="00A608EE" w:rsidRDefault="009770C9" w:rsidP="00A27AAA">
      <w:pPr>
        <w:pStyle w:val="paragraph"/>
        <w:numPr>
          <w:ilvl w:val="0"/>
          <w:numId w:val="12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Have on-going access to social performance information;</w:t>
      </w:r>
    </w:p>
    <w:p w14:paraId="76CA187C" w14:textId="77777777" w:rsidR="009770C9" w:rsidRPr="00A608EE" w:rsidRDefault="009770C9" w:rsidP="00A27AAA">
      <w:pPr>
        <w:pStyle w:val="paragraph"/>
        <w:numPr>
          <w:ilvl w:val="0"/>
          <w:numId w:val="12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Use this information to make decisions; and</w:t>
      </w:r>
    </w:p>
    <w:p w14:paraId="421A375F" w14:textId="77777777" w:rsidR="009770C9" w:rsidRPr="00A608EE" w:rsidRDefault="009770C9" w:rsidP="00A27AAA">
      <w:pPr>
        <w:pStyle w:val="paragraph"/>
        <w:numPr>
          <w:ilvl w:val="0"/>
          <w:numId w:val="12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Understand how social and financial performance can reinforce one another.</w:t>
      </w:r>
    </w:p>
    <w:p w14:paraId="4EEA6961"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02CB07C4" w14:textId="6776AD7C"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Provide the board with regular social performance reports which contain data on the provider’s social goals. Ensure that these reports present information that is needed by the board to fulfil their SEPM responsibilities and they are presented in a meaningful way.</w:t>
      </w:r>
    </w:p>
    <w:p w14:paraId="41F58BEC"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Report contents</w:t>
      </w:r>
    </w:p>
    <w:p w14:paraId="61297A3B"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419DDAD8" w14:textId="105B4C34" w:rsidR="009770C9" w:rsidRPr="00A608EE" w:rsidRDefault="009770C9"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Report content </w:t>
      </w:r>
      <w:r w:rsidRPr="00A608EE">
        <w:rPr>
          <w:rFonts w:asciiTheme="majorHAnsi" w:hAnsiTheme="majorHAnsi"/>
          <w:sz w:val="20"/>
          <w:szCs w:val="20"/>
        </w:rPr>
        <w:t> </w:t>
      </w:r>
    </w:p>
    <w:p w14:paraId="0405AC8A" w14:textId="11D98755"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Report social data that is important to the board by following its preferred reporting structure. This will promote buy-in and facilitate improved decision-making. The three key content areas with the following minimum contents should be covered:</w:t>
      </w:r>
    </w:p>
    <w:p w14:paraId="193D61F7"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68B8DF68" w14:textId="0F4305AC"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1) </w:t>
      </w:r>
      <w:r w:rsidRPr="00A608EE">
        <w:rPr>
          <w:rFonts w:asciiTheme="majorHAnsi" w:hAnsiTheme="majorHAnsi"/>
          <w:sz w:val="20"/>
          <w:szCs w:val="20"/>
          <w:u w:val="single"/>
        </w:rPr>
        <w:t>Client Protection</w:t>
      </w:r>
    </w:p>
    <w:p w14:paraId="175F783E" w14:textId="77777777" w:rsidR="009770C9" w:rsidRPr="00A608EE" w:rsidRDefault="009770C9" w:rsidP="00A27AAA">
      <w:pPr>
        <w:pStyle w:val="paragraph"/>
        <w:numPr>
          <w:ilvl w:val="0"/>
          <w:numId w:val="12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Internal audit report on the staff compliance with the Client Protection policy and the Code of Conduct</w:t>
      </w:r>
    </w:p>
    <w:p w14:paraId="4494A5BC" w14:textId="77777777" w:rsidR="009770C9" w:rsidRPr="00A608EE" w:rsidRDefault="009770C9" w:rsidP="00A27AAA">
      <w:pPr>
        <w:pStyle w:val="paragraph"/>
        <w:numPr>
          <w:ilvl w:val="0"/>
          <w:numId w:val="12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most recent external client protection assessment</w:t>
      </w:r>
    </w:p>
    <w:p w14:paraId="15A6F484" w14:textId="77777777" w:rsidR="009770C9" w:rsidRPr="00A608EE" w:rsidRDefault="009770C9" w:rsidP="00A27AAA">
      <w:pPr>
        <w:pStyle w:val="paragraph"/>
        <w:numPr>
          <w:ilvl w:val="0"/>
          <w:numId w:val="12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Analysis of client dissatisfaction including: client retention/feedback data or satisfaction surveys/exit survey data</w:t>
      </w:r>
    </w:p>
    <w:p w14:paraId="40FF2FEA" w14:textId="77777777" w:rsidR="009770C9" w:rsidRPr="00A608EE" w:rsidRDefault="009770C9" w:rsidP="00A27AAA">
      <w:pPr>
        <w:pStyle w:val="paragraph"/>
        <w:numPr>
          <w:ilvl w:val="0"/>
          <w:numId w:val="12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Analysis of the risk of client over-indebtedness</w:t>
      </w:r>
    </w:p>
    <w:p w14:paraId="18DDF42F" w14:textId="77777777" w:rsidR="009770C9" w:rsidRPr="00A608EE" w:rsidRDefault="009770C9" w:rsidP="00A27AAA">
      <w:pPr>
        <w:pStyle w:val="paragraph"/>
        <w:numPr>
          <w:ilvl w:val="0"/>
          <w:numId w:val="12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Interest rates and whether they are responsible</w:t>
      </w:r>
    </w:p>
    <w:p w14:paraId="15ED7031" w14:textId="77777777" w:rsidR="009770C9" w:rsidRPr="00A608EE" w:rsidRDefault="009770C9" w:rsidP="00A27AAA">
      <w:pPr>
        <w:pStyle w:val="paragraph"/>
        <w:numPr>
          <w:ilvl w:val="0"/>
          <w:numId w:val="12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Reports on the state of systems and policies for data privacy and security, including any failures and breeches</w:t>
      </w:r>
    </w:p>
    <w:p w14:paraId="50F5B55B" w14:textId="77777777" w:rsidR="009770C9" w:rsidRPr="00A608EE" w:rsidRDefault="009770C9" w:rsidP="00A27AAA">
      <w:pPr>
        <w:pStyle w:val="paragraph"/>
        <w:numPr>
          <w:ilvl w:val="0"/>
          <w:numId w:val="121"/>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Reports on any fraud or corruption, including any extorsion or bribery</w:t>
      </w:r>
    </w:p>
    <w:p w14:paraId="7A38C27D" w14:textId="77777777" w:rsidR="00A27AAA" w:rsidRPr="00A608EE" w:rsidRDefault="00A27AAA" w:rsidP="00A27AAA">
      <w:pPr>
        <w:pStyle w:val="paragraph"/>
        <w:spacing w:before="0" w:beforeAutospacing="0" w:after="0" w:afterAutospacing="0"/>
        <w:jc w:val="both"/>
        <w:textAlignment w:val="baseline"/>
        <w:rPr>
          <w:rFonts w:asciiTheme="majorHAnsi" w:hAnsiTheme="majorHAnsi"/>
          <w:sz w:val="20"/>
          <w:szCs w:val="20"/>
        </w:rPr>
      </w:pPr>
    </w:p>
    <w:p w14:paraId="61470274"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7D3B4EAE" w14:textId="62E40956"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2) </w:t>
      </w:r>
      <w:r w:rsidRPr="00A608EE">
        <w:rPr>
          <w:rFonts w:asciiTheme="majorHAnsi" w:hAnsiTheme="majorHAnsi"/>
          <w:sz w:val="20"/>
          <w:szCs w:val="20"/>
          <w:u w:val="single"/>
        </w:rPr>
        <w:t>Social Strategy</w:t>
      </w:r>
    </w:p>
    <w:p w14:paraId="67465541" w14:textId="77777777" w:rsidR="009770C9" w:rsidRPr="00A608EE" w:rsidRDefault="009770C9" w:rsidP="00A27AAA">
      <w:pPr>
        <w:pStyle w:val="paragraph"/>
        <w:numPr>
          <w:ilvl w:val="0"/>
          <w:numId w:val="12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Outreach to target clients</w:t>
      </w:r>
    </w:p>
    <w:p w14:paraId="10419C1F" w14:textId="77777777" w:rsidR="009770C9" w:rsidRPr="00A608EE" w:rsidRDefault="009770C9" w:rsidP="00A27AAA">
      <w:pPr>
        <w:pStyle w:val="paragraph"/>
        <w:numPr>
          <w:ilvl w:val="0"/>
          <w:numId w:val="12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Social outcomes indicators that measure progress toward social targets</w:t>
      </w:r>
    </w:p>
    <w:p w14:paraId="400F0E41" w14:textId="77777777" w:rsidR="009770C9" w:rsidRPr="00A608EE" w:rsidRDefault="009770C9" w:rsidP="00A27AAA">
      <w:pPr>
        <w:pStyle w:val="paragraph"/>
        <w:numPr>
          <w:ilvl w:val="0"/>
          <w:numId w:val="12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most recent external social audit and/or social rating.</w:t>
      </w:r>
    </w:p>
    <w:p w14:paraId="1CA2A7E9" w14:textId="77777777" w:rsidR="009770C9" w:rsidRPr="00A608EE" w:rsidRDefault="009770C9" w:rsidP="00A27AAA">
      <w:pPr>
        <w:pStyle w:val="paragraph"/>
        <w:numPr>
          <w:ilvl w:val="0"/>
          <w:numId w:val="122"/>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lastRenderedPageBreak/>
        <w:t>Profit allocation and data/discussion on “responsible prices and profits” and the alignment of profit allocation with the social strategy</w:t>
      </w:r>
    </w:p>
    <w:p w14:paraId="4129C1D1"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27105662" w14:textId="7C3610A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3) </w:t>
      </w:r>
      <w:r w:rsidRPr="00A608EE">
        <w:rPr>
          <w:rFonts w:asciiTheme="majorHAnsi" w:hAnsiTheme="majorHAnsi"/>
          <w:sz w:val="20"/>
          <w:szCs w:val="20"/>
          <w:u w:val="single"/>
        </w:rPr>
        <w:t>Employee working conditions</w:t>
      </w:r>
    </w:p>
    <w:p w14:paraId="38CEC50B" w14:textId="77777777" w:rsidR="009770C9" w:rsidRPr="00A608EE" w:rsidRDefault="009770C9" w:rsidP="00A27AAA">
      <w:pPr>
        <w:pStyle w:val="paragraph"/>
        <w:numPr>
          <w:ilvl w:val="0"/>
          <w:numId w:val="12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Employee retention and satisfaction/effectiveness of HR policies disaggregated by gender, position, and location</w:t>
      </w:r>
    </w:p>
    <w:p w14:paraId="036D696F"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6F6A0FDC" w14:textId="79FD3F2C" w:rsidR="009770C9" w:rsidRPr="00A608EE" w:rsidRDefault="009770C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Report structure</w:t>
      </w:r>
    </w:p>
    <w:p w14:paraId="52EF5518"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Consider a dashboard report that includes thresholds that trigger decision points around key indicators. In the report, provide a mix of short-term indicators (e.g., client retention by month; progress toward client outreach goals by quarter) and long-term indicators (e.g., change in client poverty levels over two years; results of annual employee satisfaction survey). Together with the board, decide which short-term indicators are relevant to their decision-making timeline and are sensitive enough to provide early warnings.</w:t>
      </w:r>
    </w:p>
    <w:p w14:paraId="77474638"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42A06265" w14:textId="604FFA6E"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Think beyond quantitative information. Qualitative information adds richness to data by giving an insight into the reason behind trends (e.g., provide client exit rate numbers, bolstered by data such as narrative answers from focus groups with exiting clients). Segmented information is also a powerful tool for comparative analysis, allowing your board to understand performance variations between different groups/products/branches in relation to key issues (e.g., client exit or level of satisfaction segmented by gender, region, main products, or business type).</w:t>
      </w:r>
    </w:p>
    <w:p w14:paraId="1C626D38"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1DEB8D04"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If these indicators are new to the board, work with them to learn how to understand and interpret social performance data. Start with a simple report that provides concrete information like client satisfaction data, client and employee retention rates, % female/male clients. Discuss the report and allow the board to discover how the information is useful for decision-making. Use the same report format for several meetings in a row so that members become accustomed to reading the report. Then, discuss with board members how to improve the SPM report to make it more useful for the board.</w:t>
      </w:r>
    </w:p>
    <w:p w14:paraId="708DA180"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Report frequency</w:t>
      </w:r>
    </w:p>
    <w:p w14:paraId="5AF76ED6"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045DC0A4" w14:textId="3EB9FFE9" w:rsidR="009770C9" w:rsidRPr="00A608EE" w:rsidRDefault="009770C9" w:rsidP="00EE208A">
      <w:pPr>
        <w:pStyle w:val="paragraph"/>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Report frequency </w:t>
      </w:r>
      <w:r w:rsidRPr="00A608EE">
        <w:rPr>
          <w:rFonts w:asciiTheme="majorHAnsi" w:hAnsiTheme="majorHAnsi"/>
          <w:sz w:val="20"/>
          <w:szCs w:val="20"/>
        </w:rPr>
        <w:t> </w:t>
      </w:r>
    </w:p>
    <w:p w14:paraId="04799D8B"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Provide an SEPM board report at least annually, and as frequently as is necessary to ensure the board has relevant and timely information needed for decision-making. SEPM should be on the agenda at each board meeting, regardless of how often data are provided to the board. Best to provide the board for each meeting with an integrated report with social performance alongside financial performance. Additionally, at least annually the board should review the social strategy - particularly the social goals and products/services - and make any changes based on the changing client and institutional priorities, if necessary.</w:t>
      </w:r>
    </w:p>
    <w:p w14:paraId="489DA2A8"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Below are the minimum frequencies for each type of report:</w:t>
      </w:r>
    </w:p>
    <w:p w14:paraId="5421B124"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6275D39B" w14:textId="6163FE5A"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Annual</w:t>
      </w:r>
    </w:p>
    <w:p w14:paraId="5D43D393"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Internal audit report on the staff compliance with the Client Protection policy and the Code of Conduct</w:t>
      </w:r>
    </w:p>
    <w:p w14:paraId="0E188852"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Client risk of over-indebtedness</w:t>
      </w:r>
    </w:p>
    <w:p w14:paraId="5E326410"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Client dissatisfaction including dormancy, drop-out, exit surveys and complains</w:t>
      </w:r>
    </w:p>
    <w:p w14:paraId="4E35B572"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Interest rates</w:t>
      </w:r>
    </w:p>
    <w:p w14:paraId="7D7EA503"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Data privacy and security, including any breeches or failures</w:t>
      </w:r>
    </w:p>
    <w:p w14:paraId="7E8D52AE"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Fraud, corruption, extorsion, bribery</w:t>
      </w:r>
    </w:p>
    <w:p w14:paraId="0EA9E150"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Client outcomes</w:t>
      </w:r>
    </w:p>
    <w:p w14:paraId="26357688"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Profit allocation alignment with social strategy</w:t>
      </w:r>
    </w:p>
    <w:p w14:paraId="6C110948" w14:textId="77777777" w:rsidR="009770C9" w:rsidRPr="00A608EE" w:rsidRDefault="009770C9" w:rsidP="00A27AAA">
      <w:pPr>
        <w:pStyle w:val="paragraph"/>
        <w:numPr>
          <w:ilvl w:val="0"/>
          <w:numId w:val="12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Employee turnover rate by gender, position, and location</w:t>
      </w:r>
    </w:p>
    <w:p w14:paraId="21A45960"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649E131A" w14:textId="2B9581E1"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Every 2 years</w:t>
      </w:r>
    </w:p>
    <w:p w14:paraId="1F4FC7B4" w14:textId="77777777" w:rsidR="009770C9" w:rsidRPr="00A608EE" w:rsidRDefault="009770C9" w:rsidP="00A27AAA">
      <w:pPr>
        <w:pStyle w:val="paragraph"/>
        <w:numPr>
          <w:ilvl w:val="0"/>
          <w:numId w:val="12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Employee satisfaction surveys</w:t>
      </w:r>
    </w:p>
    <w:p w14:paraId="22279405"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52CE5C53" w14:textId="77777777" w:rsidR="009F7A90" w:rsidRPr="00A608EE" w:rsidRDefault="009F7A90" w:rsidP="00EE208A">
      <w:pPr>
        <w:pStyle w:val="paragraph"/>
        <w:spacing w:before="0" w:beforeAutospacing="0" w:after="0" w:afterAutospacing="0"/>
        <w:jc w:val="both"/>
        <w:textAlignment w:val="baseline"/>
        <w:rPr>
          <w:rFonts w:asciiTheme="majorHAnsi" w:hAnsiTheme="majorHAnsi"/>
          <w:sz w:val="20"/>
          <w:szCs w:val="20"/>
        </w:rPr>
      </w:pPr>
    </w:p>
    <w:p w14:paraId="52AD1683" w14:textId="39057A0A"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lastRenderedPageBreak/>
        <w:t>Every 3 years</w:t>
      </w:r>
    </w:p>
    <w:p w14:paraId="55457C6D" w14:textId="77777777" w:rsidR="009770C9" w:rsidRPr="00A608EE" w:rsidRDefault="009770C9" w:rsidP="00A27AAA">
      <w:pPr>
        <w:pStyle w:val="paragraph"/>
        <w:numPr>
          <w:ilvl w:val="0"/>
          <w:numId w:val="12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External social audit or social rating</w:t>
      </w:r>
    </w:p>
    <w:p w14:paraId="68C20C19"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65C33D75" w14:textId="63665B1B" w:rsidR="009770C9" w:rsidRPr="00A608EE" w:rsidRDefault="009770C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Highlight the risk management implications of SEPM</w:t>
      </w:r>
    </w:p>
    <w:p w14:paraId="0E19A5DF"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Many aspects of SEPM need to be integrated into your risk management strategy: a failure to deliver positive outcomes for clients will lead to client exit (if the products and services are not helpful, why would clients keep using them?); failure to protect clients will have similar negative impacts and will lead to reputational risks. Conversely, clients who use products and services that help their businesses thrive and improve their well-being are more likely to recommend the provider to their peers, remain clients in the long-term, and be able and willing to repay loans.</w:t>
      </w:r>
    </w:p>
    <w:p w14:paraId="61ADA8FC"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08FD12DD" w14:textId="77570D7F"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Ensure that board risk discussions include this client perspective. It may simply ask: “how does this decision affect clients?” before choosing a course of action. The board should decide on the best way to introduce this check. Each board agenda might include time dedicated to the “client check”. To make this practical for board use, segment client data according to characteristics that highlight clients who are most at risk. For example, segmenting exit clients by loan cycle may show that the majority of exit cases happen in the first and second cycles, which is highly costly for the provider, as the recruitment investment is not recovered. If you find this to be the case, providing additional data on those clients—such as demographic and business information as well as exit interview data can help the board make fully informed decisions about how to manage the risk of client exit.</w:t>
      </w:r>
    </w:p>
    <w:p w14:paraId="4288E675"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6FC95A42" w14:textId="5E38C275"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For example, Fundación Génesis Empresarial (Guatemala) created a unique “traffic light” system for tracking their SEPM implementation efforts. The traffic light uses the colors green, yellow, and red to indicate the following:</w:t>
      </w:r>
    </w:p>
    <w:p w14:paraId="1A989C1A" w14:textId="77777777" w:rsidR="009770C9" w:rsidRPr="00A608EE" w:rsidRDefault="009770C9" w:rsidP="00A27AAA">
      <w:pPr>
        <w:pStyle w:val="paragraph"/>
        <w:numPr>
          <w:ilvl w:val="0"/>
          <w:numId w:val="128"/>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Green: the institution currently implements all of the Essential Practices for the standard, and this implementation is well documented and verifiable;</w:t>
      </w:r>
    </w:p>
    <w:p w14:paraId="6BA94A50" w14:textId="77777777" w:rsidR="009770C9" w:rsidRPr="00A608EE" w:rsidRDefault="2975F0E7" w:rsidP="00A27AAA">
      <w:pPr>
        <w:pStyle w:val="paragraph"/>
        <w:numPr>
          <w:ilvl w:val="0"/>
          <w:numId w:val="128"/>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Yellow: the institution has already begun planning for or piloting the implementation of the standard (e.g., a strategy exists but has not been implemented);</w:t>
      </w:r>
    </w:p>
    <w:p w14:paraId="5894DA18" w14:textId="77777777" w:rsidR="009770C9" w:rsidRPr="00A608EE" w:rsidRDefault="009770C9" w:rsidP="00A27AAA">
      <w:pPr>
        <w:pStyle w:val="paragraph"/>
        <w:numPr>
          <w:ilvl w:val="0"/>
          <w:numId w:val="128"/>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Red: the institution has not yet considered how to implement the standard.</w:t>
      </w:r>
    </w:p>
    <w:p w14:paraId="70EDF51F" w14:textId="77777777" w:rsidR="009770C9" w:rsidRPr="00A608EE" w:rsidRDefault="009770C9" w:rsidP="00EE208A">
      <w:pPr>
        <w:pStyle w:val="paragraph"/>
        <w:spacing w:before="0" w:beforeAutospacing="0" w:after="0" w:afterAutospacing="0"/>
        <w:jc w:val="both"/>
        <w:textAlignment w:val="baseline"/>
        <w:rPr>
          <w:rFonts w:asciiTheme="majorHAnsi" w:hAnsiTheme="majorHAnsi"/>
          <w:sz w:val="20"/>
          <w:szCs w:val="20"/>
        </w:rPr>
      </w:pPr>
    </w:p>
    <w:p w14:paraId="336B4D04" w14:textId="33593ED9" w:rsidR="009770C9" w:rsidRPr="00A608EE" w:rsidRDefault="009770C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Resources:</w:t>
      </w:r>
    </w:p>
    <w:bookmarkStart w:id="37" w:name="_Hlk204871917"/>
    <w:p w14:paraId="617FAE72" w14:textId="77777777" w:rsidR="009770C9" w:rsidRPr="00A608EE" w:rsidRDefault="009770C9" w:rsidP="00A27AAA">
      <w:pPr>
        <w:pStyle w:val="paragraph"/>
        <w:numPr>
          <w:ilvl w:val="0"/>
          <w:numId w:val="127"/>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fldChar w:fldCharType="begin"/>
      </w:r>
      <w:r w:rsidRPr="00A608EE">
        <w:rPr>
          <w:rFonts w:asciiTheme="majorHAnsi" w:hAnsiTheme="majorHAnsi"/>
          <w:sz w:val="20"/>
          <w:szCs w:val="20"/>
        </w:rPr>
        <w:instrText>HYPERLINK "https://en.spi-online.org/files/ressources/Dimension%202/630%20KHUSHHALI%20BANK%20MICROFINANCE%20LTD%20%28PAKISTAN%29%20PROVIDES%20BOARD%20WITH%20SPM%20ORIENTATION%20AND%20TOR.pdf"</w:instrText>
      </w:r>
      <w:r w:rsidRPr="00A608EE">
        <w:rPr>
          <w:rFonts w:asciiTheme="majorHAnsi" w:hAnsiTheme="majorHAnsi"/>
          <w:sz w:val="20"/>
          <w:szCs w:val="20"/>
        </w:rPr>
      </w:r>
      <w:r w:rsidRPr="00A608EE">
        <w:rPr>
          <w:rFonts w:asciiTheme="majorHAnsi" w:hAnsiTheme="majorHAnsi"/>
          <w:sz w:val="20"/>
          <w:szCs w:val="20"/>
        </w:rPr>
        <w:fldChar w:fldCharType="separate"/>
      </w:r>
      <w:proofErr w:type="spellStart"/>
      <w:r w:rsidRPr="00A608EE">
        <w:rPr>
          <w:rStyle w:val="Hyperlink"/>
          <w:rFonts w:asciiTheme="majorHAnsi" w:hAnsiTheme="majorHAnsi"/>
          <w:sz w:val="20"/>
          <w:szCs w:val="20"/>
        </w:rPr>
        <w:t>Khushhali</w:t>
      </w:r>
      <w:proofErr w:type="spellEnd"/>
      <w:r w:rsidRPr="00A608EE">
        <w:rPr>
          <w:rStyle w:val="Hyperlink"/>
          <w:rFonts w:asciiTheme="majorHAnsi" w:hAnsiTheme="majorHAnsi"/>
          <w:sz w:val="20"/>
          <w:szCs w:val="20"/>
        </w:rPr>
        <w:t xml:space="preserve"> Bank Reports Using a Social Dashboard</w:t>
      </w:r>
      <w:r w:rsidRPr="00A608EE">
        <w:rPr>
          <w:rFonts w:asciiTheme="majorHAnsi" w:hAnsiTheme="majorHAnsi"/>
          <w:sz w:val="20"/>
          <w:szCs w:val="20"/>
        </w:rPr>
        <w:fldChar w:fldCharType="end"/>
      </w:r>
    </w:p>
    <w:p w14:paraId="7A54428C" w14:textId="77777777" w:rsidR="009770C9" w:rsidRPr="00A608EE" w:rsidRDefault="009770C9" w:rsidP="00A27AAA">
      <w:pPr>
        <w:pStyle w:val="paragraph"/>
        <w:numPr>
          <w:ilvl w:val="0"/>
          <w:numId w:val="127"/>
        </w:numPr>
        <w:spacing w:before="0" w:beforeAutospacing="0" w:after="0" w:afterAutospacing="0"/>
        <w:jc w:val="both"/>
        <w:textAlignment w:val="baseline"/>
        <w:rPr>
          <w:rFonts w:asciiTheme="majorHAnsi" w:hAnsiTheme="majorHAnsi"/>
          <w:sz w:val="20"/>
          <w:szCs w:val="20"/>
        </w:rPr>
      </w:pPr>
      <w:hyperlink r:id="rId87" w:tgtFrame="_blank" w:history="1">
        <w:r w:rsidRPr="00A608EE">
          <w:rPr>
            <w:rStyle w:val="Hyperlink"/>
            <w:rFonts w:asciiTheme="majorHAnsi" w:hAnsiTheme="majorHAnsi"/>
            <w:sz w:val="20"/>
            <w:szCs w:val="20"/>
          </w:rPr>
          <w:t>Aski uses a Social Dashboard for Board Reports</w:t>
        </w:r>
      </w:hyperlink>
    </w:p>
    <w:p w14:paraId="0D89EDB9" w14:textId="77777777" w:rsidR="009770C9" w:rsidRPr="00A608EE" w:rsidRDefault="009770C9" w:rsidP="00A27AAA">
      <w:pPr>
        <w:pStyle w:val="paragraph"/>
        <w:numPr>
          <w:ilvl w:val="0"/>
          <w:numId w:val="127"/>
        </w:numPr>
        <w:spacing w:before="0" w:beforeAutospacing="0" w:after="0" w:afterAutospacing="0"/>
        <w:jc w:val="both"/>
        <w:textAlignment w:val="baseline"/>
        <w:rPr>
          <w:rFonts w:asciiTheme="majorHAnsi" w:hAnsiTheme="majorHAnsi"/>
          <w:sz w:val="20"/>
          <w:szCs w:val="20"/>
        </w:rPr>
      </w:pPr>
      <w:hyperlink r:id="rId88" w:history="1">
        <w:r w:rsidRPr="00A608EE">
          <w:rPr>
            <w:rStyle w:val="Hyperlink"/>
            <w:rFonts w:asciiTheme="majorHAnsi" w:hAnsiTheme="majorHAnsi"/>
            <w:sz w:val="20"/>
            <w:szCs w:val="20"/>
          </w:rPr>
          <w:t>Fundacion Génesis Empresarial Repots to Board on SPM Progress</w:t>
        </w:r>
      </w:hyperlink>
    </w:p>
    <w:p w14:paraId="7F71853B" w14:textId="77777777" w:rsidR="009770C9" w:rsidRPr="00A608EE" w:rsidRDefault="009770C9" w:rsidP="00A27AAA">
      <w:pPr>
        <w:pStyle w:val="paragraph"/>
        <w:numPr>
          <w:ilvl w:val="0"/>
          <w:numId w:val="127"/>
        </w:numPr>
        <w:spacing w:before="0" w:beforeAutospacing="0" w:after="0" w:afterAutospacing="0"/>
        <w:jc w:val="both"/>
        <w:textAlignment w:val="baseline"/>
        <w:rPr>
          <w:rFonts w:asciiTheme="majorHAnsi" w:hAnsiTheme="majorHAnsi"/>
          <w:sz w:val="20"/>
          <w:szCs w:val="20"/>
        </w:rPr>
      </w:pPr>
      <w:hyperlink r:id="rId89" w:history="1">
        <w:r w:rsidRPr="00A608EE">
          <w:rPr>
            <w:rStyle w:val="Hyperlink"/>
            <w:rFonts w:asciiTheme="majorHAnsi" w:hAnsiTheme="majorHAnsi"/>
            <w:sz w:val="20"/>
            <w:szCs w:val="20"/>
          </w:rPr>
          <w:t>IDEPRO (Bolivia) takes corrective action and launches Pro-Cadenas</w:t>
        </w:r>
      </w:hyperlink>
    </w:p>
    <w:p w14:paraId="41111D06" w14:textId="77777777" w:rsidR="009770C9" w:rsidRPr="00A608EE" w:rsidRDefault="009770C9" w:rsidP="00A27AAA">
      <w:pPr>
        <w:pStyle w:val="paragraph"/>
        <w:numPr>
          <w:ilvl w:val="0"/>
          <w:numId w:val="127"/>
        </w:numPr>
        <w:spacing w:before="0" w:beforeAutospacing="0" w:after="0" w:afterAutospacing="0"/>
        <w:jc w:val="both"/>
        <w:textAlignment w:val="baseline"/>
        <w:rPr>
          <w:rFonts w:asciiTheme="majorHAnsi" w:hAnsiTheme="majorHAnsi"/>
          <w:sz w:val="20"/>
          <w:szCs w:val="20"/>
        </w:rPr>
      </w:pPr>
      <w:hyperlink r:id="rId90" w:tgtFrame="_blank" w:history="1">
        <w:r w:rsidRPr="00A608EE">
          <w:rPr>
            <w:rStyle w:val="Hyperlink"/>
            <w:rFonts w:asciiTheme="majorHAnsi" w:hAnsiTheme="majorHAnsi"/>
            <w:sz w:val="20"/>
            <w:szCs w:val="20"/>
          </w:rPr>
          <w:t>Kashf Foundation SPM Dashboard</w:t>
        </w:r>
      </w:hyperlink>
    </w:p>
    <w:bookmarkEnd w:id="37"/>
    <w:p w14:paraId="231B115C" w14:textId="77777777" w:rsidR="00FE01D0" w:rsidRPr="00A608EE" w:rsidRDefault="00FE01D0" w:rsidP="00EE208A">
      <w:pPr>
        <w:jc w:val="both"/>
        <w:rPr>
          <w:rFonts w:ascii="Work Sans" w:eastAsia="Work Sans" w:hAnsi="Work Sans" w:cs="Work Sans"/>
          <w:szCs w:val="20"/>
        </w:rPr>
      </w:pPr>
    </w:p>
    <w:p w14:paraId="45C023FE" w14:textId="77777777" w:rsidR="00FE01D0" w:rsidRPr="00A608EE" w:rsidRDefault="00FE01D0" w:rsidP="00EE208A">
      <w:pPr>
        <w:jc w:val="both"/>
        <w:rPr>
          <w:rFonts w:ascii="Work Sans" w:eastAsia="Work Sans" w:hAnsi="Work Sans" w:cs="Work Sans"/>
          <w:szCs w:val="20"/>
        </w:rPr>
      </w:pPr>
    </w:p>
    <w:p w14:paraId="2A68EC53" w14:textId="117D09B2" w:rsidR="00E90D16" w:rsidRPr="00A608EE" w:rsidRDefault="00E90D16" w:rsidP="00EE208A">
      <w:pPr>
        <w:pStyle w:val="Heading4"/>
        <w:spacing w:before="0" w:line="240" w:lineRule="auto"/>
        <w:jc w:val="both"/>
      </w:pPr>
      <w:r w:rsidRPr="00A608EE">
        <w:t xml:space="preserve">2.A.3.2 </w:t>
      </w:r>
      <w:r w:rsidR="000F7B55" w:rsidRPr="00A608EE">
        <w:t>The board uses the following data, provided by management, to monitor the provider’s social strategy (with the listed minimum frequency)</w:t>
      </w:r>
      <w:r w:rsidR="00476634" w:rsidRPr="00A608EE">
        <w:t>:</w:t>
      </w:r>
    </w:p>
    <w:p w14:paraId="0EE5CADD" w14:textId="578ECF8A" w:rsidR="000F7B55" w:rsidRPr="00A608EE" w:rsidRDefault="000F7B55" w:rsidP="00EE208A">
      <w:pPr>
        <w:pStyle w:val="Heading5"/>
        <w:spacing w:line="240" w:lineRule="auto"/>
        <w:ind w:left="708"/>
        <w:jc w:val="both"/>
        <w:rPr>
          <w:rFonts w:eastAsia="Times New Roman"/>
          <w:i/>
          <w:color w:val="auto"/>
          <w:szCs w:val="20"/>
        </w:rPr>
      </w:pPr>
      <w:r w:rsidRPr="00A608EE">
        <w:rPr>
          <w:rFonts w:eastAsia="Times New Roman"/>
          <w:i/>
          <w:color w:val="auto"/>
          <w:szCs w:val="20"/>
        </w:rPr>
        <w:t>2.A.3.2.1 Outcomes data. Minimum frequency: annually.</w:t>
      </w:r>
    </w:p>
    <w:p w14:paraId="20A43410" w14:textId="77777777" w:rsidR="000F7B55" w:rsidRPr="00A608EE" w:rsidRDefault="000F7B55" w:rsidP="00EE208A">
      <w:pPr>
        <w:pStyle w:val="Heading5"/>
        <w:spacing w:line="240" w:lineRule="auto"/>
        <w:ind w:left="708"/>
        <w:jc w:val="both"/>
        <w:rPr>
          <w:rFonts w:eastAsia="Times New Roman"/>
          <w:i/>
          <w:color w:val="auto"/>
          <w:szCs w:val="20"/>
        </w:rPr>
      </w:pPr>
      <w:r w:rsidRPr="00A608EE">
        <w:rPr>
          <w:rFonts w:eastAsia="Times New Roman"/>
          <w:i/>
          <w:color w:val="auto"/>
          <w:szCs w:val="20"/>
        </w:rPr>
        <w:t>2.A.3.2.2 The provider’s most recent social audit. Minimum frequency: every three years.</w:t>
      </w:r>
    </w:p>
    <w:p w14:paraId="19C9BCE6" w14:textId="566E10FE" w:rsidR="00274843" w:rsidRPr="00A608EE" w:rsidRDefault="000F7B55" w:rsidP="00EE208A">
      <w:pPr>
        <w:pStyle w:val="Heading5"/>
        <w:spacing w:before="0" w:line="240" w:lineRule="auto"/>
        <w:ind w:left="708"/>
        <w:jc w:val="both"/>
        <w:rPr>
          <w:rFonts w:eastAsia="Times New Roman"/>
          <w:i/>
          <w:iCs/>
          <w:color w:val="auto"/>
          <w:szCs w:val="20"/>
          <w:lang w:eastAsia="fr-FR"/>
        </w:rPr>
      </w:pPr>
      <w:r w:rsidRPr="00A608EE">
        <w:rPr>
          <w:rFonts w:eastAsia="Times New Roman"/>
          <w:i/>
          <w:color w:val="auto"/>
          <w:szCs w:val="20"/>
        </w:rPr>
        <w:t>2.A.3.2.3 How profits are allocated, and whether profit allocation is aligned with the provider’s social strategy. Minimum frequency: annually.</w:t>
      </w:r>
    </w:p>
    <w:p w14:paraId="1049AC27" w14:textId="2068FB1F" w:rsidR="0008096C" w:rsidRPr="00A608EE" w:rsidRDefault="0008096C" w:rsidP="00EE208A">
      <w:pPr>
        <w:jc w:val="both"/>
        <w:textAlignment w:val="baseline"/>
        <w:rPr>
          <w:rFonts w:asciiTheme="majorHAnsi" w:hAnsiTheme="majorHAnsi" w:cs="Calibri Light"/>
          <w:szCs w:val="20"/>
        </w:rPr>
      </w:pPr>
    </w:p>
    <w:p w14:paraId="755E1979" w14:textId="48A7B64C" w:rsidR="0008096C" w:rsidRPr="00A608EE" w:rsidRDefault="004921CE" w:rsidP="00EE208A">
      <w:pPr>
        <w:jc w:val="both"/>
        <w:textAlignment w:val="baseline"/>
        <w:rPr>
          <w:rFonts w:asciiTheme="majorHAnsi" w:hAnsiTheme="majorHAnsi" w:cs="Calibri Light"/>
          <w:b/>
          <w:bCs/>
          <w:color w:val="2145CC" w:themeColor="accent5" w:themeShade="BF"/>
          <w:sz w:val="20"/>
          <w:szCs w:val="15"/>
        </w:rPr>
      </w:pPr>
      <w:r w:rsidRPr="00A608EE">
        <w:rPr>
          <w:rFonts w:ascii="Segoe UI Emoji" w:hAnsi="Segoe UI Emoji" w:cs="Segoe UI Emoji"/>
          <w:b/>
          <w:bCs/>
          <w:sz w:val="20"/>
          <w:szCs w:val="15"/>
        </w:rPr>
        <w:t>🔎</w:t>
      </w:r>
      <w:r w:rsidR="004F5FC3" w:rsidRPr="00A608EE">
        <w:rPr>
          <w:rFonts w:asciiTheme="majorHAnsi" w:hAnsiTheme="majorHAnsi"/>
          <w:b/>
          <w:bCs/>
          <w:color w:val="2145CC" w:themeColor="accent5" w:themeShade="BF"/>
          <w:sz w:val="20"/>
          <w:szCs w:val="15"/>
        </w:rPr>
        <w:t xml:space="preserve"> Indicator in </w:t>
      </w:r>
      <w:r w:rsidR="0008096C" w:rsidRPr="00A608EE">
        <w:rPr>
          <w:rFonts w:asciiTheme="majorHAnsi" w:hAnsiTheme="majorHAnsi" w:cs="Calibri Light"/>
          <w:b/>
          <w:bCs/>
          <w:color w:val="2145CC" w:themeColor="accent5" w:themeShade="BF"/>
          <w:sz w:val="20"/>
          <w:szCs w:val="15"/>
        </w:rPr>
        <w:t>ALINUS</w:t>
      </w:r>
      <w:r w:rsidR="00440024" w:rsidRPr="00A608EE">
        <w:rPr>
          <w:rFonts w:asciiTheme="majorHAnsi" w:hAnsiTheme="majorHAnsi" w:cs="Calibri Light"/>
          <w:b/>
          <w:bCs/>
          <w:color w:val="2145CC" w:themeColor="accent5" w:themeShade="BF"/>
          <w:sz w:val="20"/>
          <w:szCs w:val="15"/>
        </w:rPr>
        <w:t xml:space="preserve"> </w:t>
      </w:r>
      <w:r w:rsidR="00440024" w:rsidRPr="00A608EE">
        <w:rPr>
          <w:rFonts w:asciiTheme="majorHAnsi" w:hAnsiTheme="majorHAnsi"/>
          <w:b/>
          <w:bCs/>
          <w:color w:val="2145CC" w:themeColor="accent5" w:themeShade="BF"/>
          <w:sz w:val="20"/>
          <w:szCs w:val="15"/>
        </w:rPr>
        <w:t xml:space="preserve">| </w:t>
      </w:r>
      <w:r w:rsidR="0008096C" w:rsidRPr="00A608EE">
        <w:rPr>
          <w:rFonts w:asciiTheme="majorHAnsi" w:hAnsiTheme="majorHAnsi" w:cs="Calibri Light"/>
          <w:b/>
          <w:bCs/>
          <w:color w:val="2145CC" w:themeColor="accent5" w:themeShade="BF"/>
          <w:sz w:val="20"/>
          <w:szCs w:val="15"/>
        </w:rPr>
        <w:t>SPI5 Entry</w:t>
      </w:r>
      <w:r w:rsidR="00440024" w:rsidRPr="00A608EE">
        <w:rPr>
          <w:rFonts w:asciiTheme="majorHAnsi" w:hAnsiTheme="majorHAnsi" w:cs="Calibri Light"/>
          <w:b/>
          <w:bCs/>
          <w:color w:val="2145CC" w:themeColor="accent5" w:themeShade="BF"/>
          <w:sz w:val="20"/>
          <w:szCs w:val="15"/>
        </w:rPr>
        <w:t xml:space="preserve"> </w:t>
      </w:r>
      <w:r w:rsidR="00440024" w:rsidRPr="00A608EE">
        <w:rPr>
          <w:rFonts w:asciiTheme="majorHAnsi" w:hAnsiTheme="majorHAnsi"/>
          <w:b/>
          <w:bCs/>
          <w:color w:val="2145CC" w:themeColor="accent5" w:themeShade="BF"/>
          <w:sz w:val="20"/>
          <w:szCs w:val="15"/>
        </w:rPr>
        <w:t xml:space="preserve">| </w:t>
      </w:r>
      <w:r w:rsidR="0008096C" w:rsidRPr="00A608EE">
        <w:rPr>
          <w:rFonts w:asciiTheme="majorHAnsi" w:hAnsiTheme="majorHAnsi" w:cs="Calibri Light"/>
          <w:b/>
          <w:bCs/>
          <w:color w:val="2145CC" w:themeColor="accent5" w:themeShade="BF"/>
          <w:sz w:val="20"/>
          <w:szCs w:val="15"/>
        </w:rPr>
        <w:t>SPI5 Full </w:t>
      </w:r>
      <w:r w:rsidR="004A48FF" w:rsidRPr="00A608EE">
        <w:rPr>
          <w:rFonts w:ascii="Work Sans" w:hAnsi="Work Sans"/>
          <w:b/>
          <w:bCs/>
          <w:color w:val="2145CC" w:themeColor="accent5" w:themeShade="BF"/>
          <w:sz w:val="20"/>
          <w:szCs w:val="20"/>
        </w:rPr>
        <w:t>| DI Focus</w:t>
      </w:r>
    </w:p>
    <w:p w14:paraId="360437D6" w14:textId="10222E8E" w:rsidR="0008096C" w:rsidRPr="00A608EE" w:rsidRDefault="000F7B55" w:rsidP="00EE208A">
      <w:pPr>
        <w:jc w:val="both"/>
        <w:textAlignment w:val="baseline"/>
        <w:rPr>
          <w:rFonts w:asciiTheme="majorHAnsi" w:hAnsiTheme="majorHAnsi" w:cs="Calibri Light"/>
          <w:b/>
          <w:bCs/>
          <w:color w:val="2145CC" w:themeColor="accent5" w:themeShade="BF"/>
          <w:sz w:val="20"/>
          <w:szCs w:val="15"/>
        </w:rPr>
      </w:pPr>
      <w:r w:rsidRPr="00A608EE">
        <w:rPr>
          <w:rFonts w:asciiTheme="majorHAnsi" w:hAnsiTheme="majorHAnsi" w:cs="Calibri Light"/>
          <w:b/>
          <w:bCs/>
          <w:color w:val="2145CC" w:themeColor="accent5" w:themeShade="BF"/>
          <w:sz w:val="20"/>
          <w:szCs w:val="15"/>
        </w:rPr>
        <w:t>Detail</w:t>
      </w:r>
      <w:r w:rsidR="0008096C" w:rsidRPr="00A608EE">
        <w:rPr>
          <w:rFonts w:asciiTheme="majorHAnsi" w:hAnsiTheme="majorHAnsi" w:cs="Calibri Light"/>
          <w:b/>
          <w:bCs/>
          <w:color w:val="2145CC" w:themeColor="accent5" w:themeShade="BF"/>
          <w:sz w:val="20"/>
          <w:szCs w:val="15"/>
        </w:rPr>
        <w:t xml:space="preserve"> </w:t>
      </w:r>
      <w:bookmarkStart w:id="38" w:name="_Hlk204872689"/>
      <w:r w:rsidR="0008096C" w:rsidRPr="00A608EE">
        <w:rPr>
          <w:rFonts w:asciiTheme="majorHAnsi" w:hAnsiTheme="majorHAnsi" w:cs="Calibri Light"/>
          <w:b/>
          <w:bCs/>
          <w:color w:val="2145CC" w:themeColor="accent5" w:themeShade="BF"/>
          <w:sz w:val="20"/>
          <w:szCs w:val="15"/>
        </w:rPr>
        <w:t>2</w:t>
      </w:r>
      <w:r w:rsidRPr="00A608EE">
        <w:rPr>
          <w:rFonts w:asciiTheme="majorHAnsi" w:hAnsiTheme="majorHAnsi" w:cs="Calibri Light"/>
          <w:b/>
          <w:bCs/>
          <w:color w:val="2145CC" w:themeColor="accent5" w:themeShade="BF"/>
          <w:sz w:val="20"/>
          <w:szCs w:val="15"/>
        </w:rPr>
        <w:t>.</w:t>
      </w:r>
      <w:r w:rsidR="0008096C" w:rsidRPr="00A608EE">
        <w:rPr>
          <w:rFonts w:asciiTheme="majorHAnsi" w:hAnsiTheme="majorHAnsi" w:cs="Calibri Light"/>
          <w:b/>
          <w:bCs/>
          <w:color w:val="2145CC" w:themeColor="accent5" w:themeShade="BF"/>
          <w:sz w:val="20"/>
          <w:szCs w:val="15"/>
        </w:rPr>
        <w:t>A</w:t>
      </w:r>
      <w:r w:rsidRPr="00A608EE">
        <w:rPr>
          <w:rFonts w:asciiTheme="majorHAnsi" w:hAnsiTheme="majorHAnsi" w:cs="Calibri Light"/>
          <w:b/>
          <w:bCs/>
          <w:color w:val="2145CC" w:themeColor="accent5" w:themeShade="BF"/>
          <w:sz w:val="20"/>
          <w:szCs w:val="15"/>
        </w:rPr>
        <w:t>.</w:t>
      </w:r>
      <w:r w:rsidR="0008096C" w:rsidRPr="00A608EE">
        <w:rPr>
          <w:rFonts w:asciiTheme="majorHAnsi" w:hAnsiTheme="majorHAnsi" w:cs="Calibri Light"/>
          <w:b/>
          <w:bCs/>
          <w:color w:val="2145CC" w:themeColor="accent5" w:themeShade="BF"/>
          <w:sz w:val="20"/>
          <w:szCs w:val="15"/>
        </w:rPr>
        <w:t>3</w:t>
      </w:r>
      <w:r w:rsidRPr="00A608EE">
        <w:rPr>
          <w:rFonts w:asciiTheme="majorHAnsi" w:hAnsiTheme="majorHAnsi" w:cs="Calibri Light"/>
          <w:b/>
          <w:bCs/>
          <w:color w:val="2145CC" w:themeColor="accent5" w:themeShade="BF"/>
          <w:sz w:val="20"/>
          <w:szCs w:val="15"/>
        </w:rPr>
        <w:t>.</w:t>
      </w:r>
      <w:r w:rsidR="0008096C" w:rsidRPr="00A608EE">
        <w:rPr>
          <w:rFonts w:asciiTheme="majorHAnsi" w:hAnsiTheme="majorHAnsi" w:cs="Calibri Light"/>
          <w:b/>
          <w:bCs/>
          <w:color w:val="2145CC" w:themeColor="accent5" w:themeShade="BF"/>
          <w:sz w:val="20"/>
          <w:szCs w:val="15"/>
        </w:rPr>
        <w:t>2</w:t>
      </w:r>
      <w:r w:rsidRPr="00A608EE">
        <w:rPr>
          <w:rFonts w:asciiTheme="majorHAnsi" w:hAnsiTheme="majorHAnsi" w:cs="Calibri Light"/>
          <w:b/>
          <w:bCs/>
          <w:color w:val="2145CC" w:themeColor="accent5" w:themeShade="BF"/>
          <w:sz w:val="20"/>
          <w:szCs w:val="15"/>
        </w:rPr>
        <w:t>.</w:t>
      </w:r>
      <w:r w:rsidR="0008096C" w:rsidRPr="00A608EE">
        <w:rPr>
          <w:rFonts w:asciiTheme="majorHAnsi" w:hAnsiTheme="majorHAnsi" w:cs="Calibri Light"/>
          <w:b/>
          <w:bCs/>
          <w:color w:val="2145CC" w:themeColor="accent5" w:themeShade="BF"/>
          <w:sz w:val="20"/>
          <w:szCs w:val="15"/>
        </w:rPr>
        <w:t>1</w:t>
      </w:r>
      <w:bookmarkEnd w:id="38"/>
      <w:r w:rsidR="0008096C" w:rsidRPr="00A608EE">
        <w:rPr>
          <w:rFonts w:asciiTheme="majorHAnsi" w:hAnsiTheme="majorHAnsi" w:cs="Calibri Light"/>
          <w:b/>
          <w:bCs/>
          <w:color w:val="2145CC" w:themeColor="accent5" w:themeShade="BF"/>
          <w:sz w:val="20"/>
          <w:szCs w:val="15"/>
        </w:rPr>
        <w:t>: SPI5 Full </w:t>
      </w:r>
    </w:p>
    <w:p w14:paraId="30EDDA15" w14:textId="4B4E8669" w:rsidR="0008096C" w:rsidRPr="00A608EE" w:rsidRDefault="004E7EB1"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787464F2" w14:textId="6E8A2919" w:rsidR="004A1E7D" w:rsidRPr="00A608EE" w:rsidRDefault="000F7B55" w:rsidP="00A27AAA">
      <w:pPr>
        <w:jc w:val="both"/>
        <w:textAlignment w:val="baseline"/>
        <w:rPr>
          <w:rFonts w:asciiTheme="majorHAnsi" w:hAnsiTheme="majorHAnsi" w:cs="Calibri Light"/>
          <w:sz w:val="20"/>
          <w:szCs w:val="20"/>
        </w:rPr>
      </w:pPr>
      <w:r w:rsidRPr="00A608EE">
        <w:rPr>
          <w:rFonts w:asciiTheme="majorHAnsi" w:hAnsiTheme="majorHAnsi" w:cs="Calibri Light"/>
          <w:sz w:val="20"/>
          <w:szCs w:val="20"/>
        </w:rPr>
        <w:t>The board’s priorities should be consistent with the provider’s social strategy. The board should adopt a balanced approach to financial and social performance management to make strategic decisions.</w:t>
      </w:r>
    </w:p>
    <w:p w14:paraId="42D69D5A" w14:textId="77777777" w:rsidR="00672763" w:rsidRPr="00A608EE" w:rsidRDefault="00672763" w:rsidP="00A27AAA">
      <w:pPr>
        <w:jc w:val="both"/>
        <w:textAlignment w:val="baseline"/>
        <w:rPr>
          <w:rFonts w:asciiTheme="majorHAnsi" w:hAnsiTheme="majorHAnsi" w:cs="Calibri Light"/>
          <w:sz w:val="20"/>
          <w:szCs w:val="20"/>
        </w:rPr>
      </w:pPr>
    </w:p>
    <w:p w14:paraId="3E2F4A8D"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11840" behindDoc="1" locked="0" layoutInCell="1" allowOverlap="1" wp14:anchorId="374BD113" wp14:editId="3D0E7884">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4970064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BDDFC91" w14:textId="77777777" w:rsidR="00672763" w:rsidRPr="00A608EE" w:rsidRDefault="00672763" w:rsidP="00A27AAA">
      <w:pPr>
        <w:jc w:val="both"/>
        <w:textAlignment w:val="baseline"/>
        <w:rPr>
          <w:rStyle w:val="normaltextrun"/>
          <w:rFonts w:asciiTheme="majorHAnsi" w:hAnsiTheme="majorHAnsi" w:cs="Calibri Light"/>
          <w:sz w:val="20"/>
          <w:szCs w:val="20"/>
        </w:rPr>
      </w:pPr>
    </w:p>
    <w:p w14:paraId="7E1A2BFB" w14:textId="353F6167" w:rsidR="00FF685E" w:rsidRPr="00A608EE" w:rsidRDefault="00FC6779" w:rsidP="00FF685E">
      <w:pPr>
        <w:jc w:val="both"/>
        <w:textAlignment w:val="baseline"/>
        <w:rPr>
          <w:rStyle w:val="normaltextrun"/>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FF685E" w:rsidRPr="00A608EE">
        <w:rPr>
          <w:rStyle w:val="normaltextrun"/>
          <w:rFonts w:asciiTheme="majorHAnsi" w:hAnsiTheme="majorHAnsi"/>
          <w:sz w:val="20"/>
          <w:szCs w:val="20"/>
          <w:lang w:eastAsia="fr-FR"/>
        </w:rPr>
        <w:t>The data used by the board to monitor the providers' social strategy should include applicable disability-related data, for instance:</w:t>
      </w:r>
    </w:p>
    <w:p w14:paraId="4D16295B" w14:textId="25D9994A" w:rsidR="00FF685E" w:rsidRPr="00A608EE" w:rsidRDefault="00FF685E" w:rsidP="00A27AAA">
      <w:pPr>
        <w:pStyle w:val="ListParagraph"/>
        <w:numPr>
          <w:ilvl w:val="0"/>
          <w:numId w:val="388"/>
        </w:numPr>
        <w:jc w:val="both"/>
        <w:textAlignment w:val="baseline"/>
        <w:rPr>
          <w:rStyle w:val="normaltextrun"/>
          <w:rFonts w:asciiTheme="majorHAnsi" w:hAnsiTheme="majorHAnsi"/>
          <w:szCs w:val="20"/>
          <w:lang w:eastAsia="fr-FR"/>
        </w:rPr>
      </w:pPr>
      <w:r w:rsidRPr="00A608EE">
        <w:rPr>
          <w:rStyle w:val="normaltextrun"/>
          <w:rFonts w:asciiTheme="majorHAnsi" w:hAnsiTheme="majorHAnsi"/>
          <w:szCs w:val="20"/>
          <w:lang w:eastAsia="fr-FR"/>
        </w:rPr>
        <w:t>Outcomes data for clients with disabilities</w:t>
      </w:r>
      <w:r w:rsidR="008D472A" w:rsidRPr="00A608EE">
        <w:rPr>
          <w:rStyle w:val="normaltextrun"/>
          <w:rFonts w:asciiTheme="majorHAnsi" w:hAnsiTheme="majorHAnsi"/>
          <w:szCs w:val="20"/>
          <w:lang w:eastAsia="fr-FR"/>
        </w:rPr>
        <w:t>.</w:t>
      </w:r>
    </w:p>
    <w:p w14:paraId="45A3E1A8" w14:textId="77C6EA82" w:rsidR="005160B6" w:rsidRPr="00A608EE" w:rsidRDefault="00FF685E" w:rsidP="00A27AAA">
      <w:pPr>
        <w:pStyle w:val="ListParagraph"/>
        <w:numPr>
          <w:ilvl w:val="0"/>
          <w:numId w:val="388"/>
        </w:numPr>
        <w:jc w:val="both"/>
        <w:textAlignment w:val="baseline"/>
        <w:rPr>
          <w:rFonts w:asciiTheme="majorHAnsi" w:hAnsiTheme="majorHAnsi"/>
          <w:szCs w:val="20"/>
          <w:lang w:eastAsia="fr-FR"/>
        </w:rPr>
      </w:pPr>
      <w:r w:rsidRPr="00A608EE">
        <w:rPr>
          <w:rStyle w:val="normaltextrun"/>
          <w:rFonts w:asciiTheme="majorHAnsi" w:hAnsiTheme="majorHAnsi"/>
          <w:szCs w:val="20"/>
          <w:lang w:eastAsia="fr-FR"/>
        </w:rPr>
        <w:t>Social audit data related to measures to prevent discrimination or exclusion of persons with disabilities and ensure accessibility</w:t>
      </w:r>
      <w:r w:rsidR="008D472A" w:rsidRPr="00A608EE">
        <w:rPr>
          <w:rStyle w:val="normaltextrun"/>
          <w:rFonts w:asciiTheme="majorHAnsi" w:hAnsiTheme="majorHAnsi"/>
          <w:szCs w:val="20"/>
          <w:lang w:eastAsia="fr-FR"/>
        </w:rPr>
        <w:t>.</w:t>
      </w:r>
    </w:p>
    <w:p w14:paraId="26914BDA" w14:textId="4B8C0965" w:rsidR="005160B6" w:rsidRPr="00A608EE" w:rsidRDefault="005160B6" w:rsidP="00EE208A">
      <w:pPr>
        <w:jc w:val="both"/>
        <w:textAlignment w:val="baseline"/>
        <w:rPr>
          <w:rFonts w:asciiTheme="majorHAnsi" w:hAnsiTheme="majorHAnsi" w:cs="Calibri Light"/>
          <w:b/>
          <w:bCs/>
          <w:sz w:val="20"/>
          <w:szCs w:val="20"/>
        </w:rPr>
      </w:pPr>
      <w:r w:rsidRPr="00A608EE">
        <w:rPr>
          <w:noProof/>
          <w:sz w:val="20"/>
          <w:szCs w:val="20"/>
        </w:rPr>
        <mc:AlternateContent>
          <mc:Choice Requires="wps">
            <w:drawing>
              <wp:anchor distT="0" distB="0" distL="114300" distR="114300" simplePos="0" relativeHeight="251679744" behindDoc="0" locked="0" layoutInCell="1" allowOverlap="1" wp14:anchorId="6F848FA2" wp14:editId="56513DEF">
                <wp:simplePos x="0" y="0"/>
                <wp:positionH relativeFrom="margin">
                  <wp:align>left</wp:align>
                </wp:positionH>
                <wp:positionV relativeFrom="paragraph">
                  <wp:posOffset>60325</wp:posOffset>
                </wp:positionV>
                <wp:extent cx="1828800" cy="1828800"/>
                <wp:effectExtent l="0" t="0" r="24130" b="19685"/>
                <wp:wrapSquare wrapText="bothSides"/>
                <wp:docPr id="1751251138"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7BC52723" w14:textId="5E647DAC" w:rsidR="00792DDF" w:rsidRPr="00820B09" w:rsidRDefault="00B53772" w:rsidP="00792DDF">
                            <w:pPr>
                              <w:jc w:val="both"/>
                              <w:textAlignment w:val="baseline"/>
                              <w:rPr>
                                <w:rFonts w:asciiTheme="majorHAnsi" w:hAnsiTheme="majorHAnsi" w:cs="Calibri Light"/>
                                <w:b/>
                                <w:bCs/>
                                <w:sz w:val="20"/>
                                <w:szCs w:val="20"/>
                              </w:rPr>
                            </w:pPr>
                            <w:r w:rsidRPr="00820B09">
                              <w:rPr>
                                <w:rFonts w:asciiTheme="majorHAnsi" w:hAnsiTheme="majorHAnsi"/>
                                <w:b/>
                                <w:bCs/>
                                <w:sz w:val="20"/>
                                <w:szCs w:val="20"/>
                              </w:rPr>
                              <w:t xml:space="preserve">Disability Inclusion – Info </w:t>
                            </w:r>
                            <w:r w:rsidR="00A27AAA" w:rsidRPr="00820B09">
                              <w:rPr>
                                <w:rFonts w:asciiTheme="majorHAnsi" w:hAnsiTheme="majorHAnsi"/>
                                <w:b/>
                                <w:bCs/>
                                <w:sz w:val="20"/>
                                <w:szCs w:val="20"/>
                              </w:rPr>
                              <w:t xml:space="preserve">Box </w:t>
                            </w:r>
                            <w:r w:rsidR="00A27AAA" w:rsidRPr="00820B09">
                              <w:rPr>
                                <w:rFonts w:asciiTheme="majorHAnsi" w:hAnsiTheme="majorHAnsi" w:cs="Calibri Light"/>
                                <w:b/>
                                <w:bCs/>
                                <w:sz w:val="20"/>
                                <w:szCs w:val="20"/>
                              </w:rPr>
                              <w:t>2.A.3.2</w:t>
                            </w:r>
                          </w:p>
                          <w:p w14:paraId="34D7B97A" w14:textId="77777777" w:rsidR="00792DDF" w:rsidRPr="00820B09" w:rsidRDefault="00792DDF" w:rsidP="00792DDF">
                            <w:pPr>
                              <w:jc w:val="both"/>
                              <w:textAlignment w:val="baseline"/>
                              <w:rPr>
                                <w:rFonts w:asciiTheme="majorHAnsi" w:hAnsiTheme="majorHAnsi" w:cs="Calibri Light"/>
                                <w:b/>
                                <w:bCs/>
                                <w:sz w:val="20"/>
                                <w:szCs w:val="20"/>
                              </w:rPr>
                            </w:pPr>
                          </w:p>
                          <w:p w14:paraId="557B547D" w14:textId="0ABF980A" w:rsidR="00792DDF" w:rsidRPr="00820B09" w:rsidRDefault="00792DDF" w:rsidP="00792DDF">
                            <w:pPr>
                              <w:jc w:val="both"/>
                              <w:textAlignment w:val="baseline"/>
                              <w:rPr>
                                <w:rFonts w:asciiTheme="majorHAnsi" w:hAnsiTheme="majorHAnsi" w:cs="Calibri Light"/>
                                <w:sz w:val="20"/>
                                <w:szCs w:val="20"/>
                              </w:rPr>
                            </w:pPr>
                            <w:r w:rsidRPr="00820B09">
                              <w:rPr>
                                <w:rFonts w:asciiTheme="majorHAnsi" w:hAnsiTheme="majorHAnsi" w:cs="Calibri Light"/>
                                <w:sz w:val="20"/>
                                <w:szCs w:val="20"/>
                              </w:rPr>
                              <w:t>The data that the board use</w:t>
                            </w:r>
                            <w:r w:rsidR="00E215F1" w:rsidRPr="00820B09">
                              <w:rPr>
                                <w:rFonts w:asciiTheme="majorHAnsi" w:hAnsiTheme="majorHAnsi" w:cs="Calibri Light"/>
                                <w:sz w:val="20"/>
                                <w:szCs w:val="20"/>
                              </w:rPr>
                              <w:t>s</w:t>
                            </w:r>
                            <w:r w:rsidRPr="00820B09">
                              <w:rPr>
                                <w:rFonts w:asciiTheme="majorHAnsi" w:hAnsiTheme="majorHAnsi" w:cs="Calibri Light"/>
                                <w:sz w:val="20"/>
                                <w:szCs w:val="20"/>
                              </w:rPr>
                              <w:t xml:space="preserve"> to monitor social </w:t>
                            </w:r>
                            <w:r w:rsidR="00E215F1" w:rsidRPr="00820B09">
                              <w:rPr>
                                <w:rFonts w:asciiTheme="majorHAnsi" w:hAnsiTheme="majorHAnsi" w:cs="Calibri Light"/>
                                <w:sz w:val="20"/>
                                <w:szCs w:val="20"/>
                              </w:rPr>
                              <w:t xml:space="preserve">performance </w:t>
                            </w:r>
                            <w:r w:rsidRPr="00820B09">
                              <w:rPr>
                                <w:rFonts w:asciiTheme="majorHAnsi" w:hAnsiTheme="majorHAnsi" w:cs="Calibri Light"/>
                                <w:sz w:val="20"/>
                                <w:szCs w:val="20"/>
                              </w:rPr>
                              <w:t xml:space="preserve">should include disability-related data relating to these data categories, </w:t>
                            </w:r>
                            <w:r w:rsidR="00E215F1" w:rsidRPr="00820B09">
                              <w:rPr>
                                <w:rFonts w:asciiTheme="majorHAnsi" w:hAnsiTheme="majorHAnsi" w:cs="Calibri Light"/>
                                <w:sz w:val="20"/>
                                <w:szCs w:val="20"/>
                              </w:rPr>
                              <w:t>for example</w:t>
                            </w:r>
                          </w:p>
                          <w:p w14:paraId="59B49079" w14:textId="77777777" w:rsidR="00792DDF" w:rsidRPr="00820B09" w:rsidRDefault="00792DDF" w:rsidP="00792DDF">
                            <w:pPr>
                              <w:jc w:val="both"/>
                              <w:textAlignment w:val="baseline"/>
                              <w:rPr>
                                <w:rFonts w:asciiTheme="majorHAnsi" w:hAnsiTheme="majorHAnsi" w:cs="Calibri Light"/>
                                <w:sz w:val="20"/>
                                <w:szCs w:val="20"/>
                              </w:rPr>
                            </w:pPr>
                          </w:p>
                          <w:p w14:paraId="7765131A" w14:textId="73385EF8" w:rsidR="00792DDF" w:rsidRPr="00820B09" w:rsidRDefault="00792DDF" w:rsidP="00792DDF">
                            <w:pPr>
                              <w:jc w:val="both"/>
                              <w:textAlignment w:val="baseline"/>
                              <w:rPr>
                                <w:rFonts w:asciiTheme="majorHAnsi" w:hAnsiTheme="majorHAnsi" w:cs="Calibri Light"/>
                                <w:sz w:val="20"/>
                                <w:szCs w:val="20"/>
                              </w:rPr>
                            </w:pPr>
                            <w:r w:rsidRPr="00820B09">
                              <w:rPr>
                                <w:rFonts w:asciiTheme="majorHAnsi" w:hAnsiTheme="majorHAnsi" w:cs="Calibri Light"/>
                                <w:sz w:val="20"/>
                                <w:szCs w:val="20"/>
                              </w:rPr>
                              <w:t>2.A.3.2.1 Outcomes data</w:t>
                            </w:r>
                            <w:r w:rsidR="00E215F1" w:rsidRPr="00820B09">
                              <w:rPr>
                                <w:rFonts w:asciiTheme="majorHAnsi" w:hAnsiTheme="majorHAnsi" w:cs="Calibri Light"/>
                                <w:sz w:val="20"/>
                                <w:szCs w:val="20"/>
                              </w:rPr>
                              <w:t>:</w:t>
                            </w:r>
                            <w:r w:rsidRPr="00820B09">
                              <w:rPr>
                                <w:rFonts w:asciiTheme="majorHAnsi" w:hAnsiTheme="majorHAnsi" w:cs="Calibri Light"/>
                                <w:sz w:val="20"/>
                                <w:szCs w:val="20"/>
                              </w:rPr>
                              <w:t xml:space="preserve"> The provider reports on disability inclusion within its published social performance reporting</w:t>
                            </w:r>
                            <w:r w:rsidR="00E215F1" w:rsidRPr="00820B09">
                              <w:rPr>
                                <w:rFonts w:asciiTheme="majorHAnsi" w:hAnsiTheme="majorHAnsi" w:cs="Calibri Light"/>
                                <w:sz w:val="20"/>
                                <w:szCs w:val="20"/>
                              </w:rPr>
                              <w:t xml:space="preserve"> (as referenced in indicator 1.B.3.2)</w:t>
                            </w:r>
                            <w:r w:rsidR="00391D61" w:rsidRPr="00820B09">
                              <w:rPr>
                                <w:rFonts w:asciiTheme="majorHAnsi" w:hAnsiTheme="majorHAnsi" w:cs="Calibri Light"/>
                                <w:sz w:val="20"/>
                                <w:szCs w:val="20"/>
                              </w:rPr>
                              <w:t>.</w:t>
                            </w:r>
                          </w:p>
                          <w:p w14:paraId="3F9216F1" w14:textId="77777777" w:rsidR="00792DDF" w:rsidRPr="00820B09" w:rsidRDefault="00792DDF" w:rsidP="00792DDF">
                            <w:pPr>
                              <w:jc w:val="both"/>
                              <w:textAlignment w:val="baseline"/>
                              <w:rPr>
                                <w:rFonts w:asciiTheme="majorHAnsi" w:hAnsiTheme="majorHAnsi" w:cs="Calibri Light"/>
                                <w:sz w:val="20"/>
                                <w:szCs w:val="20"/>
                              </w:rPr>
                            </w:pPr>
                          </w:p>
                          <w:p w14:paraId="7B9AC886" w14:textId="54A037CB" w:rsidR="00792DDF" w:rsidRPr="00820B09" w:rsidRDefault="00792DDF" w:rsidP="00566DD2">
                            <w:pPr>
                              <w:jc w:val="both"/>
                              <w:textAlignment w:val="baseline"/>
                              <w:rPr>
                                <w:rFonts w:asciiTheme="majorHAnsi" w:hAnsiTheme="majorHAnsi" w:cs="Calibri Light"/>
                                <w:sz w:val="20"/>
                                <w:szCs w:val="20"/>
                              </w:rPr>
                            </w:pPr>
                            <w:r w:rsidRPr="00820B09">
                              <w:rPr>
                                <w:rFonts w:asciiTheme="majorHAnsi" w:hAnsiTheme="majorHAnsi" w:cs="Calibri Light"/>
                                <w:sz w:val="20"/>
                                <w:szCs w:val="20"/>
                              </w:rPr>
                              <w:t xml:space="preserve">2.A.3.2.2 </w:t>
                            </w:r>
                            <w:r w:rsidR="00E215F1" w:rsidRPr="00820B09">
                              <w:rPr>
                                <w:rFonts w:asciiTheme="majorHAnsi" w:hAnsiTheme="majorHAnsi" w:cs="Calibri Light"/>
                                <w:sz w:val="20"/>
                                <w:szCs w:val="20"/>
                              </w:rPr>
                              <w:t xml:space="preserve">Social audit: </w:t>
                            </w:r>
                            <w:r w:rsidRPr="00820B09">
                              <w:rPr>
                                <w:rFonts w:asciiTheme="majorHAnsi" w:hAnsiTheme="majorHAnsi" w:cs="Calibri Light"/>
                                <w:sz w:val="20"/>
                                <w:szCs w:val="20"/>
                              </w:rPr>
                              <w:t>The provider’s social audit should cover assessment of measures to prevent discrimination or exclusion of persons with disabilities and ensure accessibility, as well as practices related to any specific social goals the provider has identified related to disability inclusion</w:t>
                            </w:r>
                            <w:r w:rsidR="00E215F1" w:rsidRPr="00820B09">
                              <w:rPr>
                                <w:rFonts w:asciiTheme="majorHAnsi" w:hAnsiTheme="majorHAnsi" w:cs="Calibri Light"/>
                                <w:sz w:val="20"/>
                                <w:szCs w:val="20"/>
                              </w:rPr>
                              <w:t xml:space="preserve"> (as referenced in indicator 1.B.3.1)</w:t>
                            </w:r>
                            <w:r w:rsidRPr="00820B09">
                              <w:rPr>
                                <w:rFonts w:asciiTheme="majorHAnsi" w:hAnsiTheme="majorHAnsi" w:cs="Calibri Light"/>
                                <w:sz w:val="20"/>
                                <w:szCs w:val="2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F848FA2" id="_x0000_s1037" type="#_x0000_t202" style="position:absolute;left:0;text-align:left;margin-left:0;margin-top:4.75pt;width:2in;height:2in;z-index:251679744;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TEKg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" filled="f" strokeweight=".5pt">
                <v:textbox style="mso-fit-shape-to-text:t">
                  <w:txbxContent>
                    <w:p w14:paraId="7BC52723" w14:textId="5E647DAC" w:rsidR="00792DDF" w:rsidRPr="00820B09" w:rsidRDefault="00B53772" w:rsidP="00792DDF">
                      <w:pPr>
                        <w:jc w:val="both"/>
                        <w:textAlignment w:val="baseline"/>
                        <w:rPr>
                          <w:rFonts w:asciiTheme="majorHAnsi" w:hAnsiTheme="majorHAnsi" w:cs="Calibri Light"/>
                          <w:b/>
                          <w:bCs/>
                          <w:sz w:val="20"/>
                          <w:szCs w:val="20"/>
                        </w:rPr>
                      </w:pPr>
                      <w:r w:rsidRPr="00820B09">
                        <w:rPr>
                          <w:rFonts w:asciiTheme="majorHAnsi" w:hAnsiTheme="majorHAnsi"/>
                          <w:b/>
                          <w:bCs/>
                          <w:sz w:val="20"/>
                          <w:szCs w:val="20"/>
                        </w:rPr>
                        <w:t xml:space="preserve">Disability Inclusion – Info </w:t>
                      </w:r>
                      <w:r w:rsidR="00A27AAA" w:rsidRPr="00820B09">
                        <w:rPr>
                          <w:rFonts w:asciiTheme="majorHAnsi" w:hAnsiTheme="majorHAnsi"/>
                          <w:b/>
                          <w:bCs/>
                          <w:sz w:val="20"/>
                          <w:szCs w:val="20"/>
                        </w:rPr>
                        <w:t xml:space="preserve">Box </w:t>
                      </w:r>
                      <w:r w:rsidR="00A27AAA" w:rsidRPr="00820B09">
                        <w:rPr>
                          <w:rFonts w:asciiTheme="majorHAnsi" w:hAnsiTheme="majorHAnsi" w:cs="Calibri Light"/>
                          <w:b/>
                          <w:bCs/>
                          <w:sz w:val="20"/>
                          <w:szCs w:val="20"/>
                        </w:rPr>
                        <w:t>2.A.3.2</w:t>
                      </w:r>
                    </w:p>
                    <w:p w14:paraId="34D7B97A" w14:textId="77777777" w:rsidR="00792DDF" w:rsidRPr="00820B09" w:rsidRDefault="00792DDF" w:rsidP="00792DDF">
                      <w:pPr>
                        <w:jc w:val="both"/>
                        <w:textAlignment w:val="baseline"/>
                        <w:rPr>
                          <w:rFonts w:asciiTheme="majorHAnsi" w:hAnsiTheme="majorHAnsi" w:cs="Calibri Light"/>
                          <w:b/>
                          <w:bCs/>
                          <w:sz w:val="20"/>
                          <w:szCs w:val="20"/>
                        </w:rPr>
                      </w:pPr>
                    </w:p>
                    <w:p w14:paraId="557B547D" w14:textId="0ABF980A" w:rsidR="00792DDF" w:rsidRPr="00820B09" w:rsidRDefault="00792DDF" w:rsidP="00792DDF">
                      <w:pPr>
                        <w:jc w:val="both"/>
                        <w:textAlignment w:val="baseline"/>
                        <w:rPr>
                          <w:rFonts w:asciiTheme="majorHAnsi" w:hAnsiTheme="majorHAnsi" w:cs="Calibri Light"/>
                          <w:sz w:val="20"/>
                          <w:szCs w:val="20"/>
                        </w:rPr>
                      </w:pPr>
                      <w:r w:rsidRPr="00820B09">
                        <w:rPr>
                          <w:rFonts w:asciiTheme="majorHAnsi" w:hAnsiTheme="majorHAnsi" w:cs="Calibri Light"/>
                          <w:sz w:val="20"/>
                          <w:szCs w:val="20"/>
                        </w:rPr>
                        <w:t>The data that the board use</w:t>
                      </w:r>
                      <w:r w:rsidR="00E215F1" w:rsidRPr="00820B09">
                        <w:rPr>
                          <w:rFonts w:asciiTheme="majorHAnsi" w:hAnsiTheme="majorHAnsi" w:cs="Calibri Light"/>
                          <w:sz w:val="20"/>
                          <w:szCs w:val="20"/>
                        </w:rPr>
                        <w:t>s</w:t>
                      </w:r>
                      <w:r w:rsidRPr="00820B09">
                        <w:rPr>
                          <w:rFonts w:asciiTheme="majorHAnsi" w:hAnsiTheme="majorHAnsi" w:cs="Calibri Light"/>
                          <w:sz w:val="20"/>
                          <w:szCs w:val="20"/>
                        </w:rPr>
                        <w:t xml:space="preserve"> to monitor social </w:t>
                      </w:r>
                      <w:r w:rsidR="00E215F1" w:rsidRPr="00820B09">
                        <w:rPr>
                          <w:rFonts w:asciiTheme="majorHAnsi" w:hAnsiTheme="majorHAnsi" w:cs="Calibri Light"/>
                          <w:sz w:val="20"/>
                          <w:szCs w:val="20"/>
                        </w:rPr>
                        <w:t xml:space="preserve">performance </w:t>
                      </w:r>
                      <w:r w:rsidRPr="00820B09">
                        <w:rPr>
                          <w:rFonts w:asciiTheme="majorHAnsi" w:hAnsiTheme="majorHAnsi" w:cs="Calibri Light"/>
                          <w:sz w:val="20"/>
                          <w:szCs w:val="20"/>
                        </w:rPr>
                        <w:t xml:space="preserve">should include disability-related data relating to these data categories, </w:t>
                      </w:r>
                      <w:r w:rsidR="00E215F1" w:rsidRPr="00820B09">
                        <w:rPr>
                          <w:rFonts w:asciiTheme="majorHAnsi" w:hAnsiTheme="majorHAnsi" w:cs="Calibri Light"/>
                          <w:sz w:val="20"/>
                          <w:szCs w:val="20"/>
                        </w:rPr>
                        <w:t>for example</w:t>
                      </w:r>
                    </w:p>
                    <w:p w14:paraId="59B49079" w14:textId="77777777" w:rsidR="00792DDF" w:rsidRPr="00820B09" w:rsidRDefault="00792DDF" w:rsidP="00792DDF">
                      <w:pPr>
                        <w:jc w:val="both"/>
                        <w:textAlignment w:val="baseline"/>
                        <w:rPr>
                          <w:rFonts w:asciiTheme="majorHAnsi" w:hAnsiTheme="majorHAnsi" w:cs="Calibri Light"/>
                          <w:sz w:val="20"/>
                          <w:szCs w:val="20"/>
                        </w:rPr>
                      </w:pPr>
                    </w:p>
                    <w:p w14:paraId="7765131A" w14:textId="73385EF8" w:rsidR="00792DDF" w:rsidRPr="00820B09" w:rsidRDefault="00792DDF" w:rsidP="00792DDF">
                      <w:pPr>
                        <w:jc w:val="both"/>
                        <w:textAlignment w:val="baseline"/>
                        <w:rPr>
                          <w:rFonts w:asciiTheme="majorHAnsi" w:hAnsiTheme="majorHAnsi" w:cs="Calibri Light"/>
                          <w:sz w:val="20"/>
                          <w:szCs w:val="20"/>
                        </w:rPr>
                      </w:pPr>
                      <w:r w:rsidRPr="00820B09">
                        <w:rPr>
                          <w:rFonts w:asciiTheme="majorHAnsi" w:hAnsiTheme="majorHAnsi" w:cs="Calibri Light"/>
                          <w:sz w:val="20"/>
                          <w:szCs w:val="20"/>
                        </w:rPr>
                        <w:t>2.A.3.2.1 Outcomes data</w:t>
                      </w:r>
                      <w:r w:rsidR="00E215F1" w:rsidRPr="00820B09">
                        <w:rPr>
                          <w:rFonts w:asciiTheme="majorHAnsi" w:hAnsiTheme="majorHAnsi" w:cs="Calibri Light"/>
                          <w:sz w:val="20"/>
                          <w:szCs w:val="20"/>
                        </w:rPr>
                        <w:t>:</w:t>
                      </w:r>
                      <w:r w:rsidRPr="00820B09">
                        <w:rPr>
                          <w:rFonts w:asciiTheme="majorHAnsi" w:hAnsiTheme="majorHAnsi" w:cs="Calibri Light"/>
                          <w:sz w:val="20"/>
                          <w:szCs w:val="20"/>
                        </w:rPr>
                        <w:t xml:space="preserve"> The provider reports on disability inclusion within its published social performance reporting</w:t>
                      </w:r>
                      <w:r w:rsidR="00E215F1" w:rsidRPr="00820B09">
                        <w:rPr>
                          <w:rFonts w:asciiTheme="majorHAnsi" w:hAnsiTheme="majorHAnsi" w:cs="Calibri Light"/>
                          <w:sz w:val="20"/>
                          <w:szCs w:val="20"/>
                        </w:rPr>
                        <w:t xml:space="preserve"> (as referenced in indicator 1.B.3.2)</w:t>
                      </w:r>
                      <w:r w:rsidR="00391D61" w:rsidRPr="00820B09">
                        <w:rPr>
                          <w:rFonts w:asciiTheme="majorHAnsi" w:hAnsiTheme="majorHAnsi" w:cs="Calibri Light"/>
                          <w:sz w:val="20"/>
                          <w:szCs w:val="20"/>
                        </w:rPr>
                        <w:t>.</w:t>
                      </w:r>
                    </w:p>
                    <w:p w14:paraId="3F9216F1" w14:textId="77777777" w:rsidR="00792DDF" w:rsidRPr="00820B09" w:rsidRDefault="00792DDF" w:rsidP="00792DDF">
                      <w:pPr>
                        <w:jc w:val="both"/>
                        <w:textAlignment w:val="baseline"/>
                        <w:rPr>
                          <w:rFonts w:asciiTheme="majorHAnsi" w:hAnsiTheme="majorHAnsi" w:cs="Calibri Light"/>
                          <w:sz w:val="20"/>
                          <w:szCs w:val="20"/>
                        </w:rPr>
                      </w:pPr>
                    </w:p>
                    <w:p w14:paraId="7B9AC886" w14:textId="54A037CB" w:rsidR="00792DDF" w:rsidRPr="00820B09" w:rsidRDefault="00792DDF" w:rsidP="00566DD2">
                      <w:pPr>
                        <w:jc w:val="both"/>
                        <w:textAlignment w:val="baseline"/>
                        <w:rPr>
                          <w:rFonts w:asciiTheme="majorHAnsi" w:hAnsiTheme="majorHAnsi" w:cs="Calibri Light"/>
                          <w:sz w:val="20"/>
                          <w:szCs w:val="20"/>
                        </w:rPr>
                      </w:pPr>
                      <w:r w:rsidRPr="00820B09">
                        <w:rPr>
                          <w:rFonts w:asciiTheme="majorHAnsi" w:hAnsiTheme="majorHAnsi" w:cs="Calibri Light"/>
                          <w:sz w:val="20"/>
                          <w:szCs w:val="20"/>
                        </w:rPr>
                        <w:t xml:space="preserve">2.A.3.2.2 </w:t>
                      </w:r>
                      <w:r w:rsidR="00E215F1" w:rsidRPr="00820B09">
                        <w:rPr>
                          <w:rFonts w:asciiTheme="majorHAnsi" w:hAnsiTheme="majorHAnsi" w:cs="Calibri Light"/>
                          <w:sz w:val="20"/>
                          <w:szCs w:val="20"/>
                        </w:rPr>
                        <w:t xml:space="preserve">Social audit: </w:t>
                      </w:r>
                      <w:r w:rsidRPr="00820B09">
                        <w:rPr>
                          <w:rFonts w:asciiTheme="majorHAnsi" w:hAnsiTheme="majorHAnsi" w:cs="Calibri Light"/>
                          <w:sz w:val="20"/>
                          <w:szCs w:val="20"/>
                        </w:rPr>
                        <w:t>The provider’s social audit should cover assessment of measures to prevent discrimination or exclusion of persons with disabilities and ensure accessibility, as well as practices related to any specific social goals the provider has identified related to disability inclusion</w:t>
                      </w:r>
                      <w:r w:rsidR="00E215F1" w:rsidRPr="00820B09">
                        <w:rPr>
                          <w:rFonts w:asciiTheme="majorHAnsi" w:hAnsiTheme="majorHAnsi" w:cs="Calibri Light"/>
                          <w:sz w:val="20"/>
                          <w:szCs w:val="20"/>
                        </w:rPr>
                        <w:t xml:space="preserve"> (as referenced in indicator 1.B.3.1)</w:t>
                      </w:r>
                      <w:r w:rsidRPr="00820B09">
                        <w:rPr>
                          <w:rFonts w:asciiTheme="majorHAnsi" w:hAnsiTheme="majorHAnsi" w:cs="Calibri Light"/>
                          <w:sz w:val="20"/>
                          <w:szCs w:val="20"/>
                        </w:rPr>
                        <w:t>.</w:t>
                      </w:r>
                    </w:p>
                  </w:txbxContent>
                </v:textbox>
                <w10:wrap type="square" anchorx="margin"/>
              </v:shape>
            </w:pict>
          </mc:Fallback>
        </mc:AlternateContent>
      </w:r>
    </w:p>
    <w:p w14:paraId="488D2F07" w14:textId="6C9281D7" w:rsidR="000F7B55" w:rsidRPr="00A608EE" w:rsidRDefault="000F7B55" w:rsidP="00EE208A">
      <w:pPr>
        <w:jc w:val="both"/>
        <w:textAlignment w:val="baseline"/>
        <w:rPr>
          <w:rFonts w:asciiTheme="majorHAnsi" w:hAnsiTheme="majorHAnsi" w:cs="Calibri Light"/>
          <w:b/>
          <w:bCs/>
          <w:sz w:val="20"/>
          <w:szCs w:val="20"/>
        </w:rPr>
      </w:pPr>
      <w:r w:rsidRPr="00A608EE">
        <w:rPr>
          <w:rFonts w:asciiTheme="majorHAnsi" w:hAnsiTheme="majorHAnsi" w:cs="Calibri Light"/>
          <w:b/>
          <w:bCs/>
          <w:sz w:val="20"/>
          <w:szCs w:val="20"/>
        </w:rPr>
        <w:t>Scoring guidance</w:t>
      </w:r>
    </w:p>
    <w:p w14:paraId="176FBC29" w14:textId="77777777" w:rsidR="00FF685E" w:rsidRPr="00A608EE" w:rsidRDefault="00FF685E" w:rsidP="00EE208A">
      <w:pPr>
        <w:jc w:val="both"/>
        <w:textAlignment w:val="baseline"/>
        <w:rPr>
          <w:rFonts w:asciiTheme="majorHAnsi" w:hAnsiTheme="majorHAnsi" w:cs="Calibri Light"/>
          <w:b/>
          <w:bCs/>
          <w:sz w:val="20"/>
          <w:szCs w:val="20"/>
        </w:rPr>
      </w:pPr>
    </w:p>
    <w:p w14:paraId="6B51EC91" w14:textId="77777777" w:rsidR="000F7B55" w:rsidRPr="00A608EE" w:rsidRDefault="000F7B55" w:rsidP="00A27AAA">
      <w:pPr>
        <w:numPr>
          <w:ilvl w:val="0"/>
          <w:numId w:val="129"/>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For each detail, score ‘yes’, if the board:</w:t>
      </w:r>
    </w:p>
    <w:p w14:paraId="40ED6C63" w14:textId="77777777" w:rsidR="000F7B55" w:rsidRPr="00A608EE" w:rsidRDefault="000F7B55" w:rsidP="00A27AAA">
      <w:pPr>
        <w:numPr>
          <w:ilvl w:val="1"/>
          <w:numId w:val="129"/>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is provided with regular and timely (at least 1 week prior to board meetings), updated, complete, and well-analyzed data allowing for monitoring effectively the social strategy and</w:t>
      </w:r>
    </w:p>
    <w:p w14:paraId="6F63F997" w14:textId="77777777" w:rsidR="000F7B55" w:rsidRPr="00A608EE" w:rsidRDefault="000F7B55" w:rsidP="00A27AAA">
      <w:pPr>
        <w:numPr>
          <w:ilvl w:val="1"/>
          <w:numId w:val="129"/>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is taking the necessary efforts in studying the report(s) and data received and building its opinion during an informed discussion to take informed decisions.</w:t>
      </w:r>
    </w:p>
    <w:p w14:paraId="696AF7B6" w14:textId="77777777" w:rsidR="000F7B55" w:rsidRPr="00A608EE" w:rsidRDefault="000F7B55" w:rsidP="00A27AAA">
      <w:pPr>
        <w:numPr>
          <w:ilvl w:val="0"/>
          <w:numId w:val="129"/>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For each detail, score ‘partially’, if one of the above two conditions are not fully met (like the data submitted to the board is not regular, timely, updated, complete, and well- analyzed or the board does not take proper effort in monitoring the social strategy) or both conditions are not fully met.</w:t>
      </w:r>
    </w:p>
    <w:p w14:paraId="47ADE3A6" w14:textId="77777777" w:rsidR="000F7B55" w:rsidRPr="00A608EE" w:rsidRDefault="000F7B55" w:rsidP="00A27AAA">
      <w:pPr>
        <w:numPr>
          <w:ilvl w:val="0"/>
          <w:numId w:val="129"/>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For each detail, score ‘no’, if the above two conditions are met very poorly or if the board is passive despite receiving well-analyzed data regularly and in-time.</w:t>
      </w:r>
    </w:p>
    <w:p w14:paraId="42D5F176" w14:textId="77777777" w:rsidR="000F7B55" w:rsidRPr="00A608EE" w:rsidRDefault="000F7B55" w:rsidP="00EE208A">
      <w:pPr>
        <w:jc w:val="both"/>
        <w:textAlignment w:val="baseline"/>
        <w:rPr>
          <w:rFonts w:asciiTheme="majorHAnsi" w:hAnsiTheme="majorHAnsi" w:cs="Calibri Light"/>
          <w:sz w:val="20"/>
          <w:szCs w:val="20"/>
          <w:u w:val="single"/>
        </w:rPr>
      </w:pPr>
    </w:p>
    <w:p w14:paraId="75032BAC" w14:textId="4B6A29E4" w:rsidR="000F7B55" w:rsidRPr="00A608EE" w:rsidRDefault="000F7B55" w:rsidP="00EE208A">
      <w:pPr>
        <w:jc w:val="both"/>
        <w:textAlignment w:val="baseline"/>
        <w:rPr>
          <w:rFonts w:asciiTheme="majorHAnsi" w:hAnsiTheme="majorHAnsi" w:cs="Calibri Light"/>
          <w:sz w:val="20"/>
          <w:szCs w:val="20"/>
        </w:rPr>
      </w:pPr>
      <w:r w:rsidRPr="00A608EE">
        <w:rPr>
          <w:rFonts w:asciiTheme="majorHAnsi" w:hAnsiTheme="majorHAnsi" w:cs="Calibri Light"/>
          <w:sz w:val="20"/>
          <w:szCs w:val="20"/>
          <w:u w:val="single"/>
        </w:rPr>
        <w:t>Detail 2.A.3.2.1</w:t>
      </w:r>
    </w:p>
    <w:p w14:paraId="15AF538F" w14:textId="77777777" w:rsidR="000F7B55" w:rsidRPr="00A608EE" w:rsidRDefault="000F7B55" w:rsidP="00A27AAA">
      <w:pPr>
        <w:numPr>
          <w:ilvl w:val="0"/>
          <w:numId w:val="130"/>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To score ‘yes’ requires, in addition to the above two conditions, that the board receives client outcomes information which is analyzed based on in-depth quantitative and qualitative outcome data.</w:t>
      </w:r>
    </w:p>
    <w:p w14:paraId="022541FC" w14:textId="54C88FB2" w:rsidR="000F7B55" w:rsidRPr="00A608EE" w:rsidRDefault="000F7B55" w:rsidP="00A27AAA">
      <w:pPr>
        <w:numPr>
          <w:ilvl w:val="0"/>
          <w:numId w:val="130"/>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Score ‘partially’ or ‘no’, if the board is provided with mainly or just client output data and limited or no in-depth quantitative and qualitative outcomes data.</w:t>
      </w:r>
    </w:p>
    <w:p w14:paraId="2BBB4C48" w14:textId="77777777" w:rsidR="000F7B55" w:rsidRPr="00A608EE" w:rsidRDefault="000F7B55" w:rsidP="00EE208A">
      <w:pPr>
        <w:jc w:val="both"/>
        <w:textAlignment w:val="baseline"/>
        <w:rPr>
          <w:rFonts w:asciiTheme="majorHAnsi" w:hAnsiTheme="majorHAnsi" w:cs="Calibri Light"/>
          <w:sz w:val="20"/>
          <w:szCs w:val="20"/>
          <w:u w:val="single"/>
        </w:rPr>
      </w:pPr>
    </w:p>
    <w:p w14:paraId="6A611A64" w14:textId="3B970583" w:rsidR="000F7B55" w:rsidRPr="00A608EE" w:rsidRDefault="000F7B55" w:rsidP="00EE208A">
      <w:pPr>
        <w:jc w:val="both"/>
        <w:textAlignment w:val="baseline"/>
        <w:rPr>
          <w:rFonts w:asciiTheme="majorHAnsi" w:hAnsiTheme="majorHAnsi" w:cs="Calibri Light"/>
          <w:sz w:val="20"/>
          <w:szCs w:val="20"/>
        </w:rPr>
      </w:pPr>
      <w:r w:rsidRPr="00A608EE">
        <w:rPr>
          <w:rFonts w:asciiTheme="majorHAnsi" w:hAnsiTheme="majorHAnsi" w:cs="Calibri Light"/>
          <w:sz w:val="20"/>
          <w:szCs w:val="20"/>
          <w:u w:val="single"/>
        </w:rPr>
        <w:t>Detail 2.A.3.2.3</w:t>
      </w:r>
    </w:p>
    <w:p w14:paraId="2A3E50DD" w14:textId="571AFE2B" w:rsidR="000F7B55" w:rsidRPr="00A608EE" w:rsidRDefault="000F7B55" w:rsidP="00A27AAA">
      <w:pPr>
        <w:numPr>
          <w:ilvl w:val="0"/>
          <w:numId w:val="131"/>
        </w:numPr>
        <w:jc w:val="both"/>
        <w:textAlignment w:val="baseline"/>
        <w:rPr>
          <w:rFonts w:asciiTheme="majorHAnsi" w:hAnsiTheme="majorHAnsi" w:cs="Calibri Light"/>
          <w:sz w:val="20"/>
          <w:szCs w:val="20"/>
        </w:rPr>
      </w:pPr>
      <w:r w:rsidRPr="00A608EE">
        <w:rPr>
          <w:rFonts w:asciiTheme="majorHAnsi" w:hAnsiTheme="majorHAnsi" w:cs="Calibri Light"/>
          <w:sz w:val="20"/>
          <w:szCs w:val="20"/>
        </w:rPr>
        <w:t>To score ‘yes’ requires, in addition to the above two conditions, that the board has included how profits can be used to benefit clients or their local communities as part of its discussion of its last annual profit allocation.</w:t>
      </w:r>
    </w:p>
    <w:p w14:paraId="33B0F34C" w14:textId="77777777" w:rsidR="000F7B55" w:rsidRPr="00A608EE" w:rsidRDefault="000F7B55" w:rsidP="00A27AAA">
      <w:pPr>
        <w:numPr>
          <w:ilvl w:val="0"/>
          <w:numId w:val="131"/>
        </w:numPr>
        <w:jc w:val="both"/>
        <w:textAlignment w:val="baseline"/>
        <w:rPr>
          <w:rFonts w:asciiTheme="majorHAnsi" w:hAnsiTheme="majorHAnsi" w:cs="Calibri Light"/>
          <w:sz w:val="21"/>
          <w:szCs w:val="16"/>
        </w:rPr>
      </w:pPr>
      <w:r w:rsidRPr="00A608EE">
        <w:rPr>
          <w:rFonts w:asciiTheme="majorHAnsi" w:hAnsiTheme="majorHAnsi" w:cs="Calibri Light"/>
          <w:sz w:val="21"/>
          <w:szCs w:val="16"/>
        </w:rPr>
        <w:t>Score ‘partially’ or ‘no’, if the board has not discussed how profits can be used to benefit clients or their local communities when it decided on its last annual profit allocation.</w:t>
      </w:r>
    </w:p>
    <w:p w14:paraId="44A2FB7F" w14:textId="77777777" w:rsidR="000F7B55" w:rsidRPr="00A608EE" w:rsidRDefault="000F7B55" w:rsidP="00EE208A">
      <w:pPr>
        <w:jc w:val="both"/>
        <w:textAlignment w:val="baseline"/>
        <w:rPr>
          <w:rFonts w:asciiTheme="majorHAnsi" w:hAnsiTheme="majorHAnsi" w:cs="Calibri Light"/>
          <w:sz w:val="21"/>
          <w:szCs w:val="16"/>
        </w:rPr>
      </w:pPr>
    </w:p>
    <w:p w14:paraId="26726940" w14:textId="692ED4B4" w:rsidR="000F7B55" w:rsidRPr="00A608EE" w:rsidRDefault="000F7B55" w:rsidP="00EE208A">
      <w:pPr>
        <w:jc w:val="both"/>
        <w:textAlignment w:val="baseline"/>
        <w:rPr>
          <w:rFonts w:asciiTheme="majorHAnsi" w:hAnsiTheme="majorHAnsi" w:cs="Calibri Light"/>
          <w:b/>
          <w:bCs/>
          <w:sz w:val="21"/>
          <w:szCs w:val="16"/>
        </w:rPr>
      </w:pPr>
      <w:r w:rsidRPr="00A608EE">
        <w:rPr>
          <w:rFonts w:asciiTheme="majorHAnsi" w:hAnsiTheme="majorHAnsi" w:cs="Calibri Light"/>
          <w:b/>
          <w:bCs/>
          <w:sz w:val="21"/>
          <w:szCs w:val="16"/>
        </w:rPr>
        <w:t>Sources of information</w:t>
      </w:r>
    </w:p>
    <w:p w14:paraId="0E3C9066" w14:textId="77777777" w:rsidR="000F7B55" w:rsidRPr="00A608EE" w:rsidRDefault="000F7B55" w:rsidP="00A27AAA">
      <w:pPr>
        <w:numPr>
          <w:ilvl w:val="0"/>
          <w:numId w:val="132"/>
        </w:numPr>
        <w:jc w:val="both"/>
        <w:textAlignment w:val="baseline"/>
        <w:rPr>
          <w:rFonts w:asciiTheme="majorHAnsi" w:hAnsiTheme="majorHAnsi" w:cs="Calibri Light"/>
          <w:sz w:val="21"/>
          <w:szCs w:val="16"/>
        </w:rPr>
      </w:pPr>
      <w:r w:rsidRPr="00A608EE">
        <w:rPr>
          <w:rFonts w:asciiTheme="majorHAnsi" w:hAnsiTheme="majorHAnsi" w:cs="Calibri Light"/>
          <w:sz w:val="21"/>
          <w:szCs w:val="16"/>
        </w:rPr>
        <w:t>Board minutes, incl. the SEPM reports submitted to the Board</w:t>
      </w:r>
    </w:p>
    <w:p w14:paraId="447C4BDB" w14:textId="77777777" w:rsidR="000F7B55" w:rsidRPr="00A608EE" w:rsidRDefault="000F7B55" w:rsidP="00A27AAA">
      <w:pPr>
        <w:numPr>
          <w:ilvl w:val="0"/>
          <w:numId w:val="132"/>
        </w:numPr>
        <w:jc w:val="both"/>
        <w:textAlignment w:val="baseline"/>
        <w:rPr>
          <w:rFonts w:asciiTheme="majorHAnsi" w:hAnsiTheme="majorHAnsi" w:cs="Calibri Light"/>
          <w:sz w:val="21"/>
          <w:szCs w:val="16"/>
        </w:rPr>
      </w:pPr>
      <w:r w:rsidRPr="00A608EE">
        <w:rPr>
          <w:rFonts w:asciiTheme="majorHAnsi" w:hAnsiTheme="majorHAnsi" w:cs="Calibri Light"/>
          <w:sz w:val="21"/>
          <w:szCs w:val="16"/>
        </w:rPr>
        <w:t>Interviews with board members</w:t>
      </w:r>
    </w:p>
    <w:p w14:paraId="6F76F03D" w14:textId="77777777" w:rsidR="000F7B55" w:rsidRPr="00A608EE" w:rsidRDefault="000F7B55" w:rsidP="00A27AAA">
      <w:pPr>
        <w:numPr>
          <w:ilvl w:val="0"/>
          <w:numId w:val="132"/>
        </w:numPr>
        <w:jc w:val="both"/>
        <w:textAlignment w:val="baseline"/>
        <w:rPr>
          <w:rFonts w:asciiTheme="majorHAnsi" w:hAnsiTheme="majorHAnsi" w:cs="Calibri Light"/>
          <w:sz w:val="21"/>
          <w:szCs w:val="16"/>
        </w:rPr>
      </w:pPr>
      <w:r w:rsidRPr="00A608EE">
        <w:rPr>
          <w:rFonts w:asciiTheme="majorHAnsi" w:hAnsiTheme="majorHAnsi" w:cs="Calibri Light"/>
          <w:sz w:val="21"/>
          <w:szCs w:val="16"/>
        </w:rPr>
        <w:t>Interviews with CEO/managing director and Internal Audit manager</w:t>
      </w:r>
    </w:p>
    <w:p w14:paraId="3379F814" w14:textId="77777777" w:rsidR="000F7B55" w:rsidRPr="00A608EE" w:rsidRDefault="000F7B55" w:rsidP="00EE208A">
      <w:pPr>
        <w:jc w:val="both"/>
        <w:textAlignment w:val="baseline"/>
        <w:rPr>
          <w:rFonts w:asciiTheme="majorHAnsi" w:hAnsiTheme="majorHAnsi" w:cs="Calibri Light"/>
          <w:szCs w:val="20"/>
        </w:rPr>
      </w:pPr>
    </w:p>
    <w:p w14:paraId="70AB6D46" w14:textId="77777777" w:rsidR="004A1E7D" w:rsidRPr="00A608EE" w:rsidRDefault="004A1E7D" w:rsidP="00EE208A">
      <w:pPr>
        <w:jc w:val="both"/>
        <w:textAlignment w:val="baseline"/>
        <w:rPr>
          <w:rFonts w:asciiTheme="majorHAnsi" w:hAnsiTheme="majorHAnsi" w:cs="Calibri Light"/>
          <w:b/>
          <w:bCs/>
          <w:sz w:val="20"/>
          <w:szCs w:val="20"/>
        </w:rPr>
      </w:pPr>
    </w:p>
    <w:p w14:paraId="254D3A05" w14:textId="77777777" w:rsidR="00DA3ABE" w:rsidRPr="00A608EE" w:rsidRDefault="00DA3ABE" w:rsidP="00EE208A">
      <w:pPr>
        <w:jc w:val="both"/>
        <w:textAlignment w:val="baseline"/>
        <w:rPr>
          <w:rFonts w:asciiTheme="majorHAnsi" w:hAnsiTheme="majorHAnsi" w:cs="Calibri Light"/>
          <w:b/>
          <w:bCs/>
          <w:sz w:val="20"/>
          <w:szCs w:val="20"/>
        </w:rPr>
      </w:pPr>
    </w:p>
    <w:p w14:paraId="0594D0FA" w14:textId="77777777" w:rsidR="00DA3ABE" w:rsidRPr="00A608EE" w:rsidRDefault="00DA3ABE" w:rsidP="00EE208A">
      <w:pPr>
        <w:jc w:val="both"/>
        <w:textAlignment w:val="baseline"/>
        <w:rPr>
          <w:rFonts w:asciiTheme="majorHAnsi" w:hAnsiTheme="majorHAnsi" w:cs="Calibri Light"/>
          <w:b/>
          <w:bCs/>
          <w:sz w:val="20"/>
          <w:szCs w:val="20"/>
        </w:rPr>
      </w:pPr>
    </w:p>
    <w:p w14:paraId="40EB52A4" w14:textId="0625BC0A" w:rsidR="000F7B55" w:rsidRPr="00A608EE" w:rsidRDefault="000F7B55" w:rsidP="00EE208A">
      <w:pPr>
        <w:jc w:val="both"/>
        <w:textAlignment w:val="baseline"/>
        <w:rPr>
          <w:rFonts w:asciiTheme="majorHAnsi" w:hAnsiTheme="majorHAnsi" w:cs="Calibri Light"/>
          <w:b/>
          <w:bCs/>
          <w:sz w:val="20"/>
          <w:szCs w:val="20"/>
        </w:rPr>
      </w:pPr>
      <w:r w:rsidRPr="00A608EE">
        <w:rPr>
          <w:rFonts w:asciiTheme="majorHAnsi" w:hAnsiTheme="majorHAnsi" w:cs="Calibri Light"/>
          <w:b/>
          <w:bCs/>
          <w:sz w:val="20"/>
          <w:szCs w:val="20"/>
        </w:rPr>
        <w:t>Evidence to provide</w:t>
      </w:r>
    </w:p>
    <w:p w14:paraId="1ECE286F" w14:textId="77777777" w:rsidR="000F7B55" w:rsidRPr="00A608EE" w:rsidRDefault="000F7B55" w:rsidP="00EE208A">
      <w:pPr>
        <w:jc w:val="both"/>
        <w:textAlignment w:val="baseline"/>
        <w:rPr>
          <w:rFonts w:asciiTheme="majorHAnsi" w:hAnsiTheme="majorHAnsi" w:cs="Calibri Light"/>
          <w:sz w:val="20"/>
          <w:szCs w:val="20"/>
        </w:rPr>
      </w:pPr>
      <w:r w:rsidRPr="00A608EE">
        <w:rPr>
          <w:rFonts w:asciiTheme="majorHAnsi" w:hAnsiTheme="majorHAnsi" w:cs="Calibri Light"/>
          <w:sz w:val="20"/>
          <w:szCs w:val="20"/>
        </w:rPr>
        <w:t>At least once a year, the board minutes should reflect discussions on the topics listed in the details, based on updates from management and reports. Once every three years for an external social audit or a social rating.</w:t>
      </w:r>
    </w:p>
    <w:p w14:paraId="65F1EF68" w14:textId="77777777" w:rsidR="000F7B55" w:rsidRPr="00A608EE" w:rsidRDefault="000F7B55" w:rsidP="00EE208A">
      <w:pPr>
        <w:jc w:val="both"/>
        <w:textAlignment w:val="baseline"/>
        <w:rPr>
          <w:rFonts w:asciiTheme="majorHAnsi" w:hAnsiTheme="majorHAnsi" w:cs="Calibri Light"/>
          <w:sz w:val="20"/>
          <w:szCs w:val="20"/>
        </w:rPr>
      </w:pPr>
      <w:r w:rsidRPr="00A608EE">
        <w:rPr>
          <w:rFonts w:asciiTheme="majorHAnsi" w:hAnsiTheme="majorHAnsi" w:cs="Calibri Light"/>
          <w:sz w:val="20"/>
          <w:szCs w:val="20"/>
        </w:rPr>
        <w:t>Field examples / Guidance for implementation</w:t>
      </w:r>
    </w:p>
    <w:p w14:paraId="0810C8D3" w14:textId="77777777" w:rsidR="000F7B55" w:rsidRPr="00A608EE" w:rsidRDefault="000F7B55" w:rsidP="00EE208A">
      <w:pPr>
        <w:jc w:val="both"/>
        <w:textAlignment w:val="baseline"/>
        <w:rPr>
          <w:rFonts w:asciiTheme="majorHAnsi" w:hAnsiTheme="majorHAnsi" w:cs="Calibri Light"/>
          <w:sz w:val="20"/>
          <w:szCs w:val="20"/>
        </w:rPr>
      </w:pPr>
      <w:r w:rsidRPr="00A608EE">
        <w:rPr>
          <w:rFonts w:asciiTheme="majorHAnsi" w:hAnsiTheme="majorHAnsi" w:cs="Calibri Light"/>
          <w:sz w:val="20"/>
          <w:szCs w:val="20"/>
        </w:rPr>
        <w:t>Decisions on dividend distribution, donations to the community, plans to reduce interest rates, etc. are examples of how the board can use profits to reach its social strategy.</w:t>
      </w:r>
    </w:p>
    <w:p w14:paraId="7CEAE6A5" w14:textId="77777777" w:rsidR="000F7B55" w:rsidRPr="00A608EE" w:rsidRDefault="000F7B55" w:rsidP="00EE208A">
      <w:pPr>
        <w:jc w:val="both"/>
        <w:textAlignment w:val="baseline"/>
        <w:rPr>
          <w:rFonts w:asciiTheme="majorHAnsi" w:hAnsiTheme="majorHAnsi" w:cs="Calibri Light"/>
          <w:sz w:val="20"/>
          <w:szCs w:val="15"/>
        </w:rPr>
      </w:pPr>
    </w:p>
    <w:p w14:paraId="1F3DD2F6" w14:textId="5A9F4613" w:rsidR="00E90D16" w:rsidRPr="00A608EE" w:rsidRDefault="000F7B55" w:rsidP="00EE208A">
      <w:pPr>
        <w:jc w:val="both"/>
        <w:textAlignment w:val="baseline"/>
        <w:rPr>
          <w:rFonts w:asciiTheme="majorHAnsi" w:hAnsiTheme="majorHAnsi" w:cs="Calibri Light"/>
          <w:b/>
          <w:bCs/>
          <w:sz w:val="20"/>
          <w:szCs w:val="15"/>
        </w:rPr>
      </w:pPr>
      <w:r w:rsidRPr="00A608EE">
        <w:rPr>
          <w:rFonts w:asciiTheme="majorHAnsi" w:hAnsiTheme="majorHAnsi" w:cs="Calibri Light"/>
          <w:b/>
          <w:bCs/>
          <w:sz w:val="20"/>
          <w:szCs w:val="15"/>
        </w:rPr>
        <w:t>Resources for indicator 2.A.3.2</w:t>
      </w:r>
    </w:p>
    <w:p w14:paraId="4FCB6475" w14:textId="77777777" w:rsidR="00B44ACA" w:rsidRPr="00A608EE" w:rsidRDefault="00B44ACA" w:rsidP="00A27AAA">
      <w:pPr>
        <w:pStyle w:val="ListParagraph"/>
        <w:numPr>
          <w:ilvl w:val="0"/>
          <w:numId w:val="58"/>
        </w:numPr>
        <w:shd w:val="clear" w:color="auto" w:fill="FFFFFF"/>
        <w:spacing w:after="0" w:line="240" w:lineRule="auto"/>
        <w:jc w:val="both"/>
        <w:rPr>
          <w:rStyle w:val="Hyperlink"/>
          <w:szCs w:val="20"/>
        </w:rPr>
      </w:pPr>
      <w:hyperlink r:id="rId91" w:history="1">
        <w:r w:rsidRPr="00A608EE">
          <w:rPr>
            <w:rStyle w:val="Hyperlink"/>
            <w:rFonts w:ascii="Work Sans" w:hAnsi="Work Sans"/>
            <w:szCs w:val="20"/>
          </w:rPr>
          <w:t>Khushhali Bank Reports Using a Social Dashboard</w:t>
        </w:r>
      </w:hyperlink>
    </w:p>
    <w:p w14:paraId="48D9BD3C" w14:textId="77777777" w:rsidR="00B44ACA" w:rsidRPr="00A608EE" w:rsidRDefault="00B44ACA">
      <w:pPr>
        <w:numPr>
          <w:ilvl w:val="0"/>
          <w:numId w:val="4"/>
        </w:numPr>
        <w:shd w:val="clear" w:color="auto" w:fill="FFFFFF"/>
        <w:jc w:val="both"/>
        <w:rPr>
          <w:rFonts w:ascii="Work Sans" w:hAnsi="Work Sans"/>
          <w:color w:val="2A3049"/>
          <w:sz w:val="20"/>
          <w:szCs w:val="20"/>
        </w:rPr>
      </w:pPr>
      <w:hyperlink r:id="rId92" w:history="1">
        <w:r w:rsidRPr="00A608EE">
          <w:rPr>
            <w:rStyle w:val="Hyperlink"/>
            <w:rFonts w:ascii="Work Sans" w:hAnsi="Work Sans"/>
            <w:sz w:val="20"/>
            <w:szCs w:val="20"/>
          </w:rPr>
          <w:t>Fundacion Génesis Empresarial Reports to Board on SPM Progress</w:t>
        </w:r>
      </w:hyperlink>
    </w:p>
    <w:p w14:paraId="643D93BE" w14:textId="77777777" w:rsidR="00B44ACA" w:rsidRPr="00A608EE" w:rsidRDefault="00B44ACA">
      <w:pPr>
        <w:numPr>
          <w:ilvl w:val="0"/>
          <w:numId w:val="4"/>
        </w:numPr>
        <w:shd w:val="clear" w:color="auto" w:fill="FFFFFF"/>
        <w:jc w:val="both"/>
        <w:rPr>
          <w:rStyle w:val="Hyperlink"/>
          <w:rFonts w:ascii="Work Sans" w:hAnsi="Work Sans"/>
          <w:color w:val="2A3049"/>
          <w:sz w:val="20"/>
          <w:szCs w:val="20"/>
          <w:u w:val="none"/>
        </w:rPr>
      </w:pPr>
      <w:hyperlink r:id="rId93" w:tgtFrame="_blank" w:history="1">
        <w:r w:rsidRPr="00A608EE">
          <w:rPr>
            <w:rStyle w:val="Hyperlink"/>
            <w:rFonts w:ascii="Work Sans" w:hAnsi="Work Sans"/>
            <w:sz w:val="20"/>
            <w:szCs w:val="20"/>
          </w:rPr>
          <w:t>ASKI Uses a Social Dashboard for Board Reports</w:t>
        </w:r>
      </w:hyperlink>
    </w:p>
    <w:p w14:paraId="1DD7E5E7" w14:textId="77777777" w:rsidR="0014494F" w:rsidRPr="00A608EE" w:rsidRDefault="0014494F" w:rsidP="00EE208A">
      <w:pPr>
        <w:pStyle w:val="paragraph"/>
        <w:spacing w:before="0" w:beforeAutospacing="0" w:after="0" w:afterAutospacing="0"/>
        <w:jc w:val="both"/>
        <w:textAlignment w:val="baseline"/>
        <w:rPr>
          <w:rStyle w:val="eop"/>
          <w:rFonts w:asciiTheme="majorHAnsi" w:hAnsiTheme="majorHAnsi"/>
          <w:sz w:val="20"/>
          <w:szCs w:val="20"/>
        </w:rPr>
      </w:pPr>
    </w:p>
    <w:p w14:paraId="050B8B04" w14:textId="77777777" w:rsidR="0008096C" w:rsidRPr="00A608EE" w:rsidRDefault="0008096C" w:rsidP="00EE208A">
      <w:pPr>
        <w:pStyle w:val="paragraph"/>
        <w:spacing w:before="0" w:beforeAutospacing="0" w:after="0" w:afterAutospacing="0"/>
        <w:jc w:val="both"/>
        <w:textAlignment w:val="baseline"/>
        <w:rPr>
          <w:rStyle w:val="eop"/>
          <w:rFonts w:asciiTheme="majorHAnsi" w:hAnsiTheme="majorHAnsi"/>
          <w:sz w:val="20"/>
          <w:szCs w:val="20"/>
        </w:rPr>
      </w:pPr>
    </w:p>
    <w:p w14:paraId="4018AF15" w14:textId="461C7F23" w:rsidR="005856DE" w:rsidRPr="00A608EE" w:rsidRDefault="005856DE" w:rsidP="00EE208A">
      <w:pPr>
        <w:pStyle w:val="Heading4"/>
        <w:spacing w:before="0" w:line="240" w:lineRule="auto"/>
        <w:jc w:val="both"/>
      </w:pPr>
      <w:r w:rsidRPr="00A608EE">
        <w:rPr>
          <w:rStyle w:val="normaltextrun"/>
        </w:rPr>
        <w:t xml:space="preserve">2.A.3.3 </w:t>
      </w:r>
      <w:r w:rsidR="001A2009" w:rsidRPr="00A608EE">
        <w:rPr>
          <w:rStyle w:val="normaltextrun"/>
        </w:rPr>
        <w:t>The board uses the following data, provided by management, to monitor decent working conditions for employees (with the listed minimum frequency)</w:t>
      </w:r>
      <w:r w:rsidR="00A15145" w:rsidRPr="00A608EE">
        <w:rPr>
          <w:rStyle w:val="normaltextrun"/>
        </w:rPr>
        <w:t>:</w:t>
      </w:r>
    </w:p>
    <w:p w14:paraId="1671F042" w14:textId="192EECA7" w:rsidR="001A2009" w:rsidRPr="00A608EE" w:rsidRDefault="001A2009" w:rsidP="00EE208A">
      <w:pPr>
        <w:pStyle w:val="Heading5"/>
        <w:spacing w:line="240" w:lineRule="auto"/>
        <w:ind w:left="708"/>
        <w:jc w:val="both"/>
        <w:rPr>
          <w:rStyle w:val="normaltextrun"/>
          <w:i/>
          <w:color w:val="auto"/>
          <w:szCs w:val="20"/>
        </w:rPr>
      </w:pPr>
      <w:r w:rsidRPr="00A608EE">
        <w:rPr>
          <w:rStyle w:val="normaltextrun"/>
          <w:i/>
          <w:color w:val="auto"/>
          <w:szCs w:val="20"/>
        </w:rPr>
        <w:t>2.A.3.3.1 Employee turnover rate, by gender. Minimum frequency: annually.</w:t>
      </w:r>
    </w:p>
    <w:p w14:paraId="549F2C24" w14:textId="2C1ABF70" w:rsidR="00475D61" w:rsidRPr="00A608EE" w:rsidRDefault="001A2009" w:rsidP="00EE208A">
      <w:pPr>
        <w:pStyle w:val="Heading5"/>
        <w:spacing w:before="0" w:line="240" w:lineRule="auto"/>
        <w:ind w:left="708"/>
        <w:jc w:val="both"/>
        <w:rPr>
          <w:rStyle w:val="eop"/>
          <w:i/>
          <w:iCs/>
          <w:color w:val="auto"/>
          <w:szCs w:val="20"/>
        </w:rPr>
      </w:pPr>
      <w:r w:rsidRPr="00A608EE">
        <w:rPr>
          <w:rStyle w:val="normaltextrun"/>
          <w:i/>
          <w:color w:val="auto"/>
          <w:szCs w:val="20"/>
        </w:rPr>
        <w:t>2.A.3.3.2 Analysis of employee satisfaction surveys. Minimum frequency: every two years.</w:t>
      </w:r>
    </w:p>
    <w:p w14:paraId="02413EBA" w14:textId="77777777" w:rsidR="00DF3F48" w:rsidRPr="00A608EE" w:rsidRDefault="00DF3F48" w:rsidP="00EE208A">
      <w:pPr>
        <w:jc w:val="both"/>
        <w:rPr>
          <w:rFonts w:asciiTheme="majorHAnsi" w:hAnsiTheme="majorHAnsi"/>
          <w:szCs w:val="20"/>
        </w:rPr>
      </w:pPr>
    </w:p>
    <w:p w14:paraId="7A7B9BB4" w14:textId="6E08463C" w:rsidR="00CD5021" w:rsidRPr="00A608EE" w:rsidRDefault="004F5FC3" w:rsidP="00EE208A">
      <w:pPr>
        <w:pStyle w:val="paragraph"/>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CD5021" w:rsidRPr="00A608EE">
        <w:rPr>
          <w:rFonts w:asciiTheme="majorHAnsi" w:hAnsiTheme="majorHAnsi"/>
          <w:b/>
          <w:bCs/>
          <w:color w:val="2145CC" w:themeColor="accent5" w:themeShade="BF"/>
          <w:sz w:val="20"/>
          <w:szCs w:val="20"/>
        </w:rPr>
        <w:t>ESG Risk</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CD5021" w:rsidRPr="00A608EE">
        <w:rPr>
          <w:rFonts w:asciiTheme="majorHAnsi" w:hAnsiTheme="majorHAnsi"/>
          <w:b/>
          <w:bCs/>
          <w:color w:val="2145CC" w:themeColor="accent5" w:themeShade="BF"/>
          <w:sz w:val="20"/>
          <w:szCs w:val="20"/>
        </w:rPr>
        <w:t>ALINUS</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CD5021"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CD5021" w:rsidRPr="00A608EE">
        <w:rPr>
          <w:rFonts w:asciiTheme="majorHAnsi" w:hAnsiTheme="majorHAnsi"/>
          <w:b/>
          <w:bCs/>
          <w:color w:val="2145CC" w:themeColor="accent5" w:themeShade="BF"/>
          <w:sz w:val="20"/>
          <w:szCs w:val="20"/>
        </w:rPr>
        <w:t>SPI5 Full </w:t>
      </w:r>
      <w:r w:rsidR="004A48FF" w:rsidRPr="00A608EE">
        <w:rPr>
          <w:rFonts w:ascii="Work Sans" w:hAnsi="Work Sans"/>
          <w:b/>
          <w:bCs/>
          <w:color w:val="2145CC" w:themeColor="accent5" w:themeShade="BF"/>
          <w:sz w:val="20"/>
          <w:szCs w:val="20"/>
        </w:rPr>
        <w:t>| DI Focus</w:t>
      </w:r>
    </w:p>
    <w:p w14:paraId="73114CA3" w14:textId="1E87464F" w:rsidR="00CD5021" w:rsidRPr="00A608EE" w:rsidRDefault="00CD5021"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r w:rsidR="004E7EB1" w:rsidRPr="00A608EE">
        <w:rPr>
          <w:rFonts w:asciiTheme="majorHAnsi" w:hAnsiTheme="majorHAnsi"/>
          <w:sz w:val="20"/>
          <w:szCs w:val="20"/>
        </w:rPr>
        <w:t> </w:t>
      </w:r>
    </w:p>
    <w:p w14:paraId="09420F59"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Employee turnover rate is an indication of employees’ (dis)satisfaction. It is a potential proxy for decent work conditions. The provider should monitor turnover and understand the reasons for employee exit by analyzing employee exit surveys/interview responses. Analyzing turnover by gender can help identify conditions in the workplace that discriminate against women or create a difficult or hostile environment for them.</w:t>
      </w:r>
    </w:p>
    <w:p w14:paraId="465385B9"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Monitoring employee satisfaction can also help ensure the smooth functioning of a team and sends a message that the top management values employee feedback.</w:t>
      </w:r>
    </w:p>
    <w:p w14:paraId="7702522D" w14:textId="77777777" w:rsidR="00672763" w:rsidRPr="00A608EE" w:rsidRDefault="00672763" w:rsidP="00EE208A">
      <w:pPr>
        <w:pStyle w:val="paragraph"/>
        <w:spacing w:before="0" w:beforeAutospacing="0" w:after="0" w:afterAutospacing="0"/>
        <w:jc w:val="both"/>
        <w:textAlignment w:val="baseline"/>
        <w:rPr>
          <w:rFonts w:asciiTheme="majorHAnsi" w:hAnsiTheme="majorHAnsi"/>
          <w:sz w:val="20"/>
          <w:szCs w:val="20"/>
        </w:rPr>
      </w:pPr>
    </w:p>
    <w:p w14:paraId="20311C9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13888" behindDoc="1" locked="0" layoutInCell="1" allowOverlap="1" wp14:anchorId="1722D334" wp14:editId="206425E5">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304518733"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A642F02" w14:textId="16AC94B0" w:rsidR="00FF685E" w:rsidRPr="00A608EE" w:rsidRDefault="00FC6779" w:rsidP="00FF685E">
      <w:pPr>
        <w:pStyle w:val="paragraph"/>
        <w:spacing w:after="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F685E" w:rsidRPr="00A608EE">
        <w:rPr>
          <w:rFonts w:asciiTheme="majorHAnsi" w:hAnsiTheme="majorHAnsi"/>
          <w:sz w:val="20"/>
          <w:szCs w:val="20"/>
        </w:rPr>
        <w:t>The board uses the following data, provided by management, to monitor decent working conditions for employees (with the listed minimum frequency):</w:t>
      </w:r>
    </w:p>
    <w:p w14:paraId="32378685" w14:textId="0DDE123C" w:rsidR="00FF685E" w:rsidRPr="00A608EE" w:rsidRDefault="00FF685E" w:rsidP="00373807">
      <w:pPr>
        <w:pStyle w:val="paragraph"/>
        <w:numPr>
          <w:ilvl w:val="0"/>
          <w:numId w:val="389"/>
        </w:numPr>
        <w:jc w:val="both"/>
        <w:textAlignment w:val="baseline"/>
        <w:rPr>
          <w:rFonts w:asciiTheme="majorHAnsi" w:hAnsiTheme="majorHAnsi"/>
          <w:sz w:val="20"/>
          <w:szCs w:val="20"/>
        </w:rPr>
      </w:pPr>
      <w:r w:rsidRPr="00A608EE">
        <w:rPr>
          <w:rFonts w:asciiTheme="majorHAnsi" w:hAnsiTheme="majorHAnsi"/>
          <w:sz w:val="20"/>
          <w:szCs w:val="20"/>
        </w:rPr>
        <w:t>Employee turnover rate, by gender and disability status. Minimum frequency: annually.</w:t>
      </w:r>
    </w:p>
    <w:p w14:paraId="70DC9A2D" w14:textId="1BEA1A29" w:rsidR="001A2009" w:rsidRPr="00A608EE" w:rsidRDefault="00FF685E" w:rsidP="00A27AAA">
      <w:pPr>
        <w:pStyle w:val="paragraph"/>
        <w:numPr>
          <w:ilvl w:val="0"/>
          <w:numId w:val="389"/>
        </w:numPr>
        <w:spacing w:after="0"/>
        <w:jc w:val="both"/>
        <w:textAlignment w:val="baseline"/>
        <w:rPr>
          <w:rFonts w:asciiTheme="majorHAnsi" w:hAnsiTheme="majorHAnsi"/>
          <w:sz w:val="20"/>
          <w:szCs w:val="20"/>
        </w:rPr>
      </w:pPr>
      <w:r w:rsidRPr="00A608EE">
        <w:rPr>
          <w:rFonts w:asciiTheme="majorHAnsi" w:hAnsiTheme="majorHAnsi"/>
          <w:sz w:val="20"/>
          <w:szCs w:val="20"/>
        </w:rPr>
        <w:t>Analysis of employee satisfaction surveys, disaggregated by gender and disability status. Minimum frequency: every two years.</w:t>
      </w:r>
    </w:p>
    <w:p w14:paraId="0D3DF37C" w14:textId="499B962A" w:rsidR="001A2009" w:rsidRPr="00A608EE" w:rsidRDefault="001A200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Scoring guidance</w:t>
      </w:r>
    </w:p>
    <w:p w14:paraId="1CB29764" w14:textId="77777777" w:rsidR="001A2009" w:rsidRPr="00A608EE" w:rsidRDefault="001A2009" w:rsidP="00A27AAA">
      <w:pPr>
        <w:pStyle w:val="paragraph"/>
        <w:numPr>
          <w:ilvl w:val="0"/>
          <w:numId w:val="13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For each detail, score ‘yes’, if the board is provided for decision-making with</w:t>
      </w:r>
    </w:p>
    <w:p w14:paraId="0A66ABC7" w14:textId="77777777" w:rsidR="001A2009" w:rsidRPr="00A608EE" w:rsidRDefault="001A2009" w:rsidP="00A27AAA">
      <w:pPr>
        <w:pStyle w:val="paragraph"/>
        <w:numPr>
          <w:ilvl w:val="1"/>
          <w:numId w:val="13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At least annual staff turnover data and analysis, consistent, broken down by at least gender, and</w:t>
      </w:r>
    </w:p>
    <w:p w14:paraId="1FD8999B" w14:textId="77777777" w:rsidR="001A2009" w:rsidRPr="00A608EE" w:rsidRDefault="001A2009" w:rsidP="00A27AAA">
      <w:pPr>
        <w:pStyle w:val="paragraph"/>
        <w:numPr>
          <w:ilvl w:val="1"/>
          <w:numId w:val="13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With at least every 2 years statistically representative staff satisfaction reports/analysis broken down by at least gender.</w:t>
      </w:r>
    </w:p>
    <w:p w14:paraId="53899E82" w14:textId="77777777" w:rsidR="001A2009" w:rsidRPr="00A608EE" w:rsidRDefault="001A2009" w:rsidP="00A27AAA">
      <w:pPr>
        <w:pStyle w:val="paragraph"/>
        <w:numPr>
          <w:ilvl w:val="0"/>
          <w:numId w:val="13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For each detail, score ‘partially’, if the above two conditions are not fully met.</w:t>
      </w:r>
    </w:p>
    <w:p w14:paraId="6192BAD7" w14:textId="77777777" w:rsidR="001A2009" w:rsidRPr="00A608EE" w:rsidRDefault="2975F0E7" w:rsidP="00A27AAA">
      <w:pPr>
        <w:pStyle w:val="paragraph"/>
        <w:numPr>
          <w:ilvl w:val="0"/>
          <w:numId w:val="133"/>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For each detail, score ‘no’ , if the above two conditions are largely not met.</w:t>
      </w:r>
    </w:p>
    <w:p w14:paraId="4165D797"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u w:val="single"/>
        </w:rPr>
      </w:pPr>
    </w:p>
    <w:p w14:paraId="5516AD3C" w14:textId="5A13B724"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u w:val="single"/>
        </w:rPr>
        <w:t>Detail 2.A.3.3.1</w:t>
      </w:r>
    </w:p>
    <w:p w14:paraId="6200BC8C" w14:textId="77777777" w:rsidR="001A2009" w:rsidRPr="00A608EE" w:rsidRDefault="001A2009" w:rsidP="00A27AAA">
      <w:pPr>
        <w:pStyle w:val="paragraph"/>
        <w:numPr>
          <w:ilvl w:val="0"/>
          <w:numId w:val="134"/>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‘partially’ or ‘no’, if the employee turnover rate has not been discussed in the last 12 months or the results were not analyzed by gender or were not shared with employees.</w:t>
      </w:r>
    </w:p>
    <w:p w14:paraId="2B36D217"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u w:val="single"/>
        </w:rPr>
      </w:pPr>
    </w:p>
    <w:p w14:paraId="5DEC27AB" w14:textId="77777777" w:rsidR="00DA3ABE" w:rsidRPr="00A608EE" w:rsidRDefault="00DA3ABE" w:rsidP="00EE208A">
      <w:pPr>
        <w:pStyle w:val="paragraph"/>
        <w:spacing w:before="0" w:beforeAutospacing="0" w:after="0" w:afterAutospacing="0"/>
        <w:jc w:val="both"/>
        <w:textAlignment w:val="baseline"/>
        <w:rPr>
          <w:rFonts w:asciiTheme="majorHAnsi" w:hAnsiTheme="majorHAnsi"/>
          <w:sz w:val="20"/>
          <w:szCs w:val="20"/>
          <w:u w:val="single"/>
        </w:rPr>
      </w:pPr>
    </w:p>
    <w:p w14:paraId="514E3A53" w14:textId="7B0C8AD4"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u w:val="single"/>
        </w:rPr>
        <w:t>Detail 2.A.3.3.1</w:t>
      </w:r>
    </w:p>
    <w:p w14:paraId="41205878" w14:textId="77777777" w:rsidR="001A2009" w:rsidRPr="00A608EE" w:rsidRDefault="001A2009" w:rsidP="00A27AAA">
      <w:pPr>
        <w:pStyle w:val="paragraph"/>
        <w:numPr>
          <w:ilvl w:val="0"/>
          <w:numId w:val="135"/>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Score ‘partially’ or ‘no’, if an employee satisfaction survey has been done in the last 2 years or the results were not analyzed by gender or were not shared with employees.</w:t>
      </w:r>
    </w:p>
    <w:p w14:paraId="6DDEAA8B"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p>
    <w:p w14:paraId="10EED707" w14:textId="7126858F" w:rsidR="001A2009" w:rsidRPr="00A608EE" w:rsidRDefault="001A200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Sources of information</w:t>
      </w:r>
    </w:p>
    <w:p w14:paraId="35BBDC71" w14:textId="77777777" w:rsidR="001A2009" w:rsidRPr="00A608EE" w:rsidRDefault="001A2009" w:rsidP="00A27AAA">
      <w:pPr>
        <w:pStyle w:val="paragraph"/>
        <w:numPr>
          <w:ilvl w:val="0"/>
          <w:numId w:val="13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Board minutes, incl. the staff turnover/ staff satisfaction reports submitted to the Board</w:t>
      </w:r>
    </w:p>
    <w:p w14:paraId="0304BE09" w14:textId="77777777" w:rsidR="001A2009" w:rsidRPr="00A608EE" w:rsidRDefault="001A2009" w:rsidP="00A27AAA">
      <w:pPr>
        <w:pStyle w:val="paragraph"/>
        <w:numPr>
          <w:ilvl w:val="0"/>
          <w:numId w:val="13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Staff turnover analysis, staff exit survey reports</w:t>
      </w:r>
    </w:p>
    <w:p w14:paraId="67FB10B8" w14:textId="77777777" w:rsidR="001A2009" w:rsidRPr="00A608EE" w:rsidRDefault="001A2009" w:rsidP="00A27AAA">
      <w:pPr>
        <w:pStyle w:val="paragraph"/>
        <w:numPr>
          <w:ilvl w:val="0"/>
          <w:numId w:val="13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HR policy</w:t>
      </w:r>
    </w:p>
    <w:p w14:paraId="25BD5E8E" w14:textId="77777777" w:rsidR="001A2009" w:rsidRPr="00A608EE" w:rsidRDefault="001A2009" w:rsidP="00A27AAA">
      <w:pPr>
        <w:pStyle w:val="paragraph"/>
        <w:numPr>
          <w:ilvl w:val="0"/>
          <w:numId w:val="13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Employee satisfaction survey and report</w:t>
      </w:r>
    </w:p>
    <w:p w14:paraId="6CE133CB" w14:textId="77777777" w:rsidR="001A2009" w:rsidRPr="00A608EE" w:rsidRDefault="001A2009" w:rsidP="00A27AAA">
      <w:pPr>
        <w:pStyle w:val="paragraph"/>
        <w:numPr>
          <w:ilvl w:val="0"/>
          <w:numId w:val="13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Employees interviews</w:t>
      </w:r>
    </w:p>
    <w:p w14:paraId="168CD428" w14:textId="77777777" w:rsidR="001A2009" w:rsidRPr="00A608EE" w:rsidRDefault="001A2009" w:rsidP="00A27AAA">
      <w:pPr>
        <w:pStyle w:val="paragraph"/>
        <w:numPr>
          <w:ilvl w:val="0"/>
          <w:numId w:val="13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HR manager interview</w:t>
      </w:r>
    </w:p>
    <w:p w14:paraId="784DADA2"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p>
    <w:p w14:paraId="33B3BB1A" w14:textId="12419068" w:rsidR="001A2009" w:rsidRPr="00A608EE" w:rsidRDefault="001A200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Evidence to provide</w:t>
      </w:r>
    </w:p>
    <w:p w14:paraId="111DB39C"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Specify the employee turnover rate, and how employee exit is monitored and analyzed. Specify when the last employee satisfaction survey was conducted, and what kind of analysis was done on results.</w:t>
      </w:r>
    </w:p>
    <w:p w14:paraId="61F61E1A"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p>
    <w:p w14:paraId="3B800F03" w14:textId="570B2778" w:rsidR="001A2009" w:rsidRPr="00A608EE" w:rsidRDefault="001A2009" w:rsidP="00EE208A">
      <w:pPr>
        <w:pStyle w:val="paragraph"/>
        <w:spacing w:before="0" w:beforeAutospacing="0" w:after="0" w:afterAutospacing="0"/>
        <w:jc w:val="both"/>
        <w:textAlignment w:val="baseline"/>
        <w:rPr>
          <w:rFonts w:asciiTheme="majorHAnsi" w:hAnsiTheme="majorHAnsi"/>
          <w:b/>
          <w:bCs/>
          <w:sz w:val="20"/>
          <w:szCs w:val="20"/>
        </w:rPr>
      </w:pPr>
      <w:r w:rsidRPr="00A608EE">
        <w:rPr>
          <w:rFonts w:asciiTheme="majorHAnsi" w:hAnsiTheme="majorHAnsi"/>
          <w:b/>
          <w:bCs/>
          <w:sz w:val="20"/>
          <w:szCs w:val="20"/>
        </w:rPr>
        <w:t>Field examples / Guidance for implementation</w:t>
      </w:r>
    </w:p>
    <w:p w14:paraId="3ACCA76E"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provider should conduct satisfaction surveys regularly, at least every two years, on at least a representative sample of employees (i.e., the survey should cover all types of employees and broken down by gender). The results should be disaggregated by gender to understand any discrepancies in perception and satisfaction between men and women, but also potentially between managers and employees, newcomers and older staff, permanent and interim staff, staff from HQ and staff from branches, etc. Analysis by position, gender, branch, etc. may help understand reasons for drop-outs and specific actions to be taken (for remote branches and staff lacking information and motivation from HQ, or for women unable to manage their personal obligations with working hours, for example).</w:t>
      </w:r>
    </w:p>
    <w:p w14:paraId="02847872"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p>
    <w:p w14:paraId="583FE96C" w14:textId="19DB0611"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results should be shared with the employees to ensure transparent communication and appropriation of the actions proposed and to give a weight to the level of satisfaction of staff.</w:t>
      </w:r>
    </w:p>
    <w:p w14:paraId="7109A3BA" w14:textId="77777777"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p>
    <w:p w14:paraId="26EAB27F" w14:textId="39EDC0C9" w:rsidR="001A2009" w:rsidRPr="00A608EE" w:rsidRDefault="001A2009" w:rsidP="00EE208A">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When voluntary departures are due to better opportunities, the provider should define financial or non-financial incentives to maintain staff. Firing staff may indicate internal weaknesses or lack of respect and/or confidence between the provider and personnel. Departure upon the end of contract may indicate the provider does not offer employees stable contracts.</w:t>
      </w:r>
    </w:p>
    <w:p w14:paraId="333D5AFE" w14:textId="77777777" w:rsidR="00BE53B6" w:rsidRPr="00A608EE" w:rsidRDefault="00BE53B6" w:rsidP="00EE208A">
      <w:pPr>
        <w:jc w:val="both"/>
        <w:rPr>
          <w:rFonts w:asciiTheme="majorHAnsi" w:hAnsiTheme="majorHAnsi"/>
          <w:szCs w:val="20"/>
        </w:rPr>
      </w:pPr>
    </w:p>
    <w:p w14:paraId="11440F2E" w14:textId="12BF0C40" w:rsidR="006B31E2" w:rsidRPr="00A608EE" w:rsidRDefault="00C62561" w:rsidP="00EE208A">
      <w:pPr>
        <w:pStyle w:val="Heading2"/>
        <w:spacing w:before="0" w:line="240" w:lineRule="auto"/>
        <w:jc w:val="both"/>
      </w:pPr>
      <w:bookmarkStart w:id="39" w:name="_Toc230938781"/>
      <w:r w:rsidRPr="00A608EE">
        <w:rPr>
          <w:rStyle w:val="text-primary"/>
        </w:rPr>
        <w:t>Standard</w:t>
      </w:r>
      <w:r w:rsidR="006B31E2" w:rsidRPr="00A608EE">
        <w:rPr>
          <w:rStyle w:val="text-primary"/>
        </w:rPr>
        <w:t xml:space="preserve"> 2B. </w:t>
      </w:r>
      <w:r w:rsidR="00C00276" w:rsidRPr="00A608EE">
        <w:t>Senior management is responsible for implementing the provider’s strategy for achieving its social goals</w:t>
      </w:r>
      <w:r w:rsidR="00656A95" w:rsidRPr="00A608EE">
        <w:t>.</w:t>
      </w:r>
      <w:bookmarkEnd w:id="39"/>
    </w:p>
    <w:p w14:paraId="78F8891F" w14:textId="77777777" w:rsidR="006B31E2" w:rsidRPr="00A608EE" w:rsidRDefault="006B31E2" w:rsidP="00EE208A">
      <w:pPr>
        <w:jc w:val="both"/>
        <w:rPr>
          <w:rFonts w:asciiTheme="majorHAnsi" w:hAnsiTheme="majorHAnsi"/>
          <w:sz w:val="20"/>
          <w:szCs w:val="20"/>
        </w:rPr>
      </w:pPr>
    </w:p>
    <w:p w14:paraId="2842C1D4" w14:textId="7457EF2A" w:rsidR="00C00276" w:rsidRPr="00A608EE" w:rsidRDefault="00C00276" w:rsidP="00EE208A">
      <w:pPr>
        <w:jc w:val="both"/>
        <w:rPr>
          <w:rFonts w:asciiTheme="majorHAnsi" w:hAnsiTheme="majorHAnsi"/>
          <w:sz w:val="20"/>
          <w:szCs w:val="20"/>
        </w:rPr>
      </w:pPr>
      <w:r w:rsidRPr="00A608EE">
        <w:rPr>
          <w:rFonts w:asciiTheme="majorHAnsi" w:hAnsiTheme="majorHAnsi"/>
          <w:sz w:val="20"/>
          <w:szCs w:val="20"/>
        </w:rPr>
        <w:t>Senior management should make all strategic and operational decisions with the goal of balancing the financial and social (and other) goals, like:</w:t>
      </w:r>
    </w:p>
    <w:p w14:paraId="24129F02" w14:textId="2F769CE5" w:rsidR="00C00276" w:rsidRPr="00A608EE" w:rsidRDefault="008D472A" w:rsidP="00A27AAA">
      <w:pPr>
        <w:pStyle w:val="ListParagraph"/>
        <w:numPr>
          <w:ilvl w:val="0"/>
          <w:numId w:val="5"/>
        </w:numPr>
        <w:spacing w:after="0" w:line="240" w:lineRule="auto"/>
        <w:jc w:val="both"/>
        <w:rPr>
          <w:rFonts w:asciiTheme="majorHAnsi" w:hAnsiTheme="majorHAnsi" w:cs="Times New Roman"/>
          <w:szCs w:val="20"/>
        </w:rPr>
      </w:pPr>
      <w:r w:rsidRPr="00A608EE">
        <w:rPr>
          <w:rFonts w:asciiTheme="majorHAnsi" w:hAnsiTheme="majorHAnsi" w:cs="Times New Roman"/>
          <w:szCs w:val="20"/>
        </w:rPr>
        <w:t>Integrating social</w:t>
      </w:r>
      <w:r w:rsidR="00C00276" w:rsidRPr="00A608EE">
        <w:rPr>
          <w:rFonts w:asciiTheme="majorHAnsi" w:hAnsiTheme="majorHAnsi" w:cs="Times New Roman"/>
          <w:szCs w:val="20"/>
        </w:rPr>
        <w:t xml:space="preserve"> performance goals into strategic and operational planning; and</w:t>
      </w:r>
    </w:p>
    <w:p w14:paraId="796AE405" w14:textId="77777777" w:rsidR="00C00276" w:rsidRPr="00A608EE" w:rsidRDefault="00C00276" w:rsidP="00A27AAA">
      <w:pPr>
        <w:pStyle w:val="ListParagraph"/>
        <w:numPr>
          <w:ilvl w:val="0"/>
          <w:numId w:val="5"/>
        </w:numPr>
        <w:spacing w:after="0" w:line="240" w:lineRule="auto"/>
        <w:jc w:val="both"/>
        <w:rPr>
          <w:rFonts w:asciiTheme="majorHAnsi" w:hAnsiTheme="majorHAnsi" w:cs="Times New Roman"/>
          <w:szCs w:val="20"/>
        </w:rPr>
      </w:pPr>
      <w:r w:rsidRPr="00A608EE">
        <w:rPr>
          <w:rFonts w:asciiTheme="majorHAnsi" w:hAnsiTheme="majorHAnsi" w:cs="Times New Roman"/>
          <w:szCs w:val="20"/>
        </w:rPr>
        <w:t>Considering all decisions for their potential effects on clients and employees and monitoring these over time</w:t>
      </w:r>
    </w:p>
    <w:p w14:paraId="46E2DCB8" w14:textId="77777777" w:rsidR="00C00276" w:rsidRPr="00A608EE" w:rsidRDefault="00C00276" w:rsidP="00EE208A">
      <w:pPr>
        <w:jc w:val="both"/>
        <w:rPr>
          <w:rFonts w:asciiTheme="majorHAnsi" w:hAnsiTheme="majorHAnsi"/>
          <w:sz w:val="20"/>
          <w:szCs w:val="20"/>
        </w:rPr>
      </w:pPr>
    </w:p>
    <w:p w14:paraId="14BA7AEC" w14:textId="1B41D05A" w:rsidR="00C00276" w:rsidRPr="00A608EE" w:rsidRDefault="00C00276" w:rsidP="00EE208A">
      <w:pPr>
        <w:jc w:val="both"/>
        <w:rPr>
          <w:rFonts w:asciiTheme="majorHAnsi" w:hAnsiTheme="majorHAnsi"/>
          <w:sz w:val="20"/>
          <w:szCs w:val="20"/>
        </w:rPr>
      </w:pPr>
      <w:r w:rsidRPr="00A608EE">
        <w:rPr>
          <w:rFonts w:asciiTheme="majorHAnsi" w:hAnsiTheme="majorHAnsi"/>
          <w:sz w:val="20"/>
          <w:szCs w:val="20"/>
        </w:rPr>
        <w:t>This standard has 2 essential practices:</w:t>
      </w:r>
    </w:p>
    <w:p w14:paraId="510A60D0" w14:textId="53A56E35" w:rsidR="00C00276" w:rsidRPr="00A608EE" w:rsidRDefault="00C00276" w:rsidP="00A27AAA">
      <w:pPr>
        <w:pStyle w:val="ListParagraph"/>
        <w:numPr>
          <w:ilvl w:val="0"/>
          <w:numId w:val="5"/>
        </w:numPr>
        <w:spacing w:after="0" w:line="240" w:lineRule="auto"/>
        <w:jc w:val="both"/>
        <w:rPr>
          <w:rFonts w:asciiTheme="majorHAnsi" w:hAnsiTheme="majorHAnsi" w:cs="Times New Roman"/>
          <w:szCs w:val="20"/>
        </w:rPr>
      </w:pPr>
      <w:r w:rsidRPr="00A608EE">
        <w:rPr>
          <w:rFonts w:asciiTheme="majorHAnsi" w:hAnsiTheme="majorHAnsi" w:cs="Times New Roman"/>
          <w:szCs w:val="20"/>
        </w:rPr>
        <w:t>Essential practice 2.B.1: The provider includes social goals in its operational plan and the CEO/Managing Director holds senior managers accountable for achieving social targets.</w:t>
      </w:r>
    </w:p>
    <w:p w14:paraId="548052C9" w14:textId="4CDFB5D2" w:rsidR="00120D83" w:rsidRPr="00A608EE" w:rsidRDefault="00C00276" w:rsidP="00A27AAA">
      <w:pPr>
        <w:pStyle w:val="ListParagraph"/>
        <w:numPr>
          <w:ilvl w:val="0"/>
          <w:numId w:val="5"/>
        </w:numPr>
        <w:spacing w:after="0" w:line="240" w:lineRule="auto"/>
        <w:jc w:val="both"/>
        <w:rPr>
          <w:rStyle w:val="text-primary"/>
          <w:rFonts w:asciiTheme="majorHAnsi" w:hAnsiTheme="majorHAnsi" w:cs="Times New Roman"/>
          <w:szCs w:val="20"/>
        </w:rPr>
      </w:pPr>
      <w:r w:rsidRPr="00A608EE">
        <w:rPr>
          <w:rFonts w:asciiTheme="majorHAnsi" w:hAnsiTheme="majorHAnsi" w:cs="Times New Roman"/>
          <w:szCs w:val="20"/>
        </w:rPr>
        <w:lastRenderedPageBreak/>
        <w:t>Essential practice 2.B.2: Management makes strategic and operational decisions based on social and financial data.</w:t>
      </w:r>
    </w:p>
    <w:p w14:paraId="4328243D" w14:textId="77777777" w:rsidR="00BE53B6" w:rsidRPr="00A608EE" w:rsidRDefault="00BE53B6" w:rsidP="00EE208A">
      <w:pPr>
        <w:jc w:val="both"/>
      </w:pPr>
    </w:p>
    <w:p w14:paraId="70EA4559" w14:textId="48176FFD" w:rsidR="009B176A" w:rsidRPr="00A608EE" w:rsidRDefault="009B176A" w:rsidP="00EE208A">
      <w:pPr>
        <w:pStyle w:val="Heading3"/>
        <w:spacing w:before="0" w:line="240" w:lineRule="auto"/>
        <w:jc w:val="both"/>
      </w:pPr>
      <w:bookmarkStart w:id="40" w:name="_Toc230938782"/>
      <w:r w:rsidRPr="00A608EE">
        <w:rPr>
          <w:rStyle w:val="text-primary"/>
        </w:rPr>
        <w:t>2.B.1</w:t>
      </w:r>
      <w:r w:rsidRPr="00A608EE">
        <w:t xml:space="preserve"> </w:t>
      </w:r>
      <w:r w:rsidR="00C00276" w:rsidRPr="00A608EE">
        <w:t>The provider includes social goals in its operational plan and the CEO/Managing Director holds senior managers accountable for achieving social targets</w:t>
      </w:r>
      <w:r w:rsidR="00656A95" w:rsidRPr="00A608EE">
        <w:t>.</w:t>
      </w:r>
      <w:bookmarkEnd w:id="40"/>
    </w:p>
    <w:p w14:paraId="3C9826CE" w14:textId="666095FB" w:rsidR="009368EA" w:rsidRPr="00A608EE" w:rsidRDefault="009368EA" w:rsidP="00EE208A">
      <w:pPr>
        <w:jc w:val="both"/>
        <w:rPr>
          <w:rFonts w:asciiTheme="majorHAnsi" w:hAnsiTheme="majorHAnsi"/>
          <w:szCs w:val="20"/>
        </w:rPr>
      </w:pPr>
    </w:p>
    <w:p w14:paraId="0714E4E4" w14:textId="332D131B" w:rsidR="00C00276" w:rsidRPr="00A608EE" w:rsidRDefault="00C00276" w:rsidP="00EE208A">
      <w:pPr>
        <w:jc w:val="both"/>
        <w:rPr>
          <w:rFonts w:asciiTheme="majorHAnsi" w:hAnsiTheme="majorHAnsi"/>
          <w:sz w:val="20"/>
          <w:szCs w:val="15"/>
        </w:rPr>
      </w:pPr>
      <w:r w:rsidRPr="00A608EE">
        <w:rPr>
          <w:rFonts w:asciiTheme="majorHAnsi" w:hAnsiTheme="majorHAnsi"/>
          <w:sz w:val="20"/>
          <w:szCs w:val="15"/>
        </w:rPr>
        <w:t xml:space="preserve">As described in standard 1A, the social strategy should include target clients, social goals and how to achieve them, social targets, and social indicators. Beyond this social strategy, all business plans, shareholder </w:t>
      </w:r>
      <w:r w:rsidR="008D472A" w:rsidRPr="00A608EE">
        <w:rPr>
          <w:rFonts w:asciiTheme="majorHAnsi" w:hAnsiTheme="majorHAnsi"/>
          <w:sz w:val="20"/>
          <w:szCs w:val="15"/>
        </w:rPr>
        <w:t>agreements,</w:t>
      </w:r>
      <w:r w:rsidRPr="00A608EE">
        <w:rPr>
          <w:rFonts w:asciiTheme="majorHAnsi" w:hAnsiTheme="majorHAnsi"/>
          <w:sz w:val="20"/>
          <w:szCs w:val="15"/>
        </w:rPr>
        <w:t xml:space="preserve"> and new product proposals should be in line with the social goals. A practical way to achieve this alignment is to require a social performance review of all business plans/contracts/strategies/operational decisions before they are finalized.  Senior management should discuss how any given plan or decision may:</w:t>
      </w:r>
    </w:p>
    <w:p w14:paraId="479DADBC" w14:textId="77777777" w:rsidR="00C00276" w:rsidRPr="00A608EE" w:rsidRDefault="00C00276" w:rsidP="00A27AAA">
      <w:pPr>
        <w:numPr>
          <w:ilvl w:val="0"/>
          <w:numId w:val="137"/>
        </w:numPr>
        <w:jc w:val="both"/>
        <w:rPr>
          <w:rFonts w:asciiTheme="majorHAnsi" w:hAnsiTheme="majorHAnsi"/>
          <w:sz w:val="20"/>
          <w:szCs w:val="15"/>
        </w:rPr>
      </w:pPr>
      <w:r w:rsidRPr="00A608EE">
        <w:rPr>
          <w:rFonts w:asciiTheme="majorHAnsi" w:hAnsiTheme="majorHAnsi"/>
          <w:sz w:val="20"/>
          <w:szCs w:val="15"/>
        </w:rPr>
        <w:t>Affect clients;</w:t>
      </w:r>
    </w:p>
    <w:p w14:paraId="071ED3E7" w14:textId="77777777" w:rsidR="00C00276" w:rsidRPr="00A608EE" w:rsidRDefault="00C00276" w:rsidP="00A27AAA">
      <w:pPr>
        <w:numPr>
          <w:ilvl w:val="0"/>
          <w:numId w:val="137"/>
        </w:numPr>
        <w:jc w:val="both"/>
        <w:rPr>
          <w:rFonts w:asciiTheme="majorHAnsi" w:hAnsiTheme="majorHAnsi"/>
          <w:sz w:val="20"/>
          <w:szCs w:val="15"/>
        </w:rPr>
      </w:pPr>
      <w:r w:rsidRPr="00A608EE">
        <w:rPr>
          <w:rFonts w:asciiTheme="majorHAnsi" w:hAnsiTheme="majorHAnsi"/>
          <w:sz w:val="20"/>
          <w:szCs w:val="15"/>
        </w:rPr>
        <w:t>Affect employees;</w:t>
      </w:r>
    </w:p>
    <w:p w14:paraId="44B3E6C9" w14:textId="77777777" w:rsidR="00C00276" w:rsidRPr="00A608EE" w:rsidRDefault="00C00276" w:rsidP="00A27AAA">
      <w:pPr>
        <w:numPr>
          <w:ilvl w:val="0"/>
          <w:numId w:val="137"/>
        </w:numPr>
        <w:jc w:val="both"/>
        <w:rPr>
          <w:rFonts w:asciiTheme="majorHAnsi" w:hAnsiTheme="majorHAnsi"/>
          <w:sz w:val="20"/>
          <w:szCs w:val="15"/>
        </w:rPr>
      </w:pPr>
      <w:r w:rsidRPr="00A608EE">
        <w:rPr>
          <w:rFonts w:asciiTheme="majorHAnsi" w:hAnsiTheme="majorHAnsi"/>
          <w:sz w:val="20"/>
          <w:szCs w:val="15"/>
        </w:rPr>
        <w:t>Impact the provider’s ability to achieve its social targets, as well as its public reputation;</w:t>
      </w:r>
    </w:p>
    <w:p w14:paraId="44A98AC1" w14:textId="77777777" w:rsidR="00C00276" w:rsidRPr="00A608EE" w:rsidRDefault="00C00276" w:rsidP="00A27AAA">
      <w:pPr>
        <w:numPr>
          <w:ilvl w:val="0"/>
          <w:numId w:val="137"/>
        </w:numPr>
        <w:jc w:val="both"/>
        <w:rPr>
          <w:rFonts w:asciiTheme="majorHAnsi" w:hAnsiTheme="majorHAnsi"/>
          <w:sz w:val="20"/>
          <w:szCs w:val="15"/>
        </w:rPr>
      </w:pPr>
      <w:r w:rsidRPr="00A608EE">
        <w:rPr>
          <w:rFonts w:asciiTheme="majorHAnsi" w:hAnsiTheme="majorHAnsi"/>
          <w:sz w:val="20"/>
          <w:szCs w:val="15"/>
        </w:rPr>
        <w:t>Influence social performance related risks;</w:t>
      </w:r>
    </w:p>
    <w:p w14:paraId="373CF0DF" w14:textId="77777777" w:rsidR="00C00276" w:rsidRPr="00A608EE" w:rsidRDefault="00C00276" w:rsidP="00A27AAA">
      <w:pPr>
        <w:numPr>
          <w:ilvl w:val="0"/>
          <w:numId w:val="137"/>
        </w:numPr>
        <w:jc w:val="both"/>
        <w:rPr>
          <w:rFonts w:asciiTheme="majorHAnsi" w:hAnsiTheme="majorHAnsi"/>
          <w:sz w:val="20"/>
          <w:szCs w:val="15"/>
        </w:rPr>
      </w:pPr>
      <w:r w:rsidRPr="00A608EE">
        <w:rPr>
          <w:rFonts w:asciiTheme="majorHAnsi" w:hAnsiTheme="majorHAnsi"/>
          <w:sz w:val="20"/>
          <w:szCs w:val="15"/>
        </w:rPr>
        <w:t>Require the collection of additional social performance data; or</w:t>
      </w:r>
    </w:p>
    <w:p w14:paraId="37F15DEC" w14:textId="77777777" w:rsidR="00C00276" w:rsidRPr="00A608EE" w:rsidRDefault="00C00276" w:rsidP="00A27AAA">
      <w:pPr>
        <w:numPr>
          <w:ilvl w:val="0"/>
          <w:numId w:val="137"/>
        </w:numPr>
        <w:jc w:val="both"/>
        <w:rPr>
          <w:rFonts w:asciiTheme="majorHAnsi" w:hAnsiTheme="majorHAnsi"/>
          <w:sz w:val="20"/>
          <w:szCs w:val="15"/>
        </w:rPr>
      </w:pPr>
      <w:r w:rsidRPr="00A608EE">
        <w:rPr>
          <w:rFonts w:asciiTheme="majorHAnsi" w:hAnsiTheme="majorHAnsi"/>
          <w:sz w:val="20"/>
          <w:szCs w:val="15"/>
        </w:rPr>
        <w:t>Require adjustments to the stated social goals.</w:t>
      </w:r>
    </w:p>
    <w:p w14:paraId="7CDC0560" w14:textId="77777777" w:rsidR="00C00276" w:rsidRPr="00A608EE" w:rsidRDefault="00C00276" w:rsidP="00EE208A">
      <w:pPr>
        <w:jc w:val="both"/>
        <w:rPr>
          <w:rFonts w:asciiTheme="majorHAnsi" w:hAnsiTheme="majorHAnsi"/>
          <w:sz w:val="20"/>
          <w:szCs w:val="15"/>
        </w:rPr>
      </w:pPr>
    </w:p>
    <w:p w14:paraId="41AD0871" w14:textId="7FE7DB7B" w:rsidR="00C00276" w:rsidRPr="00A608EE" w:rsidRDefault="00C00276" w:rsidP="00EE208A">
      <w:pPr>
        <w:jc w:val="both"/>
        <w:rPr>
          <w:rFonts w:asciiTheme="majorHAnsi" w:hAnsiTheme="majorHAnsi"/>
          <w:sz w:val="20"/>
          <w:szCs w:val="15"/>
        </w:rPr>
      </w:pPr>
      <w:r w:rsidRPr="00A608EE">
        <w:rPr>
          <w:rFonts w:asciiTheme="majorHAnsi" w:hAnsiTheme="majorHAnsi"/>
          <w:sz w:val="20"/>
          <w:szCs w:val="15"/>
        </w:rPr>
        <w:t>For example, if a provider were considering pursuing a more aggressive growth strategy, senior management and the board would need to consider not only the financial implications, but the effects on staff and clients. Will the strategy help achieve the provider’s goal of increasing financial inclusion for unbanked people? (most likely). Will it place additional strain on busy staff? (yes, unless new staff are hired or other efficiencies introduced). Will clients experience aggressive sales due to new, higher case load targets for staff? (likely, unless mitigating measures are taken).</w:t>
      </w:r>
    </w:p>
    <w:p w14:paraId="08388FA4" w14:textId="77777777" w:rsidR="00BE53B6" w:rsidRPr="00A608EE" w:rsidRDefault="00BE53B6" w:rsidP="00EE208A">
      <w:pPr>
        <w:jc w:val="both"/>
        <w:rPr>
          <w:rFonts w:asciiTheme="majorHAnsi" w:hAnsiTheme="majorHAnsi"/>
          <w:szCs w:val="20"/>
        </w:rPr>
      </w:pPr>
    </w:p>
    <w:p w14:paraId="3C46B704" w14:textId="77777777" w:rsidR="00C00276" w:rsidRPr="00A608EE" w:rsidRDefault="00C00276" w:rsidP="00EE208A">
      <w:pPr>
        <w:jc w:val="both"/>
        <w:rPr>
          <w:rFonts w:asciiTheme="majorHAnsi" w:hAnsiTheme="majorHAnsi"/>
          <w:b/>
          <w:bCs/>
          <w:sz w:val="20"/>
          <w:szCs w:val="20"/>
        </w:rPr>
      </w:pPr>
      <w:r w:rsidRPr="00A608EE">
        <w:rPr>
          <w:rFonts w:asciiTheme="majorHAnsi" w:hAnsiTheme="majorHAnsi"/>
          <w:b/>
          <w:bCs/>
          <w:sz w:val="20"/>
          <w:szCs w:val="20"/>
        </w:rPr>
        <w:t>Compare performance to targets</w:t>
      </w:r>
    </w:p>
    <w:p w14:paraId="21EE95E4" w14:textId="77777777" w:rsidR="00C00276" w:rsidRPr="00A608EE" w:rsidRDefault="00C00276" w:rsidP="00EE208A">
      <w:pPr>
        <w:jc w:val="both"/>
        <w:rPr>
          <w:rFonts w:asciiTheme="majorHAnsi" w:hAnsiTheme="majorHAnsi"/>
          <w:sz w:val="20"/>
          <w:szCs w:val="20"/>
        </w:rPr>
      </w:pPr>
      <w:r w:rsidRPr="00A608EE">
        <w:rPr>
          <w:rFonts w:asciiTheme="majorHAnsi" w:hAnsiTheme="majorHAnsi"/>
          <w:sz w:val="20"/>
          <w:szCs w:val="20"/>
        </w:rPr>
        <w:t>A provider cannot truly know how it is performing against its social targets unless it measures and monitors its performance in a regular, objective, and deliberate way. Anecdotal evidence and impressions can be misleading and even grossly inaccurate. Therefore, managers should use social data to track progress on social targets on a regular basis. Such tracking will allow:</w:t>
      </w:r>
    </w:p>
    <w:p w14:paraId="58F8FE54" w14:textId="77777777" w:rsidR="00C00276" w:rsidRPr="00A608EE" w:rsidRDefault="00C00276" w:rsidP="00A27AAA">
      <w:pPr>
        <w:numPr>
          <w:ilvl w:val="0"/>
          <w:numId w:val="138"/>
        </w:numPr>
        <w:jc w:val="both"/>
        <w:rPr>
          <w:rFonts w:asciiTheme="majorHAnsi" w:hAnsiTheme="majorHAnsi"/>
          <w:sz w:val="20"/>
          <w:szCs w:val="20"/>
        </w:rPr>
      </w:pPr>
      <w:r w:rsidRPr="00A608EE">
        <w:rPr>
          <w:rFonts w:asciiTheme="majorHAnsi" w:hAnsiTheme="majorHAnsi"/>
          <w:sz w:val="20"/>
          <w:szCs w:val="20"/>
        </w:rPr>
        <w:t>Senior management to hold itself accountable to the social targets;</w:t>
      </w:r>
    </w:p>
    <w:p w14:paraId="6341C6B0" w14:textId="77777777" w:rsidR="00C00276" w:rsidRPr="00A608EE" w:rsidRDefault="00C00276" w:rsidP="00A27AAA">
      <w:pPr>
        <w:numPr>
          <w:ilvl w:val="0"/>
          <w:numId w:val="138"/>
        </w:numPr>
        <w:jc w:val="both"/>
        <w:rPr>
          <w:rFonts w:asciiTheme="majorHAnsi" w:hAnsiTheme="majorHAnsi"/>
          <w:sz w:val="20"/>
          <w:szCs w:val="20"/>
        </w:rPr>
      </w:pPr>
      <w:r w:rsidRPr="00A608EE">
        <w:rPr>
          <w:rFonts w:asciiTheme="majorHAnsi" w:hAnsiTheme="majorHAnsi"/>
          <w:sz w:val="20"/>
          <w:szCs w:val="20"/>
        </w:rPr>
        <w:t>Board members and/or investors to hold senior management accountable to the social targets, including holding the CEO/Director accountable to the social targets;</w:t>
      </w:r>
    </w:p>
    <w:p w14:paraId="6D703689" w14:textId="77777777" w:rsidR="00C00276" w:rsidRPr="00A608EE" w:rsidRDefault="00C00276" w:rsidP="00A27AAA">
      <w:pPr>
        <w:numPr>
          <w:ilvl w:val="0"/>
          <w:numId w:val="138"/>
        </w:numPr>
        <w:jc w:val="both"/>
        <w:rPr>
          <w:rFonts w:asciiTheme="majorHAnsi" w:hAnsiTheme="majorHAnsi"/>
          <w:sz w:val="20"/>
          <w:szCs w:val="20"/>
        </w:rPr>
      </w:pPr>
      <w:r w:rsidRPr="00A608EE">
        <w:rPr>
          <w:rFonts w:asciiTheme="majorHAnsi" w:hAnsiTheme="majorHAnsi"/>
          <w:sz w:val="20"/>
          <w:szCs w:val="20"/>
        </w:rPr>
        <w:t>Senior management to incentivize employees against social performance targets and reward those with good performance;</w:t>
      </w:r>
    </w:p>
    <w:p w14:paraId="04E9157E" w14:textId="77777777" w:rsidR="00C00276" w:rsidRPr="00A608EE" w:rsidRDefault="00C00276" w:rsidP="00A27AAA">
      <w:pPr>
        <w:numPr>
          <w:ilvl w:val="0"/>
          <w:numId w:val="138"/>
        </w:numPr>
        <w:jc w:val="both"/>
        <w:rPr>
          <w:rFonts w:asciiTheme="majorHAnsi" w:hAnsiTheme="majorHAnsi"/>
          <w:sz w:val="20"/>
          <w:szCs w:val="20"/>
        </w:rPr>
      </w:pPr>
      <w:r w:rsidRPr="00A608EE">
        <w:rPr>
          <w:rFonts w:asciiTheme="majorHAnsi" w:hAnsiTheme="majorHAnsi"/>
          <w:sz w:val="20"/>
          <w:szCs w:val="20"/>
        </w:rPr>
        <w:t>Senior management and the board to investigate the reasons for poor results or unexpected results, and to respond, for example, by modifying products, services, and delivery channels;</w:t>
      </w:r>
    </w:p>
    <w:p w14:paraId="7CEA2FA7" w14:textId="77777777" w:rsidR="00C00276" w:rsidRPr="00A608EE" w:rsidRDefault="00C00276" w:rsidP="00A27AAA">
      <w:pPr>
        <w:numPr>
          <w:ilvl w:val="0"/>
          <w:numId w:val="138"/>
        </w:numPr>
        <w:jc w:val="both"/>
        <w:rPr>
          <w:rFonts w:asciiTheme="majorHAnsi" w:hAnsiTheme="majorHAnsi"/>
          <w:sz w:val="20"/>
          <w:szCs w:val="20"/>
        </w:rPr>
      </w:pPr>
      <w:r w:rsidRPr="00A608EE">
        <w:rPr>
          <w:rFonts w:asciiTheme="majorHAnsi" w:hAnsiTheme="majorHAnsi"/>
          <w:sz w:val="20"/>
          <w:szCs w:val="20"/>
        </w:rPr>
        <w:t>To demonstrate progress to external stakeholders, improving its credibility in the marketplace; and</w:t>
      </w:r>
    </w:p>
    <w:p w14:paraId="3F33124E" w14:textId="77777777" w:rsidR="00C00276" w:rsidRPr="00A608EE" w:rsidRDefault="00C00276" w:rsidP="00A27AAA">
      <w:pPr>
        <w:numPr>
          <w:ilvl w:val="0"/>
          <w:numId w:val="138"/>
        </w:numPr>
        <w:jc w:val="both"/>
        <w:rPr>
          <w:rFonts w:asciiTheme="majorHAnsi" w:hAnsiTheme="majorHAnsi"/>
          <w:sz w:val="20"/>
          <w:szCs w:val="20"/>
        </w:rPr>
      </w:pPr>
      <w:r w:rsidRPr="00A608EE">
        <w:rPr>
          <w:rFonts w:asciiTheme="majorHAnsi" w:hAnsiTheme="majorHAnsi"/>
          <w:sz w:val="20"/>
          <w:szCs w:val="20"/>
        </w:rPr>
        <w:t>Employees to see how the provider is progressing (or not) toward its social targets, building awareness about what the provider wants to achieve.</w:t>
      </w:r>
    </w:p>
    <w:p w14:paraId="4A726EE6" w14:textId="77777777" w:rsidR="00BE53B6" w:rsidRPr="00A608EE" w:rsidRDefault="00BE53B6" w:rsidP="00EE208A">
      <w:pPr>
        <w:jc w:val="both"/>
        <w:rPr>
          <w:rFonts w:asciiTheme="majorHAnsi" w:hAnsiTheme="majorHAnsi"/>
          <w:sz w:val="20"/>
          <w:szCs w:val="20"/>
        </w:rPr>
      </w:pPr>
    </w:p>
    <w:p w14:paraId="114F1376" w14:textId="77777777" w:rsidR="00C00276" w:rsidRPr="00A608EE" w:rsidRDefault="00C00276" w:rsidP="00EE208A">
      <w:pPr>
        <w:jc w:val="both"/>
        <w:rPr>
          <w:rFonts w:asciiTheme="majorHAnsi" w:hAnsiTheme="majorHAnsi"/>
          <w:b/>
          <w:bCs/>
          <w:sz w:val="20"/>
          <w:szCs w:val="20"/>
        </w:rPr>
      </w:pPr>
      <w:r w:rsidRPr="00A608EE">
        <w:rPr>
          <w:rFonts w:asciiTheme="majorHAnsi" w:hAnsiTheme="majorHAnsi"/>
          <w:b/>
          <w:bCs/>
          <w:sz w:val="20"/>
          <w:szCs w:val="20"/>
        </w:rPr>
        <w:t>Hold senior managers accountable for the institution's social goals</w:t>
      </w:r>
    </w:p>
    <w:p w14:paraId="1D075CDF" w14:textId="77777777" w:rsidR="00C00276" w:rsidRPr="00A608EE" w:rsidRDefault="00C00276" w:rsidP="00EE208A">
      <w:pPr>
        <w:jc w:val="both"/>
        <w:rPr>
          <w:rFonts w:asciiTheme="majorHAnsi" w:hAnsiTheme="majorHAnsi"/>
          <w:sz w:val="20"/>
          <w:szCs w:val="20"/>
        </w:rPr>
      </w:pPr>
      <w:r w:rsidRPr="00A608EE">
        <w:rPr>
          <w:rFonts w:asciiTheme="majorHAnsi" w:hAnsiTheme="majorHAnsi"/>
          <w:sz w:val="20"/>
          <w:szCs w:val="20"/>
        </w:rPr>
        <w:t>Senior managers should be particularly accountable to the social goals as they set the tone for other employees, and their level of commitment to the social goals will determine the provider’s overall ability to achieve these goals.</w:t>
      </w:r>
    </w:p>
    <w:p w14:paraId="259B7605" w14:textId="77777777" w:rsidR="00C00276" w:rsidRPr="00A608EE" w:rsidRDefault="00C00276" w:rsidP="00EE208A">
      <w:pPr>
        <w:jc w:val="both"/>
        <w:rPr>
          <w:rFonts w:asciiTheme="majorHAnsi" w:hAnsiTheme="majorHAnsi"/>
        </w:rPr>
      </w:pPr>
    </w:p>
    <w:p w14:paraId="3E82A90F" w14:textId="3364CADB" w:rsidR="00C00276" w:rsidRPr="00A608EE" w:rsidRDefault="00C00276" w:rsidP="00EE208A">
      <w:pPr>
        <w:jc w:val="both"/>
        <w:rPr>
          <w:rFonts w:asciiTheme="majorHAnsi" w:hAnsiTheme="majorHAnsi"/>
          <w:sz w:val="20"/>
          <w:szCs w:val="20"/>
        </w:rPr>
      </w:pPr>
      <w:r w:rsidRPr="00A608EE">
        <w:rPr>
          <w:rFonts w:asciiTheme="majorHAnsi" w:hAnsiTheme="majorHAnsi"/>
          <w:sz w:val="20"/>
          <w:szCs w:val="20"/>
        </w:rPr>
        <w:t xml:space="preserve">The </w:t>
      </w:r>
      <w:hyperlink r:id="rId94" w:history="1">
        <w:r w:rsidRPr="00A608EE">
          <w:rPr>
            <w:rStyle w:val="Hyperlink"/>
            <w:rFonts w:asciiTheme="majorHAnsi" w:hAnsiTheme="majorHAnsi"/>
            <w:sz w:val="20"/>
            <w:szCs w:val="20"/>
          </w:rPr>
          <w:t>Example of Social Targets for Senior Managers</w:t>
        </w:r>
      </w:hyperlink>
      <w:r w:rsidRPr="00A608EE">
        <w:rPr>
          <w:rFonts w:asciiTheme="majorHAnsi" w:hAnsiTheme="majorHAnsi"/>
          <w:sz w:val="20"/>
          <w:szCs w:val="20"/>
        </w:rPr>
        <w:t xml:space="preserve"> table provides a list of senior management positions, along with examples of institutional goals for which they are responsible and example targets they should meet. Each senior manager should have such </w:t>
      </w:r>
      <w:r w:rsidRPr="00A608EE">
        <w:rPr>
          <w:rFonts w:asciiTheme="majorHAnsi" w:hAnsiTheme="majorHAnsi"/>
          <w:sz w:val="20"/>
          <w:szCs w:val="20"/>
        </w:rPr>
        <w:lastRenderedPageBreak/>
        <w:t>a list of her/his responsibilities and social targets and regular performance reviews should examine her/his success in achieving the social targets.</w:t>
      </w:r>
    </w:p>
    <w:p w14:paraId="18888584" w14:textId="77777777" w:rsidR="00273347" w:rsidRPr="00A608EE" w:rsidRDefault="00273347" w:rsidP="00EE208A">
      <w:pPr>
        <w:jc w:val="both"/>
        <w:rPr>
          <w:rStyle w:val="text-primary"/>
          <w:rFonts w:asciiTheme="majorHAnsi" w:hAnsiTheme="majorHAnsi"/>
          <w:szCs w:val="20"/>
        </w:rPr>
      </w:pPr>
    </w:p>
    <w:p w14:paraId="482F666E" w14:textId="77777777" w:rsidR="00FE01D0" w:rsidRPr="00A608EE" w:rsidRDefault="00FE01D0" w:rsidP="00EE208A">
      <w:pPr>
        <w:jc w:val="both"/>
        <w:rPr>
          <w:rStyle w:val="text-primary"/>
          <w:rFonts w:asciiTheme="majorHAnsi" w:hAnsiTheme="majorHAnsi"/>
          <w:szCs w:val="20"/>
        </w:rPr>
      </w:pPr>
    </w:p>
    <w:p w14:paraId="60C95152" w14:textId="4211B778" w:rsidR="009B176A" w:rsidRPr="00A608EE" w:rsidRDefault="009B176A" w:rsidP="00EE208A">
      <w:pPr>
        <w:pStyle w:val="Heading4"/>
        <w:spacing w:before="0" w:line="240" w:lineRule="auto"/>
        <w:jc w:val="both"/>
      </w:pPr>
      <w:r w:rsidRPr="00A608EE">
        <w:rPr>
          <w:rStyle w:val="text-primary"/>
        </w:rPr>
        <w:t>2.B.1.1</w:t>
      </w:r>
      <w:r w:rsidRPr="00A608EE">
        <w:t xml:space="preserve"> </w:t>
      </w:r>
      <w:r w:rsidR="00962F69" w:rsidRPr="00A608EE">
        <w:t>The provider includes its social goals and targets in the business plan or operational plan</w:t>
      </w:r>
      <w:r w:rsidR="00653246" w:rsidRPr="00A608EE">
        <w:t>.</w:t>
      </w:r>
    </w:p>
    <w:p w14:paraId="59BFBB7C" w14:textId="77777777" w:rsidR="00E01740" w:rsidRPr="00A608EE" w:rsidRDefault="00E01740" w:rsidP="00EE208A">
      <w:pPr>
        <w:jc w:val="both"/>
        <w:rPr>
          <w:rFonts w:asciiTheme="majorHAnsi" w:hAnsiTheme="majorHAnsi"/>
          <w:szCs w:val="20"/>
        </w:rPr>
      </w:pPr>
    </w:p>
    <w:p w14:paraId="5A7E0B03" w14:textId="277A285B" w:rsidR="00BE53B6" w:rsidRPr="00A608EE" w:rsidRDefault="004F5FC3" w:rsidP="00EE208A">
      <w:pPr>
        <w:jc w:val="both"/>
        <w:rPr>
          <w:rFonts w:asciiTheme="majorHAnsi" w:hAnsiTheme="majorHAnsi"/>
          <w:b/>
          <w:bCs/>
          <w:color w:val="2145CC" w:themeColor="accent5" w:themeShade="BF"/>
          <w:szCs w:val="20"/>
        </w:rPr>
      </w:pPr>
      <w:r w:rsidRPr="00A608EE">
        <w:rPr>
          <w:rFonts w:ascii="Segoe UI Emoji" w:hAnsi="Segoe UI Emoji" w:cs="Segoe UI Emoji"/>
          <w:b/>
          <w:bCs/>
          <w:szCs w:val="20"/>
        </w:rPr>
        <w:t>🔎</w:t>
      </w:r>
      <w:r w:rsidRPr="00A608EE">
        <w:rPr>
          <w:rFonts w:asciiTheme="majorHAnsi" w:hAnsiTheme="majorHAnsi"/>
          <w:b/>
          <w:bCs/>
          <w:color w:val="2145CC" w:themeColor="accent5" w:themeShade="BF"/>
          <w:szCs w:val="20"/>
        </w:rPr>
        <w:t xml:space="preserve"> </w:t>
      </w:r>
      <w:r w:rsidRPr="00A608EE">
        <w:rPr>
          <w:rFonts w:asciiTheme="majorHAnsi" w:hAnsiTheme="majorHAnsi"/>
          <w:b/>
          <w:bCs/>
          <w:color w:val="2145CC" w:themeColor="accent5" w:themeShade="BF"/>
          <w:sz w:val="20"/>
          <w:szCs w:val="20"/>
        </w:rPr>
        <w:t xml:space="preserve">Indicator in </w:t>
      </w:r>
      <w:r w:rsidR="00BE53B6" w:rsidRPr="00A608EE">
        <w:rPr>
          <w:rFonts w:asciiTheme="majorHAnsi" w:hAnsiTheme="majorHAnsi"/>
          <w:b/>
          <w:bCs/>
          <w:color w:val="2145CC" w:themeColor="accent5" w:themeShade="BF"/>
          <w:sz w:val="20"/>
          <w:szCs w:val="20"/>
        </w:rPr>
        <w:t>ALINUS</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BE53B6"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BE53B6"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30796B1A" w14:textId="5AE025CE" w:rsidR="00BE53B6" w:rsidRPr="00A608EE" w:rsidRDefault="004E7EB1"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0CC6F414" w14:textId="5F3A2580"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rPr>
        <w:t>It is important to include the social goals and targets in the business or operational plan to ensure that they are integrated into strategic decisions, planning and operations.</w:t>
      </w:r>
    </w:p>
    <w:p w14:paraId="6A971364" w14:textId="77777777" w:rsidR="00672763" w:rsidRPr="00A608EE" w:rsidRDefault="00672763" w:rsidP="00EE208A">
      <w:pPr>
        <w:jc w:val="both"/>
        <w:rPr>
          <w:rFonts w:asciiTheme="majorHAnsi" w:hAnsiTheme="majorHAnsi"/>
          <w:sz w:val="20"/>
          <w:szCs w:val="20"/>
        </w:rPr>
      </w:pPr>
    </w:p>
    <w:p w14:paraId="10B4E9C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15936" behindDoc="1" locked="0" layoutInCell="1" allowOverlap="1" wp14:anchorId="07796EE2" wp14:editId="38B55AAB">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261253067"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26FA90C" w14:textId="77777777" w:rsidR="00672763" w:rsidRPr="00A608EE" w:rsidRDefault="00672763" w:rsidP="00EE208A">
      <w:pPr>
        <w:jc w:val="both"/>
        <w:rPr>
          <w:rFonts w:asciiTheme="majorHAnsi" w:hAnsiTheme="majorHAnsi"/>
          <w:sz w:val="20"/>
          <w:szCs w:val="20"/>
        </w:rPr>
      </w:pPr>
    </w:p>
    <w:p w14:paraId="1475228C" w14:textId="3FDFEAA1" w:rsidR="004A3ED5" w:rsidRPr="00A608EE" w:rsidRDefault="00FC6779" w:rsidP="00EE208A">
      <w:pPr>
        <w:jc w:val="both"/>
        <w:rPr>
          <w:rFonts w:asciiTheme="majorHAnsi" w:hAnsiTheme="majorHAnsi"/>
          <w:sz w:val="20"/>
          <w:szCs w:val="20"/>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4A3ED5" w:rsidRPr="00A608EE">
        <w:rPr>
          <w:rFonts w:asciiTheme="majorHAnsi" w:hAnsiTheme="majorHAnsi"/>
          <w:sz w:val="20"/>
          <w:szCs w:val="20"/>
        </w:rPr>
        <w:t>The provider embeds targets and actions to ensure inclusion of persons with disabilities within its business or operational plan, as a target segment and / or as sub-segments within target segments, aligned to its social goals and targets.</w:t>
      </w:r>
    </w:p>
    <w:p w14:paraId="1F17CA34" w14:textId="77777777" w:rsidR="004A3ED5" w:rsidRPr="00A608EE" w:rsidRDefault="004A3ED5" w:rsidP="00EE208A">
      <w:pPr>
        <w:jc w:val="both"/>
        <w:rPr>
          <w:rFonts w:asciiTheme="majorHAnsi" w:hAnsiTheme="majorHAnsi"/>
        </w:rPr>
      </w:pPr>
    </w:p>
    <w:p w14:paraId="56112FF4" w14:textId="4FC67D6F"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Scoring guidance</w:t>
      </w:r>
    </w:p>
    <w:p w14:paraId="6C6985F2" w14:textId="77777777" w:rsidR="00962F69" w:rsidRPr="00A608EE" w:rsidRDefault="00962F69" w:rsidP="00A27AAA">
      <w:pPr>
        <w:numPr>
          <w:ilvl w:val="0"/>
          <w:numId w:val="139"/>
        </w:numPr>
        <w:jc w:val="both"/>
        <w:rPr>
          <w:rFonts w:asciiTheme="majorHAnsi" w:hAnsiTheme="majorHAnsi"/>
          <w:sz w:val="20"/>
          <w:szCs w:val="20"/>
        </w:rPr>
      </w:pPr>
      <w:r w:rsidRPr="00A608EE">
        <w:rPr>
          <w:rFonts w:asciiTheme="majorHAnsi" w:hAnsiTheme="majorHAnsi"/>
          <w:sz w:val="20"/>
          <w:szCs w:val="20"/>
        </w:rPr>
        <w:t>Score ‘yes’, if all social goals and their corresponding targets are included in the business or annual operational plan. This requires that the scoring is ‘yes’ for 1.A.2.1 and 1.A.2.2, and at least ‘partially’ for the essential practices 1.A.1, 1B.1, and 1.B.2.</w:t>
      </w:r>
    </w:p>
    <w:p w14:paraId="27447ABE" w14:textId="0E728E43" w:rsidR="00962F69" w:rsidRPr="00A608EE" w:rsidRDefault="00962F69" w:rsidP="00A27AAA">
      <w:pPr>
        <w:numPr>
          <w:ilvl w:val="0"/>
          <w:numId w:val="139"/>
        </w:numPr>
        <w:jc w:val="both"/>
        <w:rPr>
          <w:rFonts w:asciiTheme="majorHAnsi" w:hAnsiTheme="majorHAnsi"/>
          <w:sz w:val="20"/>
          <w:szCs w:val="20"/>
        </w:rPr>
      </w:pPr>
      <w:r w:rsidRPr="00A608EE">
        <w:rPr>
          <w:rFonts w:asciiTheme="majorHAnsi" w:hAnsiTheme="majorHAnsi"/>
          <w:sz w:val="20"/>
          <w:szCs w:val="20"/>
        </w:rPr>
        <w:t>Score ‘partially’, if only some social goals and their corresponding targets are included in the business or annual operational plan. This requires that the scoring is at least ‘</w:t>
      </w:r>
      <w:r w:rsidR="008D472A" w:rsidRPr="00A608EE">
        <w:rPr>
          <w:rFonts w:asciiTheme="majorHAnsi" w:hAnsiTheme="majorHAnsi"/>
          <w:sz w:val="20"/>
          <w:szCs w:val="20"/>
        </w:rPr>
        <w:t>partially’ for</w:t>
      </w:r>
      <w:r w:rsidRPr="00A608EE">
        <w:rPr>
          <w:rFonts w:asciiTheme="majorHAnsi" w:hAnsiTheme="majorHAnsi"/>
          <w:sz w:val="20"/>
          <w:szCs w:val="20"/>
        </w:rPr>
        <w:t xml:space="preserve"> 1.A.2.1, 1.A.2.2, and the essential practices 1.A.1, 1B.1, and 1.B.2.</w:t>
      </w:r>
    </w:p>
    <w:p w14:paraId="09259F2C" w14:textId="77777777" w:rsidR="00962F69" w:rsidRPr="00A608EE" w:rsidRDefault="00962F69" w:rsidP="00A27AAA">
      <w:pPr>
        <w:numPr>
          <w:ilvl w:val="0"/>
          <w:numId w:val="139"/>
        </w:numPr>
        <w:jc w:val="both"/>
        <w:rPr>
          <w:rFonts w:asciiTheme="majorHAnsi" w:hAnsiTheme="majorHAnsi"/>
          <w:sz w:val="20"/>
          <w:szCs w:val="20"/>
        </w:rPr>
      </w:pPr>
      <w:r w:rsidRPr="00A608EE">
        <w:rPr>
          <w:rFonts w:asciiTheme="majorHAnsi" w:hAnsiTheme="majorHAnsi"/>
          <w:sz w:val="20"/>
          <w:szCs w:val="20"/>
        </w:rPr>
        <w:t>Score ‘no’, if only one or none of the social goals and their corresponding targets are included in the business or annual operational plan. The score is also ‘no’, if the scoring is ‘no’ for 1.A.2.1, 1.A.2.2, and for the essential practices 1.A.1, 1B.1, and 1.B.2.</w:t>
      </w:r>
    </w:p>
    <w:p w14:paraId="16F1A7FE" w14:textId="77777777" w:rsidR="00962F69" w:rsidRPr="00A608EE" w:rsidRDefault="00962F69" w:rsidP="00EE208A">
      <w:pPr>
        <w:jc w:val="both"/>
        <w:rPr>
          <w:rFonts w:asciiTheme="majorHAnsi" w:hAnsiTheme="majorHAnsi"/>
          <w:sz w:val="20"/>
          <w:szCs w:val="20"/>
        </w:rPr>
      </w:pPr>
    </w:p>
    <w:p w14:paraId="03580DCA" w14:textId="7E4E2516"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Sources of information</w:t>
      </w:r>
    </w:p>
    <w:p w14:paraId="6415B7B3" w14:textId="77777777" w:rsidR="00962F69" w:rsidRPr="00A608EE" w:rsidRDefault="00962F69" w:rsidP="00A27AAA">
      <w:pPr>
        <w:numPr>
          <w:ilvl w:val="0"/>
          <w:numId w:val="140"/>
        </w:numPr>
        <w:jc w:val="both"/>
        <w:rPr>
          <w:rFonts w:asciiTheme="majorHAnsi" w:hAnsiTheme="majorHAnsi"/>
          <w:sz w:val="20"/>
          <w:szCs w:val="20"/>
        </w:rPr>
      </w:pPr>
      <w:r w:rsidRPr="00A608EE">
        <w:rPr>
          <w:rFonts w:asciiTheme="majorHAnsi" w:hAnsiTheme="majorHAnsi"/>
          <w:sz w:val="20"/>
          <w:szCs w:val="20"/>
        </w:rPr>
        <w:t>Strategy/Business plan</w:t>
      </w:r>
    </w:p>
    <w:p w14:paraId="30354C82" w14:textId="77777777" w:rsidR="00962F69" w:rsidRPr="00A608EE" w:rsidRDefault="00962F69" w:rsidP="00A27AAA">
      <w:pPr>
        <w:numPr>
          <w:ilvl w:val="0"/>
          <w:numId w:val="140"/>
        </w:numPr>
        <w:jc w:val="both"/>
        <w:rPr>
          <w:rFonts w:asciiTheme="majorHAnsi" w:hAnsiTheme="majorHAnsi"/>
          <w:sz w:val="20"/>
          <w:szCs w:val="20"/>
        </w:rPr>
      </w:pPr>
      <w:r w:rsidRPr="00A608EE">
        <w:rPr>
          <w:rFonts w:asciiTheme="majorHAnsi" w:hAnsiTheme="majorHAnsi"/>
          <w:sz w:val="20"/>
          <w:szCs w:val="20"/>
        </w:rPr>
        <w:t>Annual Operational plans</w:t>
      </w:r>
    </w:p>
    <w:p w14:paraId="07C4E215" w14:textId="77777777" w:rsidR="00962F69" w:rsidRPr="00A608EE" w:rsidRDefault="00962F69" w:rsidP="00A27AAA">
      <w:pPr>
        <w:numPr>
          <w:ilvl w:val="0"/>
          <w:numId w:val="140"/>
        </w:numPr>
        <w:jc w:val="both"/>
        <w:rPr>
          <w:rFonts w:asciiTheme="majorHAnsi" w:hAnsiTheme="majorHAnsi"/>
          <w:sz w:val="20"/>
          <w:szCs w:val="20"/>
        </w:rPr>
      </w:pPr>
      <w:r w:rsidRPr="00A608EE">
        <w:rPr>
          <w:rFonts w:asciiTheme="majorHAnsi" w:hAnsiTheme="majorHAnsi"/>
          <w:sz w:val="20"/>
          <w:szCs w:val="20"/>
        </w:rPr>
        <w:t>Interviews with CEO/managing director</w:t>
      </w:r>
    </w:p>
    <w:p w14:paraId="3E4118C9" w14:textId="77777777" w:rsidR="00962F69" w:rsidRPr="00A608EE" w:rsidRDefault="00962F69" w:rsidP="00EE208A">
      <w:pPr>
        <w:jc w:val="both"/>
        <w:rPr>
          <w:rFonts w:asciiTheme="majorHAnsi" w:hAnsiTheme="majorHAnsi"/>
          <w:sz w:val="20"/>
          <w:szCs w:val="20"/>
        </w:rPr>
      </w:pPr>
    </w:p>
    <w:p w14:paraId="272204B7" w14:textId="4946DAB4"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Evidence to provide</w:t>
      </w:r>
    </w:p>
    <w:p w14:paraId="5F1BA616" w14:textId="77777777"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rPr>
        <w:t>Specify the sections of the business/operational plan that refer to the social goals and their targets. Give concrete examples.</w:t>
      </w:r>
    </w:p>
    <w:p w14:paraId="79C10AD4" w14:textId="77777777" w:rsidR="00273347" w:rsidRPr="00A608EE" w:rsidRDefault="00273347" w:rsidP="00EE208A">
      <w:pPr>
        <w:jc w:val="both"/>
        <w:rPr>
          <w:rFonts w:asciiTheme="majorHAnsi" w:hAnsiTheme="majorHAnsi"/>
          <w:szCs w:val="20"/>
        </w:rPr>
      </w:pPr>
    </w:p>
    <w:p w14:paraId="35EFB171" w14:textId="58131125" w:rsidR="00B1282C" w:rsidRPr="00A608EE" w:rsidRDefault="00B1282C" w:rsidP="00EE208A">
      <w:pPr>
        <w:pStyle w:val="Heading3"/>
        <w:spacing w:before="0" w:line="240" w:lineRule="auto"/>
        <w:jc w:val="both"/>
      </w:pPr>
      <w:bookmarkStart w:id="41" w:name="_Toc230938783"/>
      <w:r w:rsidRPr="00A608EE">
        <w:rPr>
          <w:rStyle w:val="text-primary"/>
        </w:rPr>
        <w:t>2.B.2</w:t>
      </w:r>
      <w:r w:rsidRPr="00A608EE">
        <w:t xml:space="preserve"> </w:t>
      </w:r>
      <w:r w:rsidR="00962F69" w:rsidRPr="00A608EE">
        <w:t>Management makes strategic and operational decisions based on social and financial data</w:t>
      </w:r>
      <w:r w:rsidRPr="00A608EE">
        <w:t>.</w:t>
      </w:r>
      <w:bookmarkEnd w:id="41"/>
    </w:p>
    <w:p w14:paraId="20863C12" w14:textId="77777777" w:rsidR="00D52C89" w:rsidRPr="00A608EE" w:rsidRDefault="00D52C89" w:rsidP="00EE208A">
      <w:pPr>
        <w:jc w:val="both"/>
        <w:rPr>
          <w:rFonts w:asciiTheme="majorHAnsi" w:hAnsiTheme="majorHAnsi"/>
          <w:szCs w:val="20"/>
        </w:rPr>
      </w:pPr>
    </w:p>
    <w:p w14:paraId="674A61EA" w14:textId="66714655" w:rsidR="00FE01D0" w:rsidRPr="00A608EE" w:rsidRDefault="00962F69" w:rsidP="00EE208A">
      <w:pPr>
        <w:jc w:val="both"/>
        <w:rPr>
          <w:rFonts w:asciiTheme="majorHAnsi" w:hAnsiTheme="majorHAnsi"/>
          <w:sz w:val="20"/>
          <w:szCs w:val="15"/>
        </w:rPr>
      </w:pPr>
      <w:r w:rsidRPr="00A608EE">
        <w:rPr>
          <w:rFonts w:asciiTheme="majorHAnsi" w:hAnsiTheme="majorHAnsi"/>
          <w:sz w:val="20"/>
          <w:szCs w:val="15"/>
        </w:rPr>
        <w:t>Key field managers and staff should carry out a “social performance check” on all daily business decisions to complement the social performance review of the senior managers and the board with field-level experiences and realities. This “check” can be as simple as asking: “how does this decision affect clients?” before choosing a course of action. Discuss with managers how this check might play out in the normal course of daily business and how it might cause them to change current operations or planned activities.</w:t>
      </w:r>
    </w:p>
    <w:p w14:paraId="62C35ED2" w14:textId="77777777" w:rsidR="00962F69" w:rsidRPr="00A608EE" w:rsidRDefault="00962F69" w:rsidP="00EE208A">
      <w:pPr>
        <w:jc w:val="both"/>
        <w:rPr>
          <w:rFonts w:asciiTheme="majorHAnsi" w:hAnsiTheme="majorHAnsi"/>
          <w:b/>
          <w:bCs/>
          <w:sz w:val="20"/>
          <w:szCs w:val="15"/>
        </w:rPr>
      </w:pPr>
      <w:r w:rsidRPr="00A608EE">
        <w:rPr>
          <w:rFonts w:asciiTheme="majorHAnsi" w:hAnsiTheme="majorHAnsi"/>
          <w:b/>
          <w:bCs/>
          <w:sz w:val="20"/>
          <w:szCs w:val="15"/>
        </w:rPr>
        <w:t>Monitor Social Performance Risk</w:t>
      </w:r>
    </w:p>
    <w:p w14:paraId="670C1BC9" w14:textId="77777777" w:rsidR="00962F69" w:rsidRPr="00A608EE" w:rsidRDefault="00962F69" w:rsidP="00EE208A">
      <w:pPr>
        <w:jc w:val="both"/>
        <w:rPr>
          <w:rFonts w:asciiTheme="majorHAnsi" w:hAnsiTheme="majorHAnsi"/>
          <w:sz w:val="20"/>
          <w:szCs w:val="15"/>
        </w:rPr>
      </w:pPr>
      <w:r w:rsidRPr="00A608EE">
        <w:rPr>
          <w:rFonts w:asciiTheme="majorHAnsi" w:hAnsiTheme="majorHAnsi"/>
          <w:sz w:val="20"/>
          <w:szCs w:val="15"/>
        </w:rPr>
        <w:t xml:space="preserve">Risk management systems tend to focus on financial and operational risks (like fraud), but often ignore risks that are more closely related to serve clients effectively. Internal audit and risk management/internal control should integrate social performance criteria into their regular activities. In addition, external assessments of social performance risks are highly recommended, such as social ratings, external social audits, or client protection certification. </w:t>
      </w:r>
      <w:r w:rsidRPr="00A608EE">
        <w:rPr>
          <w:rFonts w:asciiTheme="majorHAnsi" w:hAnsiTheme="majorHAnsi"/>
          <w:sz w:val="20"/>
          <w:szCs w:val="15"/>
        </w:rPr>
        <w:lastRenderedPageBreak/>
        <w:t>The table Monitor Social Performance Risk offers some ideas of common social performance risks.</w:t>
      </w:r>
    </w:p>
    <w:p w14:paraId="4EFF7BC0" w14:textId="77777777" w:rsidR="008243F9" w:rsidRPr="00A608EE" w:rsidRDefault="008243F9" w:rsidP="00EE208A">
      <w:pPr>
        <w:jc w:val="both"/>
        <w:rPr>
          <w:rFonts w:asciiTheme="majorHAnsi" w:hAnsiTheme="majorHAnsi"/>
          <w:sz w:val="20"/>
          <w:szCs w:val="20"/>
        </w:rPr>
      </w:pPr>
    </w:p>
    <w:p w14:paraId="1060BC76" w14:textId="3A1C5505" w:rsidR="00FE01D0"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Resources for 2.B.2</w:t>
      </w:r>
    </w:p>
    <w:p w14:paraId="194002FD" w14:textId="77777777" w:rsidR="008613F7" w:rsidRPr="00A608EE" w:rsidRDefault="008613F7" w:rsidP="00A27AAA">
      <w:pPr>
        <w:numPr>
          <w:ilvl w:val="0"/>
          <w:numId w:val="59"/>
        </w:numPr>
        <w:jc w:val="both"/>
        <w:rPr>
          <w:rFonts w:asciiTheme="majorHAnsi" w:hAnsiTheme="majorHAnsi"/>
          <w:sz w:val="20"/>
          <w:szCs w:val="20"/>
        </w:rPr>
      </w:pPr>
      <w:hyperlink r:id="rId95" w:history="1">
        <w:r w:rsidRPr="00A608EE">
          <w:rPr>
            <w:rStyle w:val="Hyperlink"/>
            <w:rFonts w:asciiTheme="majorHAnsi" w:hAnsiTheme="majorHAnsi"/>
            <w:sz w:val="20"/>
            <w:szCs w:val="20"/>
          </w:rPr>
          <w:t>CRECER (Bolivia) addresses quality in response to lack of impact</w:t>
        </w:r>
      </w:hyperlink>
    </w:p>
    <w:p w14:paraId="47BF6A0B" w14:textId="77777777" w:rsidR="008613F7" w:rsidRPr="00A608EE" w:rsidRDefault="008613F7" w:rsidP="00A27AAA">
      <w:pPr>
        <w:numPr>
          <w:ilvl w:val="0"/>
          <w:numId w:val="59"/>
        </w:numPr>
        <w:jc w:val="both"/>
        <w:rPr>
          <w:rFonts w:asciiTheme="majorHAnsi" w:hAnsiTheme="majorHAnsi"/>
          <w:sz w:val="20"/>
          <w:szCs w:val="20"/>
        </w:rPr>
      </w:pPr>
      <w:hyperlink r:id="rId96" w:history="1">
        <w:r w:rsidRPr="00A608EE">
          <w:rPr>
            <w:rStyle w:val="Hyperlink"/>
            <w:rFonts w:asciiTheme="majorHAnsi" w:hAnsiTheme="majorHAnsi"/>
            <w:sz w:val="20"/>
            <w:szCs w:val="20"/>
          </w:rPr>
          <w:t>Microloan Foundation responds to missed outreach targets by addressing barriers</w:t>
        </w:r>
      </w:hyperlink>
    </w:p>
    <w:p w14:paraId="15540270" w14:textId="77777777" w:rsidR="008613F7" w:rsidRPr="00A608EE" w:rsidRDefault="008613F7" w:rsidP="00A27AAA">
      <w:pPr>
        <w:numPr>
          <w:ilvl w:val="0"/>
          <w:numId w:val="59"/>
        </w:numPr>
        <w:jc w:val="both"/>
        <w:rPr>
          <w:rFonts w:asciiTheme="majorHAnsi" w:hAnsiTheme="majorHAnsi"/>
          <w:sz w:val="20"/>
          <w:szCs w:val="20"/>
        </w:rPr>
      </w:pPr>
      <w:hyperlink r:id="rId97" w:history="1">
        <w:r w:rsidRPr="00A608EE">
          <w:rPr>
            <w:rStyle w:val="Hyperlink"/>
            <w:rFonts w:asciiTheme="majorHAnsi" w:hAnsiTheme="majorHAnsi"/>
            <w:sz w:val="20"/>
            <w:szCs w:val="20"/>
          </w:rPr>
          <w:t>KASHF Foundation Monitors Risk Using Client Interviews</w:t>
        </w:r>
      </w:hyperlink>
    </w:p>
    <w:p w14:paraId="52EE3F61" w14:textId="77777777" w:rsidR="008613F7" w:rsidRPr="00A608EE" w:rsidRDefault="008613F7" w:rsidP="00A27AAA">
      <w:pPr>
        <w:numPr>
          <w:ilvl w:val="0"/>
          <w:numId w:val="59"/>
        </w:numPr>
        <w:jc w:val="both"/>
        <w:rPr>
          <w:rFonts w:asciiTheme="majorHAnsi" w:hAnsiTheme="majorHAnsi"/>
          <w:sz w:val="20"/>
          <w:szCs w:val="20"/>
        </w:rPr>
      </w:pPr>
      <w:hyperlink r:id="rId98" w:history="1">
        <w:r w:rsidRPr="00A608EE">
          <w:rPr>
            <w:rStyle w:val="Hyperlink"/>
            <w:rFonts w:asciiTheme="majorHAnsi" w:hAnsiTheme="majorHAnsi"/>
            <w:sz w:val="20"/>
            <w:szCs w:val="20"/>
          </w:rPr>
          <w:t>CASHPOR Identifies a Social and Financial Risk</w:t>
        </w:r>
      </w:hyperlink>
    </w:p>
    <w:p w14:paraId="19024B06" w14:textId="0D042AB1" w:rsidR="008613F7" w:rsidRPr="00A608EE" w:rsidRDefault="008613F7" w:rsidP="00A27AAA">
      <w:pPr>
        <w:numPr>
          <w:ilvl w:val="0"/>
          <w:numId w:val="59"/>
        </w:numPr>
        <w:jc w:val="both"/>
        <w:rPr>
          <w:rFonts w:asciiTheme="majorHAnsi" w:hAnsiTheme="majorHAnsi"/>
          <w:sz w:val="20"/>
          <w:szCs w:val="20"/>
        </w:rPr>
      </w:pPr>
      <w:hyperlink r:id="rId99" w:tgtFrame="_blank" w:history="1">
        <w:r w:rsidRPr="00A608EE">
          <w:rPr>
            <w:rStyle w:val="Hyperlink"/>
            <w:rFonts w:asciiTheme="majorHAnsi" w:hAnsiTheme="majorHAnsi"/>
            <w:sz w:val="20"/>
            <w:szCs w:val="20"/>
          </w:rPr>
          <w:t>SPM Essentials</w:t>
        </w:r>
        <w:r w:rsidR="00EE0470" w:rsidRPr="00A608EE">
          <w:rPr>
            <w:rStyle w:val="Hyperlink"/>
            <w:rFonts w:asciiTheme="majorHAnsi" w:hAnsiTheme="majorHAnsi"/>
            <w:sz w:val="20"/>
            <w:szCs w:val="20"/>
          </w:rPr>
          <w:t xml:space="preserve"> Webinar</w:t>
        </w:r>
        <w:r w:rsidRPr="00A608EE">
          <w:rPr>
            <w:rStyle w:val="Hyperlink"/>
            <w:rFonts w:asciiTheme="majorHAnsi" w:hAnsiTheme="majorHAnsi"/>
            <w:sz w:val="20"/>
            <w:szCs w:val="20"/>
          </w:rPr>
          <w:t xml:space="preserve"> #2: Practical ways to address gender-related risks at your organization</w:t>
        </w:r>
      </w:hyperlink>
    </w:p>
    <w:p w14:paraId="0804F668" w14:textId="77777777" w:rsidR="008613F7" w:rsidRPr="00A608EE" w:rsidRDefault="008613F7" w:rsidP="00A27AAA">
      <w:pPr>
        <w:numPr>
          <w:ilvl w:val="0"/>
          <w:numId w:val="59"/>
        </w:numPr>
        <w:jc w:val="both"/>
        <w:rPr>
          <w:rFonts w:asciiTheme="majorHAnsi" w:hAnsiTheme="majorHAnsi"/>
          <w:sz w:val="20"/>
          <w:szCs w:val="20"/>
        </w:rPr>
      </w:pPr>
      <w:hyperlink r:id="rId100" w:tgtFrame="_blank" w:history="1">
        <w:r w:rsidRPr="00A608EE">
          <w:rPr>
            <w:rStyle w:val="Hyperlink"/>
            <w:rFonts w:asciiTheme="majorHAnsi" w:hAnsiTheme="majorHAnsi"/>
            <w:sz w:val="20"/>
            <w:szCs w:val="20"/>
          </w:rPr>
          <w:t>Yannick Milev of Chamroeun interview</w:t>
        </w:r>
      </w:hyperlink>
    </w:p>
    <w:p w14:paraId="3DF77568" w14:textId="77777777" w:rsidR="002F2381" w:rsidRPr="00A608EE" w:rsidRDefault="002F2381" w:rsidP="00EE208A">
      <w:pPr>
        <w:jc w:val="both"/>
        <w:rPr>
          <w:rFonts w:asciiTheme="majorHAnsi" w:hAnsiTheme="majorHAnsi"/>
          <w:szCs w:val="20"/>
        </w:rPr>
      </w:pPr>
    </w:p>
    <w:p w14:paraId="64C611D3" w14:textId="49541AF9" w:rsidR="00B1282C" w:rsidRPr="00A608EE" w:rsidRDefault="00B1282C" w:rsidP="00EE208A">
      <w:pPr>
        <w:pStyle w:val="Heading4"/>
        <w:spacing w:before="0" w:line="240" w:lineRule="auto"/>
        <w:jc w:val="both"/>
      </w:pPr>
      <w:r w:rsidRPr="00A608EE">
        <w:rPr>
          <w:rStyle w:val="text-primary"/>
        </w:rPr>
        <w:t>2.B.2.1</w:t>
      </w:r>
      <w:r w:rsidRPr="00A608EE">
        <w:t xml:space="preserve"> </w:t>
      </w:r>
      <w:r w:rsidR="00962F69" w:rsidRPr="00A608EE">
        <w:t>Senior management analyzes the following data and assesses risks. Minimum frequency annually.</w:t>
      </w:r>
    </w:p>
    <w:p w14:paraId="5567227F" w14:textId="682AA375" w:rsidR="00962F69" w:rsidRPr="00A608EE" w:rsidRDefault="00962F69" w:rsidP="00EE208A">
      <w:pPr>
        <w:pStyle w:val="Heading5"/>
        <w:spacing w:line="240" w:lineRule="auto"/>
        <w:ind w:left="708"/>
        <w:jc w:val="both"/>
        <w:rPr>
          <w:rFonts w:cstheme="majorHAnsi"/>
          <w:i/>
          <w:color w:val="auto"/>
          <w:szCs w:val="20"/>
        </w:rPr>
      </w:pPr>
      <w:r w:rsidRPr="00A608EE">
        <w:rPr>
          <w:rFonts w:cstheme="majorHAnsi"/>
          <w:i/>
          <w:color w:val="auto"/>
          <w:szCs w:val="20"/>
        </w:rPr>
        <w:t>2.B.2.1.1 Analysis of client protection risks (over-indebtedness, unfair treatment, lack of transparency, privacy of client data, complaints, fraud, corruption and bribery)</w:t>
      </w:r>
    </w:p>
    <w:p w14:paraId="70A3567F" w14:textId="77777777" w:rsidR="00962F69" w:rsidRPr="00A608EE" w:rsidRDefault="00962F69" w:rsidP="00EE208A">
      <w:pPr>
        <w:pStyle w:val="Heading5"/>
        <w:spacing w:line="240" w:lineRule="auto"/>
        <w:ind w:left="708"/>
        <w:jc w:val="both"/>
        <w:rPr>
          <w:rFonts w:cstheme="majorHAnsi"/>
          <w:i/>
          <w:color w:val="auto"/>
          <w:szCs w:val="20"/>
        </w:rPr>
      </w:pPr>
      <w:r w:rsidRPr="00A608EE">
        <w:rPr>
          <w:rFonts w:cstheme="majorHAnsi"/>
          <w:i/>
          <w:color w:val="auto"/>
          <w:szCs w:val="20"/>
        </w:rPr>
        <w:t>2.B.2.1.2 Analysis of outcomes for clients and their households.</w:t>
      </w:r>
    </w:p>
    <w:p w14:paraId="7312006F" w14:textId="453A49B6" w:rsidR="00B1282C" w:rsidRPr="00A608EE" w:rsidRDefault="00962F69" w:rsidP="00EE208A">
      <w:pPr>
        <w:pStyle w:val="Heading5"/>
        <w:spacing w:before="0" w:line="240" w:lineRule="auto"/>
        <w:ind w:left="708"/>
        <w:jc w:val="both"/>
        <w:rPr>
          <w:rFonts w:cstheme="majorHAnsi"/>
          <w:i/>
          <w:iCs/>
          <w:color w:val="auto"/>
          <w:szCs w:val="20"/>
        </w:rPr>
      </w:pPr>
      <w:r w:rsidRPr="00A608EE">
        <w:rPr>
          <w:rFonts w:cstheme="majorHAnsi"/>
          <w:i/>
          <w:color w:val="auto"/>
          <w:szCs w:val="20"/>
        </w:rPr>
        <w:t>2.B.2.1.3 Analysis of decent work conditions (health and safety, compensation and benefits, working conditions)</w:t>
      </w:r>
    </w:p>
    <w:p w14:paraId="6FBBC92D" w14:textId="77777777" w:rsidR="00B1282C" w:rsidRPr="00A608EE" w:rsidRDefault="00B1282C" w:rsidP="00EE208A">
      <w:pPr>
        <w:jc w:val="both"/>
        <w:rPr>
          <w:rFonts w:asciiTheme="majorHAnsi" w:hAnsiTheme="majorHAnsi"/>
          <w:szCs w:val="20"/>
        </w:rPr>
      </w:pPr>
    </w:p>
    <w:p w14:paraId="5A84435F" w14:textId="263BC7A3" w:rsidR="00FE01D0" w:rsidRPr="00A608EE" w:rsidRDefault="004F5FC3" w:rsidP="00EE208A">
      <w:pPr>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FE01D0" w:rsidRPr="00A608EE">
        <w:rPr>
          <w:rFonts w:asciiTheme="majorHAnsi" w:hAnsiTheme="majorHAnsi"/>
          <w:b/>
          <w:bCs/>
          <w:color w:val="2145CC" w:themeColor="accent5" w:themeShade="BF"/>
          <w:sz w:val="20"/>
          <w:szCs w:val="20"/>
        </w:rPr>
        <w:t>ESG Risk</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FE01D0" w:rsidRPr="00A608EE">
        <w:rPr>
          <w:rFonts w:asciiTheme="majorHAnsi" w:hAnsiTheme="majorHAnsi"/>
          <w:b/>
          <w:bCs/>
          <w:color w:val="2145CC" w:themeColor="accent5" w:themeShade="BF"/>
          <w:sz w:val="20"/>
          <w:szCs w:val="20"/>
        </w:rPr>
        <w:t>ALINUS</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FE01D0"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FE01D0" w:rsidRPr="00A608EE">
        <w:rPr>
          <w:rFonts w:asciiTheme="majorHAnsi" w:hAnsiTheme="majorHAnsi"/>
          <w:b/>
          <w:bCs/>
          <w:color w:val="2145CC" w:themeColor="accent5" w:themeShade="BF"/>
          <w:sz w:val="20"/>
          <w:szCs w:val="20"/>
        </w:rPr>
        <w:t>SPI5 Full</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FE01D0" w:rsidRPr="00A608EE">
        <w:rPr>
          <w:rFonts w:asciiTheme="majorHAnsi" w:hAnsiTheme="majorHAnsi"/>
          <w:b/>
          <w:bCs/>
          <w:color w:val="2145CC" w:themeColor="accent5" w:themeShade="BF"/>
          <w:sz w:val="20"/>
          <w:szCs w:val="20"/>
        </w:rPr>
        <w:t xml:space="preserve">CP </w:t>
      </w:r>
      <w:r w:rsidR="00440024" w:rsidRPr="00A608EE">
        <w:rPr>
          <w:rFonts w:asciiTheme="majorHAnsi" w:hAnsiTheme="majorHAnsi"/>
          <w:b/>
          <w:bCs/>
          <w:color w:val="2145CC" w:themeColor="accent5" w:themeShade="BF"/>
          <w:sz w:val="20"/>
          <w:szCs w:val="20"/>
        </w:rPr>
        <w:t>Commit</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FE01D0" w:rsidRPr="00A608EE">
        <w:rPr>
          <w:rFonts w:asciiTheme="majorHAnsi" w:hAnsiTheme="majorHAnsi"/>
          <w:b/>
          <w:bCs/>
          <w:color w:val="2145CC" w:themeColor="accent5" w:themeShade="BF"/>
          <w:sz w:val="20"/>
          <w:szCs w:val="20"/>
        </w:rPr>
        <w:t xml:space="preserve">CP </w:t>
      </w:r>
      <w:r w:rsidR="00440024" w:rsidRPr="00A608EE">
        <w:rPr>
          <w:rFonts w:asciiTheme="majorHAnsi" w:hAnsiTheme="majorHAnsi"/>
          <w:b/>
          <w:bCs/>
          <w:color w:val="2145CC" w:themeColor="accent5" w:themeShade="BF"/>
          <w:sz w:val="20"/>
          <w:szCs w:val="20"/>
        </w:rPr>
        <w:t>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78D066A7" w14:textId="68046222" w:rsidR="00064473" w:rsidRPr="00A608EE" w:rsidRDefault="00064473" w:rsidP="00EE208A">
      <w:pPr>
        <w:jc w:val="both"/>
        <w:rPr>
          <w:rFonts w:asciiTheme="majorHAnsi" w:hAnsiTheme="majorHAnsi"/>
          <w:b/>
          <w:bCs/>
          <w:color w:val="2145CC" w:themeColor="accent5" w:themeShade="BF"/>
          <w:sz w:val="20"/>
          <w:szCs w:val="20"/>
        </w:rPr>
      </w:pPr>
      <w:r w:rsidRPr="00A608EE">
        <w:rPr>
          <w:rFonts w:asciiTheme="majorHAnsi" w:hAnsiTheme="majorHAnsi"/>
          <w:b/>
          <w:bCs/>
          <w:color w:val="2145CC" w:themeColor="accent5" w:themeShade="BF"/>
          <w:sz w:val="20"/>
          <w:szCs w:val="20"/>
        </w:rPr>
        <w:t>D</w:t>
      </w:r>
      <w:r w:rsidR="00962F69" w:rsidRPr="00A608EE">
        <w:rPr>
          <w:rFonts w:asciiTheme="majorHAnsi" w:hAnsiTheme="majorHAnsi"/>
          <w:b/>
          <w:bCs/>
          <w:color w:val="2145CC" w:themeColor="accent5" w:themeShade="BF"/>
          <w:sz w:val="20"/>
          <w:szCs w:val="20"/>
        </w:rPr>
        <w:t>et</w:t>
      </w:r>
      <w:r w:rsidRPr="00A608EE">
        <w:rPr>
          <w:rFonts w:asciiTheme="majorHAnsi" w:hAnsiTheme="majorHAnsi"/>
          <w:b/>
          <w:bCs/>
          <w:color w:val="2145CC" w:themeColor="accent5" w:themeShade="BF"/>
          <w:sz w:val="20"/>
          <w:szCs w:val="20"/>
        </w:rPr>
        <w:t>ail 2.B.2.1.2: SPI5 Full</w:t>
      </w:r>
      <w:r w:rsidR="004A48FF" w:rsidRPr="00A608EE">
        <w:rPr>
          <w:rFonts w:asciiTheme="majorHAnsi" w:hAnsiTheme="majorHAnsi"/>
          <w:b/>
          <w:bCs/>
          <w:color w:val="2145CC" w:themeColor="accent5" w:themeShade="BF"/>
          <w:sz w:val="20"/>
          <w:szCs w:val="20"/>
        </w:rPr>
        <w:t xml:space="preserve"> </w:t>
      </w:r>
    </w:p>
    <w:p w14:paraId="4CFBF41A" w14:textId="6C2D0F66" w:rsidR="00064473" w:rsidRPr="00A608EE" w:rsidRDefault="00064473" w:rsidP="008D472A">
      <w:pPr>
        <w:pStyle w:val="paragraph"/>
        <w:spacing w:before="120" w:beforeAutospacing="0" w:after="120" w:afterAutospacing="0"/>
        <w:jc w:val="both"/>
        <w:textAlignment w:val="baseline"/>
        <w:rPr>
          <w:rFonts w:asciiTheme="majorHAnsi" w:hAnsiTheme="majorHAnsi"/>
          <w:sz w:val="20"/>
          <w:szCs w:val="20"/>
        </w:rPr>
      </w:pPr>
    </w:p>
    <w:p w14:paraId="2ABC1BC5" w14:textId="33B93190" w:rsidR="008D472A" w:rsidRPr="00A608EE" w:rsidRDefault="00962F69" w:rsidP="00EE208A">
      <w:pPr>
        <w:jc w:val="both"/>
        <w:rPr>
          <w:rFonts w:asciiTheme="majorHAnsi" w:hAnsiTheme="majorHAnsi"/>
          <w:sz w:val="20"/>
          <w:szCs w:val="20"/>
        </w:rPr>
      </w:pPr>
      <w:r w:rsidRPr="00A608EE">
        <w:rPr>
          <w:rFonts w:asciiTheme="majorHAnsi" w:hAnsiTheme="majorHAnsi"/>
          <w:sz w:val="20"/>
          <w:szCs w:val="20"/>
        </w:rPr>
        <w:t>Social performance risks are an integral part of a complete risk management framework. Indeed, many social performance criteria can serve as warning signs of crisis, institutional and operational weaknesses. Risk assessment of client protection, client outcomes, and decent work conditions may be carried out internally by a dedicated manager or department (e.g. an annual client protection compliance audit), a specific committee or across different operational areas and/or externally by a client protection assessment, a social rating, or an external social audit.</w:t>
      </w:r>
    </w:p>
    <w:p w14:paraId="63510FA6" w14:textId="77777777" w:rsidR="00672763" w:rsidRPr="00A608EE" w:rsidRDefault="00672763" w:rsidP="00EE208A">
      <w:pPr>
        <w:jc w:val="both"/>
        <w:rPr>
          <w:rFonts w:asciiTheme="majorHAnsi" w:hAnsiTheme="majorHAnsi"/>
          <w:sz w:val="20"/>
          <w:szCs w:val="20"/>
        </w:rPr>
      </w:pPr>
    </w:p>
    <w:p w14:paraId="2E41F06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17984" behindDoc="1" locked="0" layoutInCell="1" allowOverlap="1" wp14:anchorId="32B0B606" wp14:editId="2864A908">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741267305"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992C2A5" w14:textId="77777777" w:rsidR="00672763" w:rsidRPr="00A608EE" w:rsidRDefault="00672763" w:rsidP="00EE208A">
      <w:pPr>
        <w:jc w:val="both"/>
        <w:rPr>
          <w:rFonts w:asciiTheme="majorHAnsi" w:hAnsiTheme="majorHAnsi"/>
          <w:sz w:val="20"/>
          <w:szCs w:val="20"/>
        </w:rPr>
      </w:pPr>
    </w:p>
    <w:p w14:paraId="4A1F97E3" w14:textId="17B4B0A5" w:rsidR="00BB2039" w:rsidRPr="00A608EE" w:rsidRDefault="00FC6779" w:rsidP="00BB2039">
      <w:pPr>
        <w:pStyle w:val="paragraph"/>
        <w:spacing w:before="0" w:beforeAutospacing="0" w:after="0" w:afterAutospacing="0"/>
        <w:jc w:val="both"/>
        <w:textAlignment w:val="baseline"/>
        <w:rPr>
          <w:rFonts w:eastAsiaTheme="minorHAnsi"/>
          <w:sz w:val="20"/>
          <w:szCs w:val="20"/>
          <w:lang w:eastAsia="en-US"/>
        </w:rPr>
      </w:pPr>
      <w:r w:rsidRPr="00A608EE">
        <w:rPr>
          <w:rFonts w:ascii="Work Sans" w:hAnsi="Work Sans"/>
          <w:b/>
          <w:bCs/>
          <w:sz w:val="20"/>
          <w:szCs w:val="20"/>
        </w:rPr>
        <w:t xml:space="preserve">DI Indicator: </w:t>
      </w:r>
      <w:r w:rsidR="00BB2039" w:rsidRPr="00A608EE">
        <w:rPr>
          <w:rFonts w:asciiTheme="majorHAnsi" w:eastAsiaTheme="minorHAnsi" w:hAnsiTheme="majorHAnsi"/>
          <w:sz w:val="20"/>
          <w:szCs w:val="20"/>
          <w:lang w:eastAsia="en-US"/>
        </w:rPr>
        <w:t>Analysis of client protection risks and client outcomes should take into account specific vulnerabilities of clients with disabilities. Analysis of decent work conditions (health and safety, compensation and benefits, working conditions, accessibility and reasonable accommodations when required).</w:t>
      </w:r>
    </w:p>
    <w:p w14:paraId="45B8A4AF" w14:textId="21EA7E34" w:rsidR="002B71DD" w:rsidRPr="00A608EE" w:rsidRDefault="00BB2039" w:rsidP="00EE208A">
      <w:pPr>
        <w:jc w:val="both"/>
        <w:rPr>
          <w:rFonts w:asciiTheme="majorHAnsi" w:hAnsiTheme="majorHAnsi"/>
          <w:szCs w:val="20"/>
        </w:rPr>
      </w:pPr>
      <w:r w:rsidRPr="00A608EE">
        <w:rPr>
          <w:noProof/>
        </w:rPr>
        <w:lastRenderedPageBreak/>
        <mc:AlternateContent>
          <mc:Choice Requires="wps">
            <w:drawing>
              <wp:anchor distT="0" distB="0" distL="114300" distR="114300" simplePos="0" relativeHeight="251747328" behindDoc="1" locked="0" layoutInCell="1" allowOverlap="1" wp14:anchorId="3BF85A52" wp14:editId="31BA8777">
                <wp:simplePos x="0" y="0"/>
                <wp:positionH relativeFrom="margin">
                  <wp:align>left</wp:align>
                </wp:positionH>
                <wp:positionV relativeFrom="paragraph">
                  <wp:posOffset>179705</wp:posOffset>
                </wp:positionV>
                <wp:extent cx="1828800" cy="3841750"/>
                <wp:effectExtent l="0" t="0" r="24130" b="25400"/>
                <wp:wrapTight wrapText="bothSides">
                  <wp:wrapPolygon edited="0">
                    <wp:start x="0" y="0"/>
                    <wp:lineTo x="0" y="21636"/>
                    <wp:lineTo x="21619" y="21636"/>
                    <wp:lineTo x="21619" y="0"/>
                    <wp:lineTo x="0" y="0"/>
                  </wp:wrapPolygon>
                </wp:wrapTight>
                <wp:docPr id="392285174" name="Cuadro de texto 1"/>
                <wp:cNvGraphicFramePr/>
                <a:graphic xmlns:a="http://schemas.openxmlformats.org/drawingml/2006/main">
                  <a:graphicData uri="http://schemas.microsoft.com/office/word/2010/wordprocessingShape">
                    <wps:wsp>
                      <wps:cNvSpPr txBox="1"/>
                      <wps:spPr>
                        <a:xfrm>
                          <a:off x="0" y="0"/>
                          <a:ext cx="1828800" cy="3841750"/>
                        </a:xfrm>
                        <a:prstGeom prst="rect">
                          <a:avLst/>
                        </a:prstGeom>
                        <a:noFill/>
                        <a:ln w="6350">
                          <a:solidFill>
                            <a:prstClr val="black"/>
                          </a:solidFill>
                        </a:ln>
                      </wps:spPr>
                      <wps:txbx>
                        <w:txbxContent>
                          <w:p w14:paraId="1521F671" w14:textId="21894F93" w:rsidR="00BB2039" w:rsidRPr="00820B09" w:rsidRDefault="00EB123D" w:rsidP="00BB2039">
                            <w:pPr>
                              <w:jc w:val="both"/>
                              <w:rPr>
                                <w:rFonts w:asciiTheme="majorHAnsi" w:hAnsiTheme="majorHAnsi"/>
                                <w:b/>
                                <w:bCs/>
                                <w:sz w:val="20"/>
                                <w:szCs w:val="15"/>
                              </w:rPr>
                            </w:pPr>
                            <w:r w:rsidRPr="00820B09">
                              <w:rPr>
                                <w:rFonts w:asciiTheme="majorHAnsi" w:hAnsiTheme="majorHAnsi"/>
                                <w:b/>
                                <w:bCs/>
                                <w:sz w:val="20"/>
                                <w:szCs w:val="15"/>
                              </w:rPr>
                              <w:t>Disability Inclusion - Info Box</w:t>
                            </w:r>
                            <w:r w:rsidR="00BB2039" w:rsidRPr="00820B09">
                              <w:rPr>
                                <w:rFonts w:asciiTheme="majorHAnsi" w:hAnsiTheme="majorHAnsi"/>
                                <w:b/>
                                <w:bCs/>
                                <w:sz w:val="20"/>
                                <w:szCs w:val="15"/>
                              </w:rPr>
                              <w:t>. 2.B.2.1</w:t>
                            </w:r>
                          </w:p>
                          <w:p w14:paraId="52F80F36" w14:textId="77777777" w:rsidR="00BB2039" w:rsidRPr="00820B09" w:rsidRDefault="00BB2039" w:rsidP="00BB2039">
                            <w:pPr>
                              <w:jc w:val="both"/>
                              <w:rPr>
                                <w:rFonts w:asciiTheme="majorHAnsi" w:hAnsiTheme="majorHAnsi"/>
                                <w:sz w:val="20"/>
                                <w:szCs w:val="15"/>
                              </w:rPr>
                            </w:pPr>
                          </w:p>
                          <w:p w14:paraId="5288A6E1" w14:textId="032A0AF1" w:rsidR="00C1256C" w:rsidRPr="00820B09" w:rsidRDefault="00C1256C" w:rsidP="00C1256C">
                            <w:pPr>
                              <w:jc w:val="both"/>
                              <w:rPr>
                                <w:rFonts w:asciiTheme="majorHAnsi" w:hAnsiTheme="majorHAnsi"/>
                                <w:sz w:val="20"/>
                                <w:szCs w:val="15"/>
                              </w:rPr>
                            </w:pPr>
                            <w:r w:rsidRPr="00820B09">
                              <w:rPr>
                                <w:rFonts w:asciiTheme="majorHAnsi" w:hAnsiTheme="majorHAnsi"/>
                                <w:sz w:val="20"/>
                                <w:szCs w:val="15"/>
                              </w:rPr>
                              <w:t>Persons with disabilities experience social and economic exclusion as a result of inaccessible environments and information, and discrimination. Discrimination includes policies that treat persons with less favorably because of their disability (e.g.  product eligibility criteria based on medical conditions or impairments); policies that apply to everyone but negatively impact persons with disabilities (</w:t>
                            </w:r>
                            <w:r w:rsidR="00A27AAA" w:rsidRPr="00820B09">
                              <w:rPr>
                                <w:rFonts w:asciiTheme="majorHAnsi" w:hAnsiTheme="majorHAnsi"/>
                                <w:sz w:val="20"/>
                                <w:szCs w:val="15"/>
                              </w:rPr>
                              <w:t>e.g.,</w:t>
                            </w:r>
                            <w:r w:rsidRPr="00820B09">
                              <w:rPr>
                                <w:rFonts w:asciiTheme="majorHAnsi" w:hAnsiTheme="majorHAnsi"/>
                                <w:sz w:val="20"/>
                                <w:szCs w:val="15"/>
                              </w:rPr>
                              <w:t xml:space="preserve"> mandating branch visits for certain transactions; recruitment and selection processes that are not accessible for candidates with disabilities); and denial of reasonable accommodation (</w:t>
                            </w:r>
                            <w:r w:rsidR="00A27AAA" w:rsidRPr="00820B09">
                              <w:rPr>
                                <w:rFonts w:asciiTheme="majorHAnsi" w:hAnsiTheme="majorHAnsi"/>
                                <w:sz w:val="20"/>
                                <w:szCs w:val="15"/>
                              </w:rPr>
                              <w:t>e.g.,</w:t>
                            </w:r>
                            <w:r w:rsidRPr="00820B09">
                              <w:rPr>
                                <w:rFonts w:asciiTheme="majorHAnsi" w:hAnsiTheme="majorHAnsi"/>
                                <w:sz w:val="20"/>
                                <w:szCs w:val="15"/>
                              </w:rPr>
                              <w:t xml:space="preserve"> not providing alternative information and communication formats).</w:t>
                            </w:r>
                          </w:p>
                          <w:p w14:paraId="5F76DAC8" w14:textId="77777777" w:rsidR="00C1256C" w:rsidRPr="00820B09" w:rsidRDefault="00C1256C" w:rsidP="00C1256C">
                            <w:pPr>
                              <w:jc w:val="both"/>
                              <w:rPr>
                                <w:rFonts w:asciiTheme="majorHAnsi" w:hAnsiTheme="majorHAnsi"/>
                                <w:sz w:val="20"/>
                                <w:szCs w:val="15"/>
                              </w:rPr>
                            </w:pPr>
                          </w:p>
                          <w:p w14:paraId="6DB40AB6" w14:textId="48FB8E2E" w:rsidR="00C1256C" w:rsidRPr="00820B09" w:rsidRDefault="00C1256C" w:rsidP="00C1256C">
                            <w:pPr>
                              <w:jc w:val="both"/>
                              <w:rPr>
                                <w:rFonts w:asciiTheme="majorHAnsi" w:hAnsiTheme="majorHAnsi"/>
                                <w:sz w:val="20"/>
                                <w:szCs w:val="15"/>
                              </w:rPr>
                            </w:pPr>
                            <w:r w:rsidRPr="00820B09">
                              <w:rPr>
                                <w:rFonts w:asciiTheme="majorHAnsi" w:hAnsiTheme="majorHAnsi"/>
                                <w:sz w:val="20"/>
                                <w:szCs w:val="15"/>
                              </w:rPr>
                              <w:t xml:space="preserve">Persons with disabilities may be at greater risk of negative effects from using financial products and services, </w:t>
                            </w:r>
                            <w:r w:rsidR="00A27AAA" w:rsidRPr="00820B09">
                              <w:rPr>
                                <w:rFonts w:asciiTheme="majorHAnsi" w:hAnsiTheme="majorHAnsi"/>
                                <w:sz w:val="20"/>
                                <w:szCs w:val="15"/>
                              </w:rPr>
                              <w:t>for</w:t>
                            </w:r>
                            <w:r w:rsidRPr="00820B09">
                              <w:rPr>
                                <w:rFonts w:asciiTheme="majorHAnsi" w:hAnsiTheme="majorHAnsi"/>
                                <w:sz w:val="20"/>
                                <w:szCs w:val="15"/>
                              </w:rPr>
                              <w:t xml:space="preserve"> example, inaccessible information and communication barriers may hinder clients from making informed decisions about products and services, and persons with disabilities may be more vulnerable to fraud or financial abuse, particularly if they are dependent on others to use financial products. </w:t>
                            </w:r>
                          </w:p>
                          <w:p w14:paraId="2F0BE313" w14:textId="77777777" w:rsidR="00C1256C" w:rsidRPr="00820B09" w:rsidRDefault="00C1256C" w:rsidP="00C1256C">
                            <w:pPr>
                              <w:jc w:val="both"/>
                              <w:rPr>
                                <w:rFonts w:asciiTheme="majorHAnsi" w:hAnsiTheme="majorHAnsi"/>
                                <w:sz w:val="20"/>
                                <w:szCs w:val="15"/>
                              </w:rPr>
                            </w:pPr>
                          </w:p>
                          <w:p w14:paraId="0AC2BFCB" w14:textId="2BBE724D" w:rsidR="00C1256C" w:rsidRPr="00820B09" w:rsidRDefault="00C1256C" w:rsidP="00C1256C">
                            <w:pPr>
                              <w:jc w:val="both"/>
                              <w:rPr>
                                <w:rFonts w:asciiTheme="majorHAnsi" w:hAnsiTheme="majorHAnsi"/>
                                <w:sz w:val="20"/>
                                <w:szCs w:val="15"/>
                              </w:rPr>
                            </w:pPr>
                            <w:r w:rsidRPr="00820B09">
                              <w:rPr>
                                <w:rFonts w:asciiTheme="majorHAnsi" w:hAnsiTheme="majorHAnsi"/>
                                <w:sz w:val="20"/>
                                <w:szCs w:val="15"/>
                              </w:rPr>
                              <w:t xml:space="preserve">Analysis of client protection risks should identify barriers to access for persons with disabilities, and take into account specific </w:t>
                            </w:r>
                            <w:r w:rsidR="00DF66DE" w:rsidRPr="00820B09">
                              <w:rPr>
                                <w:rFonts w:asciiTheme="majorHAnsi" w:hAnsiTheme="majorHAnsi"/>
                                <w:sz w:val="20"/>
                                <w:szCs w:val="15"/>
                              </w:rPr>
                              <w:t xml:space="preserve">risks and </w:t>
                            </w:r>
                            <w:r w:rsidRPr="00820B09">
                              <w:rPr>
                                <w:rFonts w:asciiTheme="majorHAnsi" w:hAnsiTheme="majorHAnsi"/>
                                <w:sz w:val="20"/>
                                <w:szCs w:val="15"/>
                              </w:rPr>
                              <w:t>vulnerabilities of clients with disabilities</w:t>
                            </w:r>
                            <w:r w:rsidR="00DF66DE" w:rsidRPr="00820B09">
                              <w:rPr>
                                <w:rFonts w:asciiTheme="majorHAnsi" w:hAnsiTheme="majorHAnsi"/>
                                <w:sz w:val="20"/>
                                <w:szCs w:val="15"/>
                              </w:rPr>
                              <w:t xml:space="preserve"> (see indicators related to Dimension 4).</w:t>
                            </w:r>
                          </w:p>
                          <w:p w14:paraId="1DB17A72" w14:textId="77777777" w:rsidR="00C1256C" w:rsidRPr="00820B09" w:rsidRDefault="00C1256C" w:rsidP="00C1256C">
                            <w:pPr>
                              <w:jc w:val="both"/>
                              <w:rPr>
                                <w:rFonts w:asciiTheme="majorHAnsi" w:hAnsiTheme="majorHAnsi"/>
                                <w:sz w:val="20"/>
                                <w:szCs w:val="15"/>
                              </w:rPr>
                            </w:pPr>
                          </w:p>
                          <w:p w14:paraId="5C81C392" w14:textId="4433BAC8" w:rsidR="00BB2039" w:rsidRPr="00820B09" w:rsidRDefault="00C1256C" w:rsidP="00BB2039">
                            <w:pPr>
                              <w:jc w:val="both"/>
                              <w:rPr>
                                <w:rFonts w:asciiTheme="majorHAnsi" w:hAnsiTheme="majorHAnsi"/>
                                <w:sz w:val="20"/>
                                <w:szCs w:val="15"/>
                              </w:rPr>
                            </w:pPr>
                            <w:r w:rsidRPr="00820B09">
                              <w:rPr>
                                <w:rFonts w:asciiTheme="majorHAnsi" w:hAnsiTheme="majorHAnsi"/>
                                <w:sz w:val="20"/>
                                <w:szCs w:val="15"/>
                              </w:rPr>
                              <w:t>Analysis of decent work conditions should include identification of accessibility barriers in the workplace and in recruitment and human resource management, including processes to provide reasonable accommodation to enable fair treatment and equal participation for employees with disabilities.</w:t>
                            </w:r>
                          </w:p>
                          <w:p w14:paraId="69BA0F51" w14:textId="55C6A4F5" w:rsidR="00BB2039" w:rsidRPr="00820B09" w:rsidRDefault="00BB2039" w:rsidP="00BB2039">
                            <w:pPr>
                              <w:jc w:val="both"/>
                              <w:rPr>
                                <w:rFonts w:asciiTheme="majorHAnsi" w:hAnsiTheme="majorHAnsi"/>
                                <w:sz w:val="20"/>
                                <w:szCs w:val="15"/>
                              </w:rPr>
                            </w:pPr>
                            <w:r w:rsidRPr="00820B09">
                              <w:rPr>
                                <w:rFonts w:asciiTheme="majorHAnsi" w:hAnsiTheme="majorHAnsi"/>
                                <w:sz w:val="20"/>
                                <w:szCs w:val="15"/>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F85A52" id="_x0000_s1038" type="#_x0000_t202" style="position:absolute;left:0;text-align:left;margin-left:0;margin-top:14.15pt;width:2in;height:302.5pt;z-index:-25156915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" filled="f" strokeweight=".5pt">
                <v:textbox>
                  <w:txbxContent>
                    <w:p w14:paraId="1521F671" w14:textId="21894F93" w:rsidR="00BB2039" w:rsidRPr="00820B09" w:rsidRDefault="00EB123D" w:rsidP="00BB2039">
                      <w:pPr>
                        <w:jc w:val="both"/>
                        <w:rPr>
                          <w:rFonts w:asciiTheme="majorHAnsi" w:hAnsiTheme="majorHAnsi"/>
                          <w:b/>
                          <w:bCs/>
                          <w:sz w:val="20"/>
                          <w:szCs w:val="15"/>
                        </w:rPr>
                      </w:pPr>
                      <w:r w:rsidRPr="00820B09">
                        <w:rPr>
                          <w:rFonts w:asciiTheme="majorHAnsi" w:hAnsiTheme="majorHAnsi"/>
                          <w:b/>
                          <w:bCs/>
                          <w:sz w:val="20"/>
                          <w:szCs w:val="15"/>
                        </w:rPr>
                        <w:t>Disability Inclusion - Info Box</w:t>
                      </w:r>
                      <w:r w:rsidR="00BB2039" w:rsidRPr="00820B09">
                        <w:rPr>
                          <w:rFonts w:asciiTheme="majorHAnsi" w:hAnsiTheme="majorHAnsi"/>
                          <w:b/>
                          <w:bCs/>
                          <w:sz w:val="20"/>
                          <w:szCs w:val="15"/>
                        </w:rPr>
                        <w:t>. 2.B.2.1</w:t>
                      </w:r>
                    </w:p>
                    <w:p w14:paraId="52F80F36" w14:textId="77777777" w:rsidR="00BB2039" w:rsidRPr="00820B09" w:rsidRDefault="00BB2039" w:rsidP="00BB2039">
                      <w:pPr>
                        <w:jc w:val="both"/>
                        <w:rPr>
                          <w:rFonts w:asciiTheme="majorHAnsi" w:hAnsiTheme="majorHAnsi"/>
                          <w:sz w:val="20"/>
                          <w:szCs w:val="15"/>
                        </w:rPr>
                      </w:pPr>
                    </w:p>
                    <w:p w14:paraId="5288A6E1" w14:textId="032A0AF1" w:rsidR="00C1256C" w:rsidRPr="00820B09" w:rsidRDefault="00C1256C" w:rsidP="00C1256C">
                      <w:pPr>
                        <w:jc w:val="both"/>
                        <w:rPr>
                          <w:rFonts w:asciiTheme="majorHAnsi" w:hAnsiTheme="majorHAnsi"/>
                          <w:sz w:val="20"/>
                          <w:szCs w:val="15"/>
                        </w:rPr>
                      </w:pPr>
                      <w:r w:rsidRPr="00820B09">
                        <w:rPr>
                          <w:rFonts w:asciiTheme="majorHAnsi" w:hAnsiTheme="majorHAnsi"/>
                          <w:sz w:val="20"/>
                          <w:szCs w:val="15"/>
                        </w:rPr>
                        <w:t>Persons with disabilities experience social and economic exclusion as a result of inaccessible environments and information, and discrimination. Discrimination includes policies that treat persons with less favorably because of their disability (e.g.  product eligibility criteria based on medical conditions or impairments); policies that apply to everyone but negatively impact persons with disabilities (</w:t>
                      </w:r>
                      <w:r w:rsidR="00A27AAA" w:rsidRPr="00820B09">
                        <w:rPr>
                          <w:rFonts w:asciiTheme="majorHAnsi" w:hAnsiTheme="majorHAnsi"/>
                          <w:sz w:val="20"/>
                          <w:szCs w:val="15"/>
                        </w:rPr>
                        <w:t>e.g.,</w:t>
                      </w:r>
                      <w:r w:rsidRPr="00820B09">
                        <w:rPr>
                          <w:rFonts w:asciiTheme="majorHAnsi" w:hAnsiTheme="majorHAnsi"/>
                          <w:sz w:val="20"/>
                          <w:szCs w:val="15"/>
                        </w:rPr>
                        <w:t xml:space="preserve"> mandating branch visits for certain transactions; recruitment and selection processes that are not accessible for candidates with disabilities); and denial of reasonable accommodation (</w:t>
                      </w:r>
                      <w:r w:rsidR="00A27AAA" w:rsidRPr="00820B09">
                        <w:rPr>
                          <w:rFonts w:asciiTheme="majorHAnsi" w:hAnsiTheme="majorHAnsi"/>
                          <w:sz w:val="20"/>
                          <w:szCs w:val="15"/>
                        </w:rPr>
                        <w:t>e.g.,</w:t>
                      </w:r>
                      <w:r w:rsidRPr="00820B09">
                        <w:rPr>
                          <w:rFonts w:asciiTheme="majorHAnsi" w:hAnsiTheme="majorHAnsi"/>
                          <w:sz w:val="20"/>
                          <w:szCs w:val="15"/>
                        </w:rPr>
                        <w:t xml:space="preserve"> not providing alternative information and communication formats).</w:t>
                      </w:r>
                    </w:p>
                    <w:p w14:paraId="5F76DAC8" w14:textId="77777777" w:rsidR="00C1256C" w:rsidRPr="00820B09" w:rsidRDefault="00C1256C" w:rsidP="00C1256C">
                      <w:pPr>
                        <w:jc w:val="both"/>
                        <w:rPr>
                          <w:rFonts w:asciiTheme="majorHAnsi" w:hAnsiTheme="majorHAnsi"/>
                          <w:sz w:val="20"/>
                          <w:szCs w:val="15"/>
                        </w:rPr>
                      </w:pPr>
                    </w:p>
                    <w:p w14:paraId="6DB40AB6" w14:textId="48FB8E2E" w:rsidR="00C1256C" w:rsidRPr="00820B09" w:rsidRDefault="00C1256C" w:rsidP="00C1256C">
                      <w:pPr>
                        <w:jc w:val="both"/>
                        <w:rPr>
                          <w:rFonts w:asciiTheme="majorHAnsi" w:hAnsiTheme="majorHAnsi"/>
                          <w:sz w:val="20"/>
                          <w:szCs w:val="15"/>
                        </w:rPr>
                      </w:pPr>
                      <w:r w:rsidRPr="00820B09">
                        <w:rPr>
                          <w:rFonts w:asciiTheme="majorHAnsi" w:hAnsiTheme="majorHAnsi"/>
                          <w:sz w:val="20"/>
                          <w:szCs w:val="15"/>
                        </w:rPr>
                        <w:t xml:space="preserve">Persons with disabilities may be at greater risk of negative effects from using financial products and services, </w:t>
                      </w:r>
                      <w:r w:rsidR="00A27AAA" w:rsidRPr="00820B09">
                        <w:rPr>
                          <w:rFonts w:asciiTheme="majorHAnsi" w:hAnsiTheme="majorHAnsi"/>
                          <w:sz w:val="20"/>
                          <w:szCs w:val="15"/>
                        </w:rPr>
                        <w:t>for</w:t>
                      </w:r>
                      <w:r w:rsidRPr="00820B09">
                        <w:rPr>
                          <w:rFonts w:asciiTheme="majorHAnsi" w:hAnsiTheme="majorHAnsi"/>
                          <w:sz w:val="20"/>
                          <w:szCs w:val="15"/>
                        </w:rPr>
                        <w:t xml:space="preserve"> example, inaccessible information and communication barriers may hinder clients from making informed decisions about products and services, and persons with disabilities may be more vulnerable to fraud or financial abuse, particularly if they are dependent on others to use financial products. </w:t>
                      </w:r>
                    </w:p>
                    <w:p w14:paraId="2F0BE313" w14:textId="77777777" w:rsidR="00C1256C" w:rsidRPr="00820B09" w:rsidRDefault="00C1256C" w:rsidP="00C1256C">
                      <w:pPr>
                        <w:jc w:val="both"/>
                        <w:rPr>
                          <w:rFonts w:asciiTheme="majorHAnsi" w:hAnsiTheme="majorHAnsi"/>
                          <w:sz w:val="20"/>
                          <w:szCs w:val="15"/>
                        </w:rPr>
                      </w:pPr>
                    </w:p>
                    <w:p w14:paraId="0AC2BFCB" w14:textId="2BBE724D" w:rsidR="00C1256C" w:rsidRPr="00820B09" w:rsidRDefault="00C1256C" w:rsidP="00C1256C">
                      <w:pPr>
                        <w:jc w:val="both"/>
                        <w:rPr>
                          <w:rFonts w:asciiTheme="majorHAnsi" w:hAnsiTheme="majorHAnsi"/>
                          <w:sz w:val="20"/>
                          <w:szCs w:val="15"/>
                        </w:rPr>
                      </w:pPr>
                      <w:r w:rsidRPr="00820B09">
                        <w:rPr>
                          <w:rFonts w:asciiTheme="majorHAnsi" w:hAnsiTheme="majorHAnsi"/>
                          <w:sz w:val="20"/>
                          <w:szCs w:val="15"/>
                        </w:rPr>
                        <w:t xml:space="preserve">Analysis of client protection risks should identify barriers to access for persons with disabilities, and take into account specific </w:t>
                      </w:r>
                      <w:r w:rsidR="00DF66DE" w:rsidRPr="00820B09">
                        <w:rPr>
                          <w:rFonts w:asciiTheme="majorHAnsi" w:hAnsiTheme="majorHAnsi"/>
                          <w:sz w:val="20"/>
                          <w:szCs w:val="15"/>
                        </w:rPr>
                        <w:t xml:space="preserve">risks and </w:t>
                      </w:r>
                      <w:r w:rsidRPr="00820B09">
                        <w:rPr>
                          <w:rFonts w:asciiTheme="majorHAnsi" w:hAnsiTheme="majorHAnsi"/>
                          <w:sz w:val="20"/>
                          <w:szCs w:val="15"/>
                        </w:rPr>
                        <w:t>vulnerabilities of clients with disabilities</w:t>
                      </w:r>
                      <w:r w:rsidR="00DF66DE" w:rsidRPr="00820B09">
                        <w:rPr>
                          <w:rFonts w:asciiTheme="majorHAnsi" w:hAnsiTheme="majorHAnsi"/>
                          <w:sz w:val="20"/>
                          <w:szCs w:val="15"/>
                        </w:rPr>
                        <w:t xml:space="preserve"> (see indicators related to Dimension 4).</w:t>
                      </w:r>
                    </w:p>
                    <w:p w14:paraId="1DB17A72" w14:textId="77777777" w:rsidR="00C1256C" w:rsidRPr="00820B09" w:rsidRDefault="00C1256C" w:rsidP="00C1256C">
                      <w:pPr>
                        <w:jc w:val="both"/>
                        <w:rPr>
                          <w:rFonts w:asciiTheme="majorHAnsi" w:hAnsiTheme="majorHAnsi"/>
                          <w:sz w:val="20"/>
                          <w:szCs w:val="15"/>
                        </w:rPr>
                      </w:pPr>
                    </w:p>
                    <w:p w14:paraId="5C81C392" w14:textId="4433BAC8" w:rsidR="00BB2039" w:rsidRPr="00820B09" w:rsidRDefault="00C1256C" w:rsidP="00BB2039">
                      <w:pPr>
                        <w:jc w:val="both"/>
                        <w:rPr>
                          <w:rFonts w:asciiTheme="majorHAnsi" w:hAnsiTheme="majorHAnsi"/>
                          <w:sz w:val="20"/>
                          <w:szCs w:val="15"/>
                        </w:rPr>
                      </w:pPr>
                      <w:r w:rsidRPr="00820B09">
                        <w:rPr>
                          <w:rFonts w:asciiTheme="majorHAnsi" w:hAnsiTheme="majorHAnsi"/>
                          <w:sz w:val="20"/>
                          <w:szCs w:val="15"/>
                        </w:rPr>
                        <w:t>Analysis of decent work conditions should include identification of accessibility barriers in the workplace and in recruitment and human resource management, including processes to provide reasonable accommodation to enable fair treatment and equal participation for employees with disabilities.</w:t>
                      </w:r>
                    </w:p>
                    <w:p w14:paraId="69BA0F51" w14:textId="55C6A4F5" w:rsidR="00BB2039" w:rsidRPr="00820B09" w:rsidRDefault="00BB2039" w:rsidP="00BB2039">
                      <w:pPr>
                        <w:jc w:val="both"/>
                        <w:rPr>
                          <w:rFonts w:asciiTheme="majorHAnsi" w:hAnsiTheme="majorHAnsi"/>
                          <w:sz w:val="20"/>
                          <w:szCs w:val="15"/>
                        </w:rPr>
                      </w:pPr>
                      <w:r w:rsidRPr="00820B09">
                        <w:rPr>
                          <w:rFonts w:asciiTheme="majorHAnsi" w:hAnsiTheme="majorHAnsi"/>
                          <w:sz w:val="20"/>
                          <w:szCs w:val="15"/>
                        </w:rPr>
                        <w:t>.</w:t>
                      </w:r>
                    </w:p>
                  </w:txbxContent>
                </v:textbox>
                <w10:wrap type="tight" anchorx="margin"/>
              </v:shape>
            </w:pict>
          </mc:Fallback>
        </mc:AlternateContent>
      </w:r>
    </w:p>
    <w:p w14:paraId="226A6A04" w14:textId="7B813277"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Scoring guidance</w:t>
      </w:r>
    </w:p>
    <w:p w14:paraId="6771D9DE" w14:textId="56892268"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u w:val="single"/>
        </w:rPr>
        <w:t>Detail 2.B.2.1.1:</w:t>
      </w:r>
    </w:p>
    <w:p w14:paraId="15BFFF41" w14:textId="00A6EFC3" w:rsidR="00962F69" w:rsidRPr="00A608EE" w:rsidRDefault="00962F69" w:rsidP="00A27AAA">
      <w:pPr>
        <w:numPr>
          <w:ilvl w:val="0"/>
          <w:numId w:val="141"/>
        </w:numPr>
        <w:jc w:val="both"/>
        <w:rPr>
          <w:rFonts w:asciiTheme="majorHAnsi" w:hAnsiTheme="majorHAnsi"/>
          <w:sz w:val="20"/>
          <w:szCs w:val="20"/>
        </w:rPr>
      </w:pPr>
      <w:r w:rsidRPr="00A608EE">
        <w:rPr>
          <w:rFonts w:asciiTheme="majorHAnsi" w:hAnsiTheme="majorHAnsi"/>
          <w:sz w:val="20"/>
          <w:szCs w:val="20"/>
        </w:rPr>
        <w:t>Score ‘yes’, if senior management analyses client protection risks systematically and regularly (client over-indebtedness at least every six months, other client protection risks at least annually) based on dedicated internal and/or external in-depth assessments of client protection risks.</w:t>
      </w:r>
    </w:p>
    <w:p w14:paraId="01B01FC8" w14:textId="3B4AFAE7" w:rsidR="00962F69" w:rsidRPr="00A608EE" w:rsidRDefault="00962F69" w:rsidP="00A27AAA">
      <w:pPr>
        <w:numPr>
          <w:ilvl w:val="0"/>
          <w:numId w:val="141"/>
        </w:numPr>
        <w:jc w:val="both"/>
        <w:rPr>
          <w:rFonts w:asciiTheme="majorHAnsi" w:hAnsiTheme="majorHAnsi"/>
          <w:sz w:val="20"/>
          <w:szCs w:val="20"/>
        </w:rPr>
      </w:pPr>
      <w:r w:rsidRPr="00A608EE">
        <w:rPr>
          <w:rFonts w:asciiTheme="majorHAnsi" w:hAnsiTheme="majorHAnsi"/>
          <w:sz w:val="20"/>
          <w:szCs w:val="20"/>
        </w:rPr>
        <w:t>Score ‘partially’, if senior management analyses client protection risks, but either not systematically as it lacks in-depth assessment reports, or not regularly (client over-indebtedness just annually, other client protection risks not annually).</w:t>
      </w:r>
    </w:p>
    <w:p w14:paraId="5CBFF3DA" w14:textId="537CA390" w:rsidR="00962F69" w:rsidRPr="00A608EE" w:rsidRDefault="00962F69" w:rsidP="00A27AAA">
      <w:pPr>
        <w:numPr>
          <w:ilvl w:val="0"/>
          <w:numId w:val="141"/>
        </w:numPr>
        <w:jc w:val="both"/>
        <w:rPr>
          <w:rFonts w:asciiTheme="majorHAnsi" w:hAnsiTheme="majorHAnsi"/>
          <w:sz w:val="20"/>
          <w:szCs w:val="20"/>
        </w:rPr>
      </w:pPr>
      <w:r w:rsidRPr="00A608EE">
        <w:rPr>
          <w:rFonts w:asciiTheme="majorHAnsi" w:hAnsiTheme="majorHAnsi"/>
          <w:sz w:val="20"/>
          <w:szCs w:val="20"/>
        </w:rPr>
        <w:t>Score ‘no’, if senior management does neither analyse client protection risks systematically nor regularly.</w:t>
      </w:r>
    </w:p>
    <w:p w14:paraId="5EED155C" w14:textId="77777777" w:rsidR="00962F69" w:rsidRPr="00A608EE" w:rsidRDefault="00962F69" w:rsidP="00EE208A">
      <w:pPr>
        <w:jc w:val="both"/>
        <w:rPr>
          <w:rFonts w:asciiTheme="majorHAnsi" w:hAnsiTheme="majorHAnsi"/>
          <w:sz w:val="20"/>
          <w:szCs w:val="20"/>
          <w:u w:val="single"/>
        </w:rPr>
      </w:pPr>
    </w:p>
    <w:p w14:paraId="4AFAD4E1" w14:textId="5FEBE620"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u w:val="single"/>
        </w:rPr>
        <w:t>Detail 2.B.2.1.2</w:t>
      </w:r>
    </w:p>
    <w:p w14:paraId="13C58EB0" w14:textId="2335353A" w:rsidR="00962F69" w:rsidRPr="00A608EE" w:rsidRDefault="00962F69" w:rsidP="00A27AAA">
      <w:pPr>
        <w:numPr>
          <w:ilvl w:val="0"/>
          <w:numId w:val="142"/>
        </w:numPr>
        <w:jc w:val="both"/>
        <w:rPr>
          <w:rFonts w:asciiTheme="majorHAnsi" w:hAnsiTheme="majorHAnsi"/>
          <w:sz w:val="20"/>
          <w:szCs w:val="20"/>
        </w:rPr>
      </w:pPr>
      <w:r w:rsidRPr="00A608EE">
        <w:rPr>
          <w:rFonts w:asciiTheme="majorHAnsi" w:hAnsiTheme="majorHAnsi"/>
          <w:sz w:val="20"/>
          <w:szCs w:val="20"/>
        </w:rPr>
        <w:t>Score ‘yes’, if senior management analyses negative and positive outcomes for clients and their households systematically and regularly (at least annually) based on dedicated internal and/or external in-depth client research.</w:t>
      </w:r>
    </w:p>
    <w:p w14:paraId="1CFFAC57" w14:textId="289C395F" w:rsidR="00962F69" w:rsidRPr="00A608EE" w:rsidRDefault="00962F69" w:rsidP="00A27AAA">
      <w:pPr>
        <w:numPr>
          <w:ilvl w:val="0"/>
          <w:numId w:val="142"/>
        </w:numPr>
        <w:jc w:val="both"/>
        <w:rPr>
          <w:rFonts w:asciiTheme="majorHAnsi" w:hAnsiTheme="majorHAnsi"/>
          <w:sz w:val="20"/>
          <w:szCs w:val="20"/>
        </w:rPr>
      </w:pPr>
      <w:r w:rsidRPr="00A608EE">
        <w:rPr>
          <w:rFonts w:asciiTheme="majorHAnsi" w:hAnsiTheme="majorHAnsi"/>
          <w:sz w:val="20"/>
          <w:szCs w:val="20"/>
        </w:rPr>
        <w:t>Score ‘partially’, if senior management analyses negative and positive outcomes for clients and their households, but either not systematically as it lacks in-depth client research, or not regularly (just once within two to three years).</w:t>
      </w:r>
    </w:p>
    <w:p w14:paraId="17833424" w14:textId="77777777" w:rsidR="00962F69" w:rsidRPr="00A608EE" w:rsidRDefault="00962F69" w:rsidP="00A27AAA">
      <w:pPr>
        <w:numPr>
          <w:ilvl w:val="0"/>
          <w:numId w:val="142"/>
        </w:numPr>
        <w:jc w:val="both"/>
        <w:rPr>
          <w:rFonts w:asciiTheme="majorHAnsi" w:hAnsiTheme="majorHAnsi"/>
          <w:sz w:val="20"/>
          <w:szCs w:val="20"/>
        </w:rPr>
      </w:pPr>
      <w:r w:rsidRPr="00A608EE">
        <w:rPr>
          <w:rFonts w:asciiTheme="majorHAnsi" w:hAnsiTheme="majorHAnsi"/>
          <w:sz w:val="20"/>
          <w:szCs w:val="20"/>
        </w:rPr>
        <w:t>Score ‘no’, if senior management does neither analyse client outcomes systematically nor regularly.</w:t>
      </w:r>
    </w:p>
    <w:p w14:paraId="65D6AB00" w14:textId="77777777" w:rsidR="00962F69" w:rsidRPr="00A608EE" w:rsidRDefault="00962F69" w:rsidP="00EE208A">
      <w:pPr>
        <w:jc w:val="both"/>
        <w:rPr>
          <w:rFonts w:asciiTheme="majorHAnsi" w:hAnsiTheme="majorHAnsi"/>
          <w:sz w:val="20"/>
          <w:szCs w:val="20"/>
          <w:u w:val="single"/>
        </w:rPr>
      </w:pPr>
    </w:p>
    <w:p w14:paraId="1F73F4D7" w14:textId="1554809C"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u w:val="single"/>
        </w:rPr>
        <w:t>Detail 2.B.2.1.3</w:t>
      </w:r>
    </w:p>
    <w:p w14:paraId="3E849294" w14:textId="77777777" w:rsidR="00962F69" w:rsidRPr="00A608EE" w:rsidRDefault="00962F69" w:rsidP="00A27AAA">
      <w:pPr>
        <w:numPr>
          <w:ilvl w:val="0"/>
          <w:numId w:val="143"/>
        </w:numPr>
        <w:jc w:val="both"/>
        <w:rPr>
          <w:rFonts w:asciiTheme="majorHAnsi" w:hAnsiTheme="majorHAnsi"/>
          <w:sz w:val="20"/>
          <w:szCs w:val="20"/>
        </w:rPr>
      </w:pPr>
      <w:r w:rsidRPr="00A608EE">
        <w:rPr>
          <w:rFonts w:asciiTheme="majorHAnsi" w:hAnsiTheme="majorHAnsi"/>
          <w:sz w:val="20"/>
          <w:szCs w:val="20"/>
        </w:rPr>
        <w:t>Score ‘yes’, if senior management analyses the decent work conditions systematically and regularly (at least annually) based on dedicated internal and/or external assessments, incl. a representative and updated employee satisfaction survey.</w:t>
      </w:r>
    </w:p>
    <w:p w14:paraId="7EF813A0" w14:textId="2881407F" w:rsidR="00962F69" w:rsidRPr="00A608EE" w:rsidRDefault="00962F69" w:rsidP="00A27AAA">
      <w:pPr>
        <w:numPr>
          <w:ilvl w:val="0"/>
          <w:numId w:val="143"/>
        </w:numPr>
        <w:jc w:val="both"/>
        <w:rPr>
          <w:rFonts w:asciiTheme="majorHAnsi" w:hAnsiTheme="majorHAnsi"/>
          <w:sz w:val="20"/>
          <w:szCs w:val="20"/>
        </w:rPr>
      </w:pPr>
      <w:r w:rsidRPr="00A608EE">
        <w:rPr>
          <w:rFonts w:asciiTheme="majorHAnsi" w:hAnsiTheme="majorHAnsi"/>
          <w:sz w:val="20"/>
          <w:szCs w:val="20"/>
        </w:rPr>
        <w:t>Score ‘partially’, if senior management analyses the decent work conditions, but either not systematically as it lacks an in-depth assessment, or not regularly (just once within two to three years).</w:t>
      </w:r>
    </w:p>
    <w:p w14:paraId="0E15D57E" w14:textId="77777777" w:rsidR="00962F69" w:rsidRPr="00A608EE" w:rsidRDefault="00962F69" w:rsidP="00A27AAA">
      <w:pPr>
        <w:numPr>
          <w:ilvl w:val="0"/>
          <w:numId w:val="143"/>
        </w:numPr>
        <w:jc w:val="both"/>
        <w:rPr>
          <w:rFonts w:asciiTheme="majorHAnsi" w:hAnsiTheme="majorHAnsi"/>
          <w:sz w:val="20"/>
          <w:szCs w:val="20"/>
        </w:rPr>
      </w:pPr>
      <w:r w:rsidRPr="00A608EE">
        <w:rPr>
          <w:rFonts w:asciiTheme="majorHAnsi" w:hAnsiTheme="majorHAnsi"/>
          <w:sz w:val="20"/>
          <w:szCs w:val="20"/>
        </w:rPr>
        <w:t>Score ‘no’, if senior management does neither analyse the decent work conditions systematically nor regularly.</w:t>
      </w:r>
    </w:p>
    <w:p w14:paraId="081D59CD" w14:textId="77777777" w:rsidR="00962F69" w:rsidRPr="00A608EE" w:rsidRDefault="00962F69" w:rsidP="00EE208A">
      <w:pPr>
        <w:jc w:val="both"/>
        <w:rPr>
          <w:rFonts w:asciiTheme="majorHAnsi" w:hAnsiTheme="majorHAnsi"/>
          <w:sz w:val="20"/>
          <w:szCs w:val="20"/>
        </w:rPr>
      </w:pPr>
    </w:p>
    <w:p w14:paraId="76ABF9B1" w14:textId="7D5A312C"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Sources of information</w:t>
      </w:r>
    </w:p>
    <w:p w14:paraId="3E9700F9" w14:textId="77777777" w:rsidR="00962F69" w:rsidRPr="00A608EE" w:rsidRDefault="00962F69" w:rsidP="00A27AAA">
      <w:pPr>
        <w:numPr>
          <w:ilvl w:val="0"/>
          <w:numId w:val="144"/>
        </w:numPr>
        <w:jc w:val="both"/>
        <w:rPr>
          <w:rFonts w:asciiTheme="majorHAnsi" w:hAnsiTheme="majorHAnsi"/>
          <w:sz w:val="20"/>
          <w:szCs w:val="20"/>
        </w:rPr>
      </w:pPr>
      <w:r w:rsidRPr="00A608EE">
        <w:rPr>
          <w:rFonts w:asciiTheme="majorHAnsi" w:hAnsiTheme="majorHAnsi"/>
          <w:sz w:val="20"/>
          <w:szCs w:val="20"/>
        </w:rPr>
        <w:t>Management reports, reports to board</w:t>
      </w:r>
    </w:p>
    <w:p w14:paraId="420D2C18" w14:textId="77777777" w:rsidR="00962F69" w:rsidRPr="00A608EE" w:rsidRDefault="00962F69" w:rsidP="00A27AAA">
      <w:pPr>
        <w:numPr>
          <w:ilvl w:val="0"/>
          <w:numId w:val="144"/>
        </w:numPr>
        <w:jc w:val="both"/>
        <w:rPr>
          <w:rFonts w:asciiTheme="majorHAnsi" w:hAnsiTheme="majorHAnsi"/>
          <w:sz w:val="20"/>
          <w:szCs w:val="20"/>
        </w:rPr>
      </w:pPr>
      <w:r w:rsidRPr="00A608EE">
        <w:rPr>
          <w:rFonts w:asciiTheme="majorHAnsi" w:hAnsiTheme="majorHAnsi"/>
          <w:sz w:val="20"/>
          <w:szCs w:val="20"/>
        </w:rPr>
        <w:t>Interviews with CEO/managing director</w:t>
      </w:r>
    </w:p>
    <w:p w14:paraId="0E61742E" w14:textId="77777777" w:rsidR="00962F69" w:rsidRPr="00A608EE" w:rsidRDefault="00962F69" w:rsidP="00A27AAA">
      <w:pPr>
        <w:numPr>
          <w:ilvl w:val="0"/>
          <w:numId w:val="144"/>
        </w:numPr>
        <w:jc w:val="both"/>
        <w:rPr>
          <w:rFonts w:asciiTheme="majorHAnsi" w:hAnsiTheme="majorHAnsi"/>
          <w:sz w:val="20"/>
          <w:szCs w:val="20"/>
        </w:rPr>
      </w:pPr>
      <w:r w:rsidRPr="00A608EE">
        <w:rPr>
          <w:rFonts w:asciiTheme="majorHAnsi" w:hAnsiTheme="majorHAnsi"/>
          <w:sz w:val="20"/>
          <w:szCs w:val="20"/>
        </w:rPr>
        <w:t>Interviews with SEPM champion / committee</w:t>
      </w:r>
    </w:p>
    <w:p w14:paraId="4BB2CBEC" w14:textId="77777777" w:rsidR="00962F69" w:rsidRPr="00A608EE" w:rsidRDefault="00962F69" w:rsidP="00A27AAA">
      <w:pPr>
        <w:numPr>
          <w:ilvl w:val="0"/>
          <w:numId w:val="144"/>
        </w:numPr>
        <w:jc w:val="both"/>
        <w:rPr>
          <w:rFonts w:asciiTheme="majorHAnsi" w:hAnsiTheme="majorHAnsi"/>
          <w:sz w:val="20"/>
          <w:szCs w:val="20"/>
        </w:rPr>
      </w:pPr>
      <w:r w:rsidRPr="00A608EE">
        <w:rPr>
          <w:rFonts w:asciiTheme="majorHAnsi" w:hAnsiTheme="majorHAnsi"/>
          <w:sz w:val="20"/>
          <w:szCs w:val="20"/>
        </w:rPr>
        <w:t>Interviews with internal audit and risk management/internal control</w:t>
      </w:r>
    </w:p>
    <w:p w14:paraId="71CA6A3A" w14:textId="77777777" w:rsidR="00962F69" w:rsidRPr="00A608EE" w:rsidRDefault="00962F69" w:rsidP="00EE208A">
      <w:pPr>
        <w:jc w:val="both"/>
        <w:rPr>
          <w:rFonts w:asciiTheme="majorHAnsi" w:hAnsiTheme="majorHAnsi"/>
          <w:sz w:val="20"/>
          <w:szCs w:val="20"/>
        </w:rPr>
      </w:pPr>
    </w:p>
    <w:p w14:paraId="2545F3F4" w14:textId="1D3ABF52"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Evidence to provide</w:t>
      </w:r>
    </w:p>
    <w:p w14:paraId="07AC9B9B" w14:textId="77777777"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rPr>
        <w:t>Specify how risks are assessed (frequency, by whom). Refer to management reports and/or give examples cited in interviews with senior management.</w:t>
      </w:r>
    </w:p>
    <w:p w14:paraId="5DA1700D" w14:textId="77777777" w:rsidR="00962F69" w:rsidRPr="00A608EE" w:rsidRDefault="00962F69" w:rsidP="00EE208A">
      <w:pPr>
        <w:jc w:val="both"/>
        <w:rPr>
          <w:rFonts w:asciiTheme="majorHAnsi" w:hAnsiTheme="majorHAnsi"/>
          <w:sz w:val="20"/>
          <w:szCs w:val="20"/>
        </w:rPr>
      </w:pPr>
    </w:p>
    <w:p w14:paraId="03DA331F" w14:textId="690AC7D7"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Field examples/ guidance for implementation</w:t>
      </w:r>
    </w:p>
    <w:p w14:paraId="64E7ED5F" w14:textId="5C47286C"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u w:val="single"/>
        </w:rPr>
        <w:t>For 2.B.2.1.1</w:t>
      </w:r>
    </w:p>
    <w:p w14:paraId="308A4FCC" w14:textId="77777777"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rPr>
        <w:t>This includes:  </w:t>
      </w:r>
    </w:p>
    <w:p w14:paraId="4524095E" w14:textId="77777777" w:rsidR="00962F69" w:rsidRPr="00A608EE" w:rsidRDefault="00962F69" w:rsidP="00A27AAA">
      <w:pPr>
        <w:numPr>
          <w:ilvl w:val="0"/>
          <w:numId w:val="145"/>
        </w:numPr>
        <w:jc w:val="both"/>
        <w:rPr>
          <w:rFonts w:asciiTheme="majorHAnsi" w:hAnsiTheme="majorHAnsi"/>
          <w:sz w:val="20"/>
          <w:szCs w:val="20"/>
        </w:rPr>
      </w:pPr>
      <w:r w:rsidRPr="00A608EE">
        <w:rPr>
          <w:rFonts w:asciiTheme="majorHAnsi" w:hAnsiTheme="majorHAnsi"/>
          <w:sz w:val="20"/>
          <w:szCs w:val="20"/>
        </w:rPr>
        <w:t>Rates of client product usage, by product. Minimum frequency: quarterly</w:t>
      </w:r>
    </w:p>
    <w:p w14:paraId="12884733" w14:textId="77777777" w:rsidR="00962F69" w:rsidRPr="00A608EE" w:rsidRDefault="00962F69" w:rsidP="00A27AAA">
      <w:pPr>
        <w:numPr>
          <w:ilvl w:val="0"/>
          <w:numId w:val="145"/>
        </w:numPr>
        <w:jc w:val="both"/>
        <w:rPr>
          <w:rFonts w:asciiTheme="majorHAnsi" w:hAnsiTheme="majorHAnsi"/>
          <w:sz w:val="20"/>
          <w:szCs w:val="20"/>
        </w:rPr>
      </w:pPr>
      <w:r w:rsidRPr="00A608EE">
        <w:rPr>
          <w:rFonts w:asciiTheme="majorHAnsi" w:hAnsiTheme="majorHAnsi"/>
          <w:sz w:val="20"/>
          <w:szCs w:val="20"/>
        </w:rPr>
        <w:t>Interest rates and whether they are aligned with the provider's social goals. Minimum frequency: annually</w:t>
      </w:r>
    </w:p>
    <w:p w14:paraId="11202029" w14:textId="77777777" w:rsidR="00962F69" w:rsidRPr="00A608EE" w:rsidRDefault="00962F69" w:rsidP="00A27AAA">
      <w:pPr>
        <w:numPr>
          <w:ilvl w:val="0"/>
          <w:numId w:val="145"/>
        </w:numPr>
        <w:jc w:val="both"/>
        <w:rPr>
          <w:rFonts w:asciiTheme="majorHAnsi" w:hAnsiTheme="majorHAnsi"/>
          <w:sz w:val="20"/>
          <w:szCs w:val="20"/>
        </w:rPr>
      </w:pPr>
      <w:r w:rsidRPr="00A608EE">
        <w:rPr>
          <w:rFonts w:asciiTheme="majorHAnsi" w:hAnsiTheme="majorHAnsi"/>
          <w:sz w:val="20"/>
          <w:szCs w:val="20"/>
        </w:rPr>
        <w:t>Mission drift and reputation risk – monitor number/levels of targeted clients (women, rural, youth, vulnerable households, etc.); market studies to assess provider’s image in the market</w:t>
      </w:r>
    </w:p>
    <w:p w14:paraId="187E73F4" w14:textId="77777777" w:rsidR="00962F69" w:rsidRPr="00A608EE" w:rsidRDefault="00962F69" w:rsidP="00A27AAA">
      <w:pPr>
        <w:numPr>
          <w:ilvl w:val="0"/>
          <w:numId w:val="145"/>
        </w:numPr>
        <w:jc w:val="both"/>
        <w:rPr>
          <w:rFonts w:asciiTheme="majorHAnsi" w:hAnsiTheme="majorHAnsi"/>
          <w:sz w:val="20"/>
          <w:szCs w:val="20"/>
        </w:rPr>
      </w:pPr>
      <w:r w:rsidRPr="00A608EE">
        <w:rPr>
          <w:rFonts w:asciiTheme="majorHAnsi" w:hAnsiTheme="majorHAnsi"/>
          <w:sz w:val="20"/>
          <w:szCs w:val="20"/>
        </w:rPr>
        <w:t>Incidents resulting in harm – monitor client complaints; analyze staff misconduct; abusive/aggressive collection practices</w:t>
      </w:r>
    </w:p>
    <w:p w14:paraId="46330DD0" w14:textId="6DAB720D" w:rsidR="00962F69" w:rsidRPr="00A608EE" w:rsidRDefault="00962F69" w:rsidP="00A27AAA">
      <w:pPr>
        <w:numPr>
          <w:ilvl w:val="0"/>
          <w:numId w:val="145"/>
        </w:numPr>
        <w:jc w:val="both"/>
        <w:rPr>
          <w:rFonts w:asciiTheme="majorHAnsi" w:hAnsiTheme="majorHAnsi"/>
          <w:sz w:val="20"/>
          <w:szCs w:val="20"/>
        </w:rPr>
      </w:pPr>
      <w:r w:rsidRPr="00A608EE">
        <w:rPr>
          <w:rFonts w:asciiTheme="majorHAnsi" w:hAnsiTheme="majorHAnsi"/>
          <w:sz w:val="20"/>
          <w:szCs w:val="20"/>
        </w:rPr>
        <w:t xml:space="preserve">Client </w:t>
      </w:r>
      <w:r w:rsidR="00A27AAA" w:rsidRPr="00A608EE">
        <w:rPr>
          <w:rFonts w:asciiTheme="majorHAnsi" w:hAnsiTheme="majorHAnsi"/>
          <w:sz w:val="20"/>
          <w:szCs w:val="20"/>
        </w:rPr>
        <w:t>exit</w:t>
      </w:r>
      <w:r w:rsidR="00C37E87" w:rsidRPr="00A608EE">
        <w:rPr>
          <w:rFonts w:asciiTheme="majorHAnsi" w:hAnsiTheme="majorHAnsi"/>
          <w:sz w:val="20"/>
          <w:szCs w:val="20"/>
        </w:rPr>
        <w:t xml:space="preserve"> </w:t>
      </w:r>
      <w:r w:rsidRPr="00A608EE">
        <w:rPr>
          <w:rFonts w:asciiTheme="majorHAnsi" w:hAnsiTheme="majorHAnsi"/>
          <w:sz w:val="20"/>
          <w:szCs w:val="20"/>
        </w:rPr>
        <w:t>or dissatisfaction – conduct satisfaction surveys, analyze reasons for client exit</w:t>
      </w:r>
    </w:p>
    <w:p w14:paraId="2FA5CAEA" w14:textId="77777777" w:rsidR="00962F69" w:rsidRPr="00A608EE" w:rsidRDefault="00962F69" w:rsidP="00A27AAA">
      <w:pPr>
        <w:numPr>
          <w:ilvl w:val="0"/>
          <w:numId w:val="145"/>
        </w:numPr>
        <w:jc w:val="both"/>
        <w:rPr>
          <w:rFonts w:asciiTheme="majorHAnsi" w:hAnsiTheme="majorHAnsi"/>
          <w:sz w:val="20"/>
          <w:szCs w:val="20"/>
        </w:rPr>
      </w:pPr>
      <w:r w:rsidRPr="00A608EE">
        <w:rPr>
          <w:rFonts w:asciiTheme="majorHAnsi" w:hAnsiTheme="majorHAnsi"/>
          <w:sz w:val="20"/>
          <w:szCs w:val="20"/>
        </w:rPr>
        <w:t>Incentives that can lead to negative behavior – review incentive schemes annually to check for unintentional, negative consequences (e.g., client recruitment incentives that lead employees to recruit clients who already have loans with multiple institutions)</w:t>
      </w:r>
    </w:p>
    <w:p w14:paraId="0666517F" w14:textId="77777777" w:rsidR="00962F69" w:rsidRPr="00A608EE" w:rsidRDefault="00962F69" w:rsidP="00A27AAA">
      <w:pPr>
        <w:numPr>
          <w:ilvl w:val="0"/>
          <w:numId w:val="145"/>
        </w:numPr>
        <w:jc w:val="both"/>
        <w:rPr>
          <w:rFonts w:asciiTheme="majorHAnsi" w:hAnsiTheme="majorHAnsi"/>
          <w:sz w:val="20"/>
          <w:szCs w:val="20"/>
        </w:rPr>
      </w:pPr>
      <w:r w:rsidRPr="00A608EE">
        <w:rPr>
          <w:rFonts w:asciiTheme="majorHAnsi" w:hAnsiTheme="majorHAnsi"/>
          <w:sz w:val="20"/>
          <w:szCs w:val="20"/>
        </w:rPr>
        <w:t>Lack of transparency – ensure audit interviews clients to assess their knowledge of terms and conditions</w:t>
      </w:r>
    </w:p>
    <w:p w14:paraId="5BB8D16D" w14:textId="77777777" w:rsidR="00962F69" w:rsidRPr="00A608EE" w:rsidRDefault="00962F69" w:rsidP="00EE208A">
      <w:pPr>
        <w:jc w:val="both"/>
        <w:rPr>
          <w:rFonts w:asciiTheme="majorHAnsi" w:hAnsiTheme="majorHAnsi"/>
          <w:sz w:val="20"/>
          <w:szCs w:val="20"/>
          <w:u w:val="single"/>
        </w:rPr>
      </w:pPr>
    </w:p>
    <w:p w14:paraId="1E512A7D" w14:textId="09389BAC"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u w:val="single"/>
        </w:rPr>
        <w:t>For 2.B.2.1.2</w:t>
      </w:r>
    </w:p>
    <w:p w14:paraId="2AD7BD7A" w14:textId="77777777"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rPr>
        <w:t>Analysis of outcomes integrates both positive and negative changes for clients and their households. Minimum frequency: annually</w:t>
      </w:r>
    </w:p>
    <w:p w14:paraId="4BE77321" w14:textId="77777777" w:rsidR="00962F69" w:rsidRPr="00A608EE" w:rsidRDefault="00962F69" w:rsidP="00EE208A">
      <w:pPr>
        <w:jc w:val="both"/>
        <w:rPr>
          <w:rFonts w:asciiTheme="majorHAnsi" w:hAnsiTheme="majorHAnsi"/>
          <w:sz w:val="20"/>
          <w:szCs w:val="20"/>
          <w:u w:val="single"/>
        </w:rPr>
      </w:pPr>
    </w:p>
    <w:p w14:paraId="318CB069" w14:textId="5DC439BA"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u w:val="single"/>
        </w:rPr>
        <w:t>For 2.B.2.1.3</w:t>
      </w:r>
    </w:p>
    <w:p w14:paraId="7D5883BB" w14:textId="77777777" w:rsidR="00962F69" w:rsidRPr="00A608EE" w:rsidRDefault="00962F69" w:rsidP="00EE208A">
      <w:pPr>
        <w:jc w:val="both"/>
        <w:rPr>
          <w:rFonts w:asciiTheme="majorHAnsi" w:hAnsiTheme="majorHAnsi"/>
          <w:sz w:val="20"/>
          <w:szCs w:val="20"/>
        </w:rPr>
      </w:pPr>
      <w:r w:rsidRPr="00A608EE">
        <w:rPr>
          <w:rFonts w:asciiTheme="majorHAnsi" w:hAnsiTheme="majorHAnsi"/>
          <w:sz w:val="20"/>
          <w:szCs w:val="20"/>
        </w:rPr>
        <w:t>Analysis includes:</w:t>
      </w:r>
    </w:p>
    <w:p w14:paraId="47C2AA19" w14:textId="77777777" w:rsidR="00962F69" w:rsidRPr="00A608EE" w:rsidRDefault="00962F69" w:rsidP="00A27AAA">
      <w:pPr>
        <w:numPr>
          <w:ilvl w:val="0"/>
          <w:numId w:val="146"/>
        </w:numPr>
        <w:jc w:val="both"/>
        <w:rPr>
          <w:rFonts w:asciiTheme="majorHAnsi" w:hAnsiTheme="majorHAnsi"/>
          <w:sz w:val="20"/>
          <w:szCs w:val="20"/>
        </w:rPr>
      </w:pPr>
      <w:r w:rsidRPr="00A608EE">
        <w:rPr>
          <w:rFonts w:asciiTheme="majorHAnsi" w:hAnsiTheme="majorHAnsi"/>
          <w:sz w:val="20"/>
          <w:szCs w:val="20"/>
        </w:rPr>
        <w:t>Employee turnover rate, by gender and by position. Minimum frequency: every six months.</w:t>
      </w:r>
    </w:p>
    <w:p w14:paraId="12046304" w14:textId="77777777" w:rsidR="00962F69" w:rsidRPr="00A608EE" w:rsidRDefault="00962F69" w:rsidP="00A27AAA">
      <w:pPr>
        <w:numPr>
          <w:ilvl w:val="0"/>
          <w:numId w:val="146"/>
        </w:numPr>
        <w:jc w:val="both"/>
        <w:rPr>
          <w:rFonts w:asciiTheme="majorHAnsi" w:hAnsiTheme="majorHAnsi"/>
          <w:sz w:val="20"/>
          <w:szCs w:val="20"/>
        </w:rPr>
      </w:pPr>
      <w:r w:rsidRPr="00A608EE">
        <w:rPr>
          <w:rFonts w:asciiTheme="majorHAnsi" w:hAnsiTheme="majorHAnsi"/>
          <w:sz w:val="20"/>
          <w:szCs w:val="20"/>
        </w:rPr>
        <w:t>Analysis of employee satisfaction surveys. Minimum frequency: every two years. Analysis of decent work conditions should include analysis of gender inequalities and discrimination.</w:t>
      </w:r>
    </w:p>
    <w:p w14:paraId="4D575370" w14:textId="77777777" w:rsidR="00962F69" w:rsidRPr="00A608EE" w:rsidRDefault="00962F69" w:rsidP="00A27AAA">
      <w:pPr>
        <w:numPr>
          <w:ilvl w:val="0"/>
          <w:numId w:val="146"/>
        </w:numPr>
        <w:jc w:val="both"/>
        <w:rPr>
          <w:rFonts w:asciiTheme="majorHAnsi" w:hAnsiTheme="majorHAnsi"/>
          <w:sz w:val="20"/>
          <w:szCs w:val="20"/>
        </w:rPr>
      </w:pPr>
      <w:r w:rsidRPr="00A608EE">
        <w:rPr>
          <w:rFonts w:asciiTheme="majorHAnsi" w:hAnsiTheme="majorHAnsi"/>
          <w:sz w:val="20"/>
          <w:szCs w:val="20"/>
        </w:rPr>
        <w:t>Gender inequalities/discrimination – analysis of gender breakdown of staff, remuneration discrepancies</w:t>
      </w:r>
    </w:p>
    <w:p w14:paraId="2A28D85D" w14:textId="77777777" w:rsidR="00962F69" w:rsidRPr="00A608EE" w:rsidRDefault="00962F69" w:rsidP="00A27AAA">
      <w:pPr>
        <w:numPr>
          <w:ilvl w:val="0"/>
          <w:numId w:val="146"/>
        </w:numPr>
        <w:jc w:val="both"/>
        <w:rPr>
          <w:rFonts w:asciiTheme="majorHAnsi" w:hAnsiTheme="majorHAnsi"/>
          <w:sz w:val="20"/>
          <w:szCs w:val="20"/>
        </w:rPr>
      </w:pPr>
      <w:r w:rsidRPr="00A608EE">
        <w:rPr>
          <w:rFonts w:asciiTheme="majorHAnsi" w:hAnsiTheme="majorHAnsi"/>
          <w:sz w:val="20"/>
          <w:szCs w:val="20"/>
        </w:rPr>
        <w:t>All analysis above must be disaggregated by gender, position and other relevant categories.</w:t>
      </w:r>
    </w:p>
    <w:p w14:paraId="26F69BD0" w14:textId="77777777" w:rsidR="00962F69" w:rsidRPr="00A608EE" w:rsidRDefault="00962F69" w:rsidP="00EE208A">
      <w:pPr>
        <w:jc w:val="both"/>
        <w:rPr>
          <w:rFonts w:asciiTheme="majorHAnsi" w:hAnsiTheme="majorHAnsi"/>
          <w:sz w:val="20"/>
          <w:szCs w:val="20"/>
        </w:rPr>
      </w:pPr>
    </w:p>
    <w:p w14:paraId="7C01381B" w14:textId="7C8C21B8" w:rsidR="00962F69" w:rsidRPr="00A608EE" w:rsidRDefault="00962F69" w:rsidP="00EE208A">
      <w:pPr>
        <w:jc w:val="both"/>
        <w:rPr>
          <w:rFonts w:asciiTheme="majorHAnsi" w:hAnsiTheme="majorHAnsi"/>
          <w:b/>
          <w:bCs/>
          <w:sz w:val="20"/>
          <w:szCs w:val="20"/>
        </w:rPr>
      </w:pPr>
      <w:r w:rsidRPr="00A608EE">
        <w:rPr>
          <w:rFonts w:asciiTheme="majorHAnsi" w:hAnsiTheme="majorHAnsi"/>
          <w:b/>
          <w:bCs/>
          <w:sz w:val="20"/>
          <w:szCs w:val="20"/>
        </w:rPr>
        <w:t>Resources for indicator 2.B.2.1</w:t>
      </w:r>
    </w:p>
    <w:p w14:paraId="6EF46CA4" w14:textId="77777777" w:rsidR="00D4079C" w:rsidRPr="00A608EE" w:rsidRDefault="00D4079C" w:rsidP="00A27AAA">
      <w:pPr>
        <w:numPr>
          <w:ilvl w:val="0"/>
          <w:numId w:val="60"/>
        </w:numPr>
        <w:jc w:val="both"/>
        <w:rPr>
          <w:rFonts w:asciiTheme="majorHAnsi" w:hAnsiTheme="majorHAnsi"/>
          <w:sz w:val="20"/>
          <w:szCs w:val="20"/>
        </w:rPr>
      </w:pPr>
      <w:hyperlink r:id="rId101" w:history="1">
        <w:r w:rsidRPr="00A608EE">
          <w:rPr>
            <w:rStyle w:val="Hyperlink"/>
            <w:rFonts w:asciiTheme="majorHAnsi" w:hAnsiTheme="majorHAnsi"/>
            <w:sz w:val="20"/>
            <w:szCs w:val="20"/>
          </w:rPr>
          <w:t>Monitor Social Performance Risk</w:t>
        </w:r>
      </w:hyperlink>
    </w:p>
    <w:p w14:paraId="31F8D2C7" w14:textId="77777777" w:rsidR="00D4079C" w:rsidRPr="00A608EE" w:rsidRDefault="00D4079C" w:rsidP="00A27AAA">
      <w:pPr>
        <w:numPr>
          <w:ilvl w:val="0"/>
          <w:numId w:val="60"/>
        </w:numPr>
        <w:jc w:val="both"/>
        <w:rPr>
          <w:rFonts w:asciiTheme="majorHAnsi" w:hAnsiTheme="majorHAnsi"/>
          <w:sz w:val="20"/>
          <w:szCs w:val="20"/>
        </w:rPr>
      </w:pPr>
      <w:hyperlink r:id="rId102" w:history="1">
        <w:r w:rsidRPr="00A608EE">
          <w:rPr>
            <w:rStyle w:val="Hyperlink"/>
            <w:rFonts w:asciiTheme="majorHAnsi" w:hAnsiTheme="majorHAnsi"/>
            <w:sz w:val="20"/>
            <w:szCs w:val="20"/>
          </w:rPr>
          <w:t>CRECER (Bolivia) addresses quality in response to lack of impact</w:t>
        </w:r>
      </w:hyperlink>
    </w:p>
    <w:p w14:paraId="31BAF83B" w14:textId="77777777" w:rsidR="00D4079C" w:rsidRPr="00A608EE" w:rsidRDefault="00D4079C" w:rsidP="00A27AAA">
      <w:pPr>
        <w:numPr>
          <w:ilvl w:val="0"/>
          <w:numId w:val="60"/>
        </w:numPr>
        <w:jc w:val="both"/>
        <w:rPr>
          <w:rFonts w:asciiTheme="majorHAnsi" w:hAnsiTheme="majorHAnsi"/>
          <w:sz w:val="20"/>
          <w:szCs w:val="20"/>
        </w:rPr>
      </w:pPr>
      <w:hyperlink r:id="rId103" w:history="1">
        <w:r w:rsidRPr="00A608EE">
          <w:rPr>
            <w:rStyle w:val="Hyperlink"/>
            <w:rFonts w:asciiTheme="majorHAnsi" w:hAnsiTheme="majorHAnsi"/>
            <w:sz w:val="20"/>
            <w:szCs w:val="20"/>
          </w:rPr>
          <w:t>CASHPOR Identifies a Social and Financial Risk</w:t>
        </w:r>
      </w:hyperlink>
    </w:p>
    <w:p w14:paraId="6093FA19" w14:textId="77777777" w:rsidR="00273347" w:rsidRPr="00A608EE" w:rsidRDefault="00273347" w:rsidP="00EE208A">
      <w:pPr>
        <w:jc w:val="both"/>
        <w:rPr>
          <w:rFonts w:asciiTheme="majorHAnsi" w:hAnsiTheme="majorHAnsi"/>
          <w:szCs w:val="20"/>
        </w:rPr>
      </w:pPr>
    </w:p>
    <w:p w14:paraId="63C50C5F" w14:textId="59841538" w:rsidR="00D4079C" w:rsidRPr="00A608EE" w:rsidRDefault="00D12738" w:rsidP="00D12738">
      <w:pPr>
        <w:spacing w:after="160" w:line="259" w:lineRule="auto"/>
        <w:rPr>
          <w:rFonts w:asciiTheme="majorHAnsi" w:hAnsiTheme="majorHAnsi"/>
          <w:szCs w:val="20"/>
        </w:rPr>
      </w:pPr>
      <w:r w:rsidRPr="00A608EE">
        <w:rPr>
          <w:rFonts w:asciiTheme="majorHAnsi" w:hAnsiTheme="majorHAnsi"/>
          <w:szCs w:val="20"/>
        </w:rPr>
        <w:br w:type="page"/>
      </w:r>
    </w:p>
    <w:p w14:paraId="4676A9DA" w14:textId="230D4670" w:rsidR="00C137FE" w:rsidRPr="00A608EE" w:rsidRDefault="00C137FE" w:rsidP="00EE208A">
      <w:pPr>
        <w:pStyle w:val="Heading1"/>
        <w:spacing w:before="0" w:line="240" w:lineRule="auto"/>
        <w:jc w:val="both"/>
      </w:pPr>
      <w:bookmarkStart w:id="42" w:name="_Toc230938784"/>
      <w:r w:rsidRPr="00A608EE">
        <w:lastRenderedPageBreak/>
        <w:t xml:space="preserve">Dimension 3. </w:t>
      </w:r>
      <w:r w:rsidR="00E737C5" w:rsidRPr="00A608EE">
        <w:t>Client-centered Products and Services</w:t>
      </w:r>
      <w:bookmarkEnd w:id="42"/>
    </w:p>
    <w:p w14:paraId="6255BF27" w14:textId="77777777" w:rsidR="00C137FE" w:rsidRPr="00A608EE" w:rsidRDefault="00C137FE" w:rsidP="00EE208A">
      <w:pPr>
        <w:jc w:val="both"/>
        <w:rPr>
          <w:rFonts w:asciiTheme="majorHAnsi" w:hAnsiTheme="majorHAnsi"/>
          <w:szCs w:val="20"/>
        </w:rPr>
      </w:pPr>
    </w:p>
    <w:p w14:paraId="312503DD" w14:textId="77777777" w:rsidR="00E737C5" w:rsidRPr="00A608EE" w:rsidRDefault="00E737C5" w:rsidP="00EE208A">
      <w:pPr>
        <w:jc w:val="both"/>
        <w:rPr>
          <w:rFonts w:asciiTheme="majorHAnsi" w:hAnsiTheme="majorHAnsi"/>
          <w:sz w:val="20"/>
          <w:szCs w:val="20"/>
        </w:rPr>
      </w:pPr>
      <w:r w:rsidRPr="00A608EE">
        <w:rPr>
          <w:rFonts w:asciiTheme="majorHAnsi" w:hAnsiTheme="majorHAnsi"/>
          <w:sz w:val="20"/>
          <w:szCs w:val="20"/>
        </w:rPr>
        <w:t>Client-centered design means thinking through how financial and non-financial services help target clients to better manage their budgets and grow their income-generating activities and businesses and, as a result, to improve their livelihoods and achieve their economic goals. Designing client centric products/services and distribution channels requires in-depth understanding about the financial needs and product use of different client groups vary and how client satisfaction and exit varies by client group and the reasons behind these. Products and services should be designed to reduce barriers to financial access as well as helping clients achieve financial goals like coping with risk and emergencies, investing in opportunities, smoothing income or creating a safety net.</w:t>
      </w:r>
    </w:p>
    <w:p w14:paraId="39454BC2" w14:textId="77777777" w:rsidR="00E737C5" w:rsidRPr="00A608EE" w:rsidRDefault="00E737C5" w:rsidP="00EE208A">
      <w:pPr>
        <w:jc w:val="both"/>
        <w:rPr>
          <w:rFonts w:asciiTheme="majorHAnsi" w:hAnsiTheme="majorHAnsi"/>
          <w:sz w:val="20"/>
          <w:szCs w:val="20"/>
        </w:rPr>
      </w:pPr>
      <w:r w:rsidRPr="00A608EE">
        <w:rPr>
          <w:rFonts w:asciiTheme="majorHAnsi" w:hAnsiTheme="majorHAnsi"/>
          <w:sz w:val="20"/>
          <w:szCs w:val="20"/>
        </w:rPr>
        <w:t>This dimension has 2 standards:</w:t>
      </w:r>
    </w:p>
    <w:p w14:paraId="3278283F" w14:textId="09D6C1D9" w:rsidR="00E737C5" w:rsidRPr="00A608EE" w:rsidRDefault="00E737C5" w:rsidP="00A27AAA">
      <w:pPr>
        <w:numPr>
          <w:ilvl w:val="0"/>
          <w:numId w:val="147"/>
        </w:numPr>
        <w:jc w:val="both"/>
        <w:rPr>
          <w:rFonts w:asciiTheme="majorHAnsi" w:hAnsiTheme="majorHAnsi"/>
          <w:sz w:val="20"/>
          <w:szCs w:val="20"/>
        </w:rPr>
      </w:pPr>
      <w:r w:rsidRPr="00A608EE">
        <w:rPr>
          <w:rFonts w:asciiTheme="majorHAnsi" w:hAnsiTheme="majorHAnsi"/>
          <w:sz w:val="20"/>
          <w:szCs w:val="20"/>
        </w:rPr>
        <w:t>Standard 3.A The provider collects and analyzes data to understand clients' needs.</w:t>
      </w:r>
    </w:p>
    <w:p w14:paraId="46ACB966" w14:textId="75D3CAA9" w:rsidR="00E737C5" w:rsidRPr="00A608EE" w:rsidRDefault="00E737C5" w:rsidP="00A27AAA">
      <w:pPr>
        <w:numPr>
          <w:ilvl w:val="0"/>
          <w:numId w:val="147"/>
        </w:numPr>
        <w:jc w:val="both"/>
        <w:rPr>
          <w:rFonts w:asciiTheme="majorHAnsi" w:hAnsiTheme="majorHAnsi"/>
          <w:sz w:val="20"/>
          <w:szCs w:val="20"/>
        </w:rPr>
      </w:pPr>
      <w:r w:rsidRPr="00A608EE">
        <w:rPr>
          <w:rFonts w:asciiTheme="majorHAnsi" w:hAnsiTheme="majorHAnsi"/>
          <w:sz w:val="20"/>
          <w:szCs w:val="20"/>
        </w:rPr>
        <w:t>Standard 3.B The provider’s products, services, and channels benefit clients.</w:t>
      </w:r>
    </w:p>
    <w:p w14:paraId="19900DA2" w14:textId="77777777" w:rsidR="00794B11" w:rsidRPr="00A608EE" w:rsidRDefault="00794B11" w:rsidP="00EE208A">
      <w:pPr>
        <w:jc w:val="both"/>
        <w:rPr>
          <w:rFonts w:asciiTheme="majorHAnsi" w:hAnsiTheme="majorHAnsi"/>
          <w:sz w:val="20"/>
          <w:szCs w:val="20"/>
        </w:rPr>
      </w:pPr>
    </w:p>
    <w:p w14:paraId="3A9FC957" w14:textId="77777777" w:rsidR="00E737C5" w:rsidRPr="00A608EE" w:rsidRDefault="00E737C5" w:rsidP="00EE208A">
      <w:pPr>
        <w:jc w:val="both"/>
        <w:rPr>
          <w:rFonts w:asciiTheme="majorHAnsi" w:hAnsiTheme="majorHAnsi"/>
          <w:b/>
          <w:bCs/>
          <w:sz w:val="20"/>
          <w:szCs w:val="20"/>
        </w:rPr>
      </w:pPr>
      <w:r w:rsidRPr="00A608EE">
        <w:rPr>
          <w:rFonts w:asciiTheme="majorHAnsi" w:hAnsiTheme="majorHAnsi"/>
          <w:b/>
          <w:bCs/>
          <w:sz w:val="20"/>
          <w:szCs w:val="20"/>
        </w:rPr>
        <w:t>Resources for Dimension 3</w:t>
      </w:r>
    </w:p>
    <w:p w14:paraId="1EFBEB25" w14:textId="6543464B" w:rsidR="00E737C5" w:rsidRPr="00A608EE" w:rsidRDefault="00E737C5" w:rsidP="00A27AAA">
      <w:pPr>
        <w:numPr>
          <w:ilvl w:val="0"/>
          <w:numId w:val="148"/>
        </w:numPr>
        <w:jc w:val="both"/>
        <w:rPr>
          <w:rFonts w:asciiTheme="majorHAnsi" w:hAnsiTheme="majorHAnsi"/>
          <w:sz w:val="20"/>
          <w:szCs w:val="20"/>
        </w:rPr>
      </w:pPr>
      <w:r w:rsidRPr="00A608EE">
        <w:rPr>
          <w:rFonts w:asciiTheme="majorHAnsi" w:hAnsiTheme="majorHAnsi"/>
          <w:sz w:val="20"/>
          <w:szCs w:val="20"/>
        </w:rPr>
        <w:t>Using Client Feedback to Inform Product Design. This webinar focuses on dimension 3 of the Universal Standards, Client-centric Products and Services, and in particular on using client feedback to inform product design. Webinar Brief and Slide</w:t>
      </w:r>
      <w:r w:rsidR="00C37E87" w:rsidRPr="00A608EE">
        <w:rPr>
          <w:rFonts w:asciiTheme="majorHAnsi" w:hAnsiTheme="majorHAnsi"/>
          <w:sz w:val="20"/>
          <w:szCs w:val="20"/>
        </w:rPr>
        <w:t xml:space="preserve"> </w:t>
      </w:r>
      <w:r w:rsidRPr="00A608EE">
        <w:rPr>
          <w:rFonts w:asciiTheme="majorHAnsi" w:hAnsiTheme="majorHAnsi"/>
          <w:sz w:val="20"/>
          <w:szCs w:val="20"/>
        </w:rPr>
        <w:t>deck</w:t>
      </w:r>
    </w:p>
    <w:p w14:paraId="4178AA6E" w14:textId="77777777" w:rsidR="00E737C5" w:rsidRPr="00A608EE" w:rsidRDefault="00E737C5" w:rsidP="00A27AAA">
      <w:pPr>
        <w:numPr>
          <w:ilvl w:val="0"/>
          <w:numId w:val="148"/>
        </w:numPr>
        <w:jc w:val="both"/>
        <w:rPr>
          <w:rFonts w:asciiTheme="majorHAnsi" w:hAnsiTheme="majorHAnsi"/>
          <w:sz w:val="20"/>
          <w:szCs w:val="20"/>
        </w:rPr>
      </w:pPr>
      <w:r w:rsidRPr="00A608EE">
        <w:rPr>
          <w:rFonts w:asciiTheme="majorHAnsi" w:hAnsiTheme="majorHAnsi"/>
          <w:sz w:val="20"/>
          <w:szCs w:val="20"/>
        </w:rPr>
        <w:t>The </w:t>
      </w:r>
      <w:hyperlink r:id="rId104" w:history="1">
        <w:r w:rsidRPr="00A608EE">
          <w:rPr>
            <w:rStyle w:val="Hyperlink"/>
            <w:rFonts w:asciiTheme="majorHAnsi" w:hAnsiTheme="majorHAnsi"/>
            <w:sz w:val="20"/>
            <w:szCs w:val="20"/>
          </w:rPr>
          <w:t>CGAP Customer Experience Toolkit</w:t>
        </w:r>
      </w:hyperlink>
      <w:r w:rsidRPr="00A608EE">
        <w:rPr>
          <w:rFonts w:asciiTheme="majorHAnsi" w:hAnsiTheme="majorHAnsi"/>
          <w:sz w:val="20"/>
          <w:szCs w:val="20"/>
        </w:rPr>
        <w:t> equips organizations to create empowering customer experiences and includes a Workbook as well.</w:t>
      </w:r>
    </w:p>
    <w:p w14:paraId="4D2F1C72" w14:textId="77777777" w:rsidR="00E737C5" w:rsidRPr="00A608EE" w:rsidRDefault="00E737C5" w:rsidP="00A27AAA">
      <w:pPr>
        <w:numPr>
          <w:ilvl w:val="0"/>
          <w:numId w:val="148"/>
        </w:numPr>
        <w:jc w:val="both"/>
        <w:rPr>
          <w:rFonts w:asciiTheme="majorHAnsi" w:hAnsiTheme="majorHAnsi"/>
          <w:sz w:val="20"/>
          <w:szCs w:val="20"/>
        </w:rPr>
      </w:pPr>
      <w:hyperlink r:id="rId105" w:tgtFrame="_blank" w:history="1">
        <w:r w:rsidRPr="00A608EE">
          <w:rPr>
            <w:rStyle w:val="Hyperlink"/>
            <w:rFonts w:asciiTheme="majorHAnsi" w:hAnsiTheme="majorHAnsi"/>
            <w:sz w:val="20"/>
            <w:szCs w:val="20"/>
          </w:rPr>
          <w:t>The Business Case for Customer Centricity</w:t>
        </w:r>
      </w:hyperlink>
    </w:p>
    <w:p w14:paraId="4C5F8081" w14:textId="77777777" w:rsidR="004D3099" w:rsidRPr="00A608EE" w:rsidRDefault="004D3099" w:rsidP="00EE208A">
      <w:pPr>
        <w:jc w:val="both"/>
        <w:rPr>
          <w:rFonts w:asciiTheme="majorHAnsi" w:hAnsiTheme="majorHAnsi"/>
          <w:szCs w:val="20"/>
        </w:rPr>
      </w:pPr>
    </w:p>
    <w:p w14:paraId="75D90383" w14:textId="77777777" w:rsidR="00E737C5" w:rsidRPr="00A608EE" w:rsidRDefault="00E737C5" w:rsidP="00EE208A">
      <w:pPr>
        <w:jc w:val="both"/>
        <w:rPr>
          <w:rFonts w:asciiTheme="majorHAnsi" w:hAnsiTheme="majorHAnsi"/>
          <w:szCs w:val="20"/>
        </w:rPr>
      </w:pPr>
    </w:p>
    <w:p w14:paraId="1BA24F8A" w14:textId="6E917E37" w:rsidR="00792636" w:rsidRPr="00A608EE" w:rsidRDefault="00C62561" w:rsidP="00EE208A">
      <w:pPr>
        <w:pStyle w:val="Heading2"/>
        <w:spacing w:before="0" w:line="240" w:lineRule="auto"/>
        <w:jc w:val="both"/>
      </w:pPr>
      <w:bookmarkStart w:id="43" w:name="_Toc230938785"/>
      <w:r w:rsidRPr="00A608EE">
        <w:rPr>
          <w:rStyle w:val="text-primary"/>
        </w:rPr>
        <w:t>Standard</w:t>
      </w:r>
      <w:r w:rsidR="00792636" w:rsidRPr="00A608EE">
        <w:rPr>
          <w:rStyle w:val="text-primary"/>
        </w:rPr>
        <w:t xml:space="preserve"> 3A. </w:t>
      </w:r>
      <w:r w:rsidR="00E737C5" w:rsidRPr="00A608EE">
        <w:t>The provider collects and analyzes data to understand clients' needs</w:t>
      </w:r>
      <w:r w:rsidR="0036435A" w:rsidRPr="00A608EE">
        <w:t>.</w:t>
      </w:r>
      <w:bookmarkEnd w:id="43"/>
    </w:p>
    <w:p w14:paraId="25981012" w14:textId="77777777" w:rsidR="0034446F" w:rsidRPr="00A608EE" w:rsidRDefault="0034446F" w:rsidP="00EE208A">
      <w:pPr>
        <w:jc w:val="both"/>
        <w:rPr>
          <w:rFonts w:asciiTheme="majorHAnsi" w:hAnsiTheme="majorHAnsi"/>
          <w:sz w:val="20"/>
          <w:szCs w:val="20"/>
        </w:rPr>
      </w:pPr>
    </w:p>
    <w:p w14:paraId="783C5EAE" w14:textId="77777777" w:rsidR="00540331" w:rsidRPr="00A608EE" w:rsidRDefault="00540331" w:rsidP="00EE208A">
      <w:pPr>
        <w:jc w:val="both"/>
        <w:rPr>
          <w:rFonts w:asciiTheme="majorHAnsi" w:hAnsiTheme="majorHAnsi"/>
          <w:sz w:val="20"/>
          <w:szCs w:val="20"/>
        </w:rPr>
      </w:pPr>
      <w:r w:rsidRPr="00A608EE">
        <w:rPr>
          <w:rFonts w:asciiTheme="majorHAnsi" w:hAnsiTheme="majorHAnsi"/>
          <w:sz w:val="20"/>
          <w:szCs w:val="20"/>
        </w:rPr>
        <w:t>Understanding client needs is key to ensuring that products and services are actually beneficial to clients in progressing toward their business and family goals. The standards go a step beyond “do no harm” of client protection and also focus on understanding the needs and preferences of different types of clients by conducting client satisfaction surveys, examining reasons for client exits, using that information to adjust products and services or develop new ones.</w:t>
      </w:r>
    </w:p>
    <w:p w14:paraId="767EE77B" w14:textId="77777777" w:rsidR="00540331" w:rsidRPr="00A608EE" w:rsidRDefault="00540331" w:rsidP="00EE208A">
      <w:pPr>
        <w:jc w:val="both"/>
        <w:rPr>
          <w:rFonts w:asciiTheme="majorHAnsi" w:hAnsiTheme="majorHAnsi"/>
          <w:sz w:val="20"/>
          <w:szCs w:val="20"/>
        </w:rPr>
      </w:pPr>
    </w:p>
    <w:p w14:paraId="3F092449" w14:textId="1CEACB1D" w:rsidR="00540331" w:rsidRPr="00A608EE" w:rsidRDefault="00540331" w:rsidP="00EE208A">
      <w:pPr>
        <w:jc w:val="both"/>
        <w:rPr>
          <w:rFonts w:asciiTheme="majorHAnsi" w:hAnsiTheme="majorHAnsi"/>
          <w:sz w:val="20"/>
          <w:szCs w:val="20"/>
        </w:rPr>
      </w:pPr>
      <w:r w:rsidRPr="00A608EE">
        <w:rPr>
          <w:rFonts w:asciiTheme="majorHAnsi" w:hAnsiTheme="majorHAnsi"/>
          <w:sz w:val="20"/>
          <w:szCs w:val="20"/>
        </w:rPr>
        <w:t>This standard has 3 essential practices:</w:t>
      </w:r>
    </w:p>
    <w:p w14:paraId="5CC1CDB9" w14:textId="781801A6" w:rsidR="00540331" w:rsidRPr="00A608EE" w:rsidRDefault="00540331" w:rsidP="00A27AAA">
      <w:pPr>
        <w:numPr>
          <w:ilvl w:val="0"/>
          <w:numId w:val="149"/>
        </w:numPr>
        <w:jc w:val="both"/>
        <w:rPr>
          <w:rFonts w:asciiTheme="majorHAnsi" w:hAnsiTheme="majorHAnsi"/>
          <w:sz w:val="20"/>
          <w:szCs w:val="20"/>
        </w:rPr>
      </w:pPr>
      <w:r w:rsidRPr="00A608EE">
        <w:rPr>
          <w:rFonts w:asciiTheme="majorHAnsi" w:hAnsiTheme="majorHAnsi"/>
          <w:sz w:val="20"/>
          <w:szCs w:val="20"/>
        </w:rPr>
        <w:t>Essential Practice 3.A.1: The provider conducts market research and pilot testing.</w:t>
      </w:r>
    </w:p>
    <w:p w14:paraId="11FE1DCF" w14:textId="504DDBE8" w:rsidR="00540331" w:rsidRPr="00A608EE" w:rsidRDefault="00540331" w:rsidP="00A27AAA">
      <w:pPr>
        <w:numPr>
          <w:ilvl w:val="0"/>
          <w:numId w:val="149"/>
        </w:numPr>
        <w:jc w:val="both"/>
        <w:rPr>
          <w:rFonts w:asciiTheme="majorHAnsi" w:hAnsiTheme="majorHAnsi"/>
          <w:sz w:val="20"/>
          <w:szCs w:val="20"/>
        </w:rPr>
      </w:pPr>
      <w:r w:rsidRPr="00A608EE">
        <w:rPr>
          <w:rFonts w:asciiTheme="majorHAnsi" w:hAnsiTheme="majorHAnsi"/>
          <w:sz w:val="20"/>
          <w:szCs w:val="20"/>
        </w:rPr>
        <w:t>Essential Practice 3.A.2: The provider uses data to identify patterns of financial behavior by client segment.</w:t>
      </w:r>
    </w:p>
    <w:p w14:paraId="5CCA3B61" w14:textId="5806696D" w:rsidR="00540331" w:rsidRPr="00A608EE" w:rsidRDefault="00540331" w:rsidP="00A27AAA">
      <w:pPr>
        <w:numPr>
          <w:ilvl w:val="0"/>
          <w:numId w:val="149"/>
        </w:numPr>
        <w:jc w:val="both"/>
        <w:rPr>
          <w:rFonts w:asciiTheme="majorHAnsi" w:hAnsiTheme="majorHAnsi"/>
          <w:sz w:val="20"/>
          <w:szCs w:val="20"/>
        </w:rPr>
      </w:pPr>
      <w:r w:rsidRPr="00A608EE">
        <w:rPr>
          <w:rFonts w:asciiTheme="majorHAnsi" w:hAnsiTheme="majorHAnsi"/>
          <w:sz w:val="20"/>
          <w:szCs w:val="20"/>
        </w:rPr>
        <w:t>Essential Practice 3.A.3: Collect client feedback on their experiences using products and services.</w:t>
      </w:r>
    </w:p>
    <w:p w14:paraId="7A72B085" w14:textId="77777777" w:rsidR="00540331" w:rsidRPr="00A608EE" w:rsidRDefault="00540331" w:rsidP="00EE208A">
      <w:pPr>
        <w:jc w:val="both"/>
        <w:rPr>
          <w:rFonts w:asciiTheme="majorHAnsi" w:hAnsiTheme="majorHAnsi"/>
          <w:szCs w:val="20"/>
        </w:rPr>
      </w:pPr>
    </w:p>
    <w:p w14:paraId="5554E662" w14:textId="09075C75" w:rsidR="00540331" w:rsidRPr="00A608EE" w:rsidRDefault="00540331" w:rsidP="00EE208A">
      <w:pPr>
        <w:jc w:val="both"/>
        <w:rPr>
          <w:rFonts w:asciiTheme="majorHAnsi" w:hAnsiTheme="majorHAnsi"/>
          <w:b/>
          <w:bCs/>
          <w:sz w:val="20"/>
          <w:szCs w:val="20"/>
        </w:rPr>
      </w:pPr>
      <w:r w:rsidRPr="00A608EE">
        <w:rPr>
          <w:rFonts w:asciiTheme="majorHAnsi" w:hAnsiTheme="majorHAnsi"/>
          <w:b/>
          <w:bCs/>
          <w:sz w:val="20"/>
          <w:szCs w:val="20"/>
        </w:rPr>
        <w:t>Resources for Standard 3A</w:t>
      </w:r>
    </w:p>
    <w:bookmarkStart w:id="44" w:name="_Hlk204932046"/>
    <w:p w14:paraId="351717E4" w14:textId="77777777" w:rsidR="00540331" w:rsidRPr="00A608EE" w:rsidRDefault="00540331" w:rsidP="00A27AAA">
      <w:pPr>
        <w:numPr>
          <w:ilvl w:val="0"/>
          <w:numId w:val="150"/>
        </w:numPr>
        <w:jc w:val="both"/>
        <w:rPr>
          <w:rFonts w:asciiTheme="majorHAnsi" w:hAnsiTheme="majorHAnsi"/>
          <w:sz w:val="20"/>
          <w:szCs w:val="20"/>
        </w:rPr>
      </w:pPr>
      <w:r w:rsidRPr="00A608EE">
        <w:rPr>
          <w:rFonts w:asciiTheme="majorHAnsi" w:hAnsiTheme="majorHAnsi"/>
          <w:sz w:val="20"/>
          <w:szCs w:val="20"/>
        </w:rPr>
        <w:fldChar w:fldCharType="begin"/>
      </w:r>
      <w:r w:rsidRPr="00A608EE">
        <w:rPr>
          <w:rFonts w:asciiTheme="majorHAnsi" w:hAnsiTheme="majorHAnsi"/>
          <w:sz w:val="20"/>
          <w:szCs w:val="20"/>
        </w:rPr>
        <w:instrText>HYPERLINK "https://en.spi-online.org/files/ressources/Dimension%203/695%20Microfund%20for%20Women%20Uses%20Mixed%20Research%20Methods%20to%20Evaluate%20Microinsurance%20Product.pdf"</w:instrText>
      </w:r>
      <w:r w:rsidRPr="00A608EE">
        <w:rPr>
          <w:rFonts w:asciiTheme="majorHAnsi" w:hAnsiTheme="majorHAnsi"/>
          <w:sz w:val="20"/>
          <w:szCs w:val="20"/>
        </w:rPr>
      </w:r>
      <w:r w:rsidRPr="00A608EE">
        <w:rPr>
          <w:rFonts w:asciiTheme="majorHAnsi" w:hAnsiTheme="majorHAnsi"/>
          <w:sz w:val="20"/>
          <w:szCs w:val="20"/>
        </w:rPr>
        <w:fldChar w:fldCharType="separate"/>
      </w:r>
      <w:proofErr w:type="spellStart"/>
      <w:r w:rsidRPr="00A608EE">
        <w:rPr>
          <w:rStyle w:val="Hyperlink"/>
          <w:rFonts w:asciiTheme="majorHAnsi" w:hAnsiTheme="majorHAnsi"/>
          <w:sz w:val="20"/>
          <w:szCs w:val="20"/>
        </w:rPr>
        <w:t>Microfund</w:t>
      </w:r>
      <w:proofErr w:type="spellEnd"/>
      <w:r w:rsidRPr="00A608EE">
        <w:rPr>
          <w:rStyle w:val="Hyperlink"/>
          <w:rFonts w:asciiTheme="majorHAnsi" w:hAnsiTheme="majorHAnsi"/>
          <w:sz w:val="20"/>
          <w:szCs w:val="20"/>
        </w:rPr>
        <w:t xml:space="preserve"> for Women Uses Mixed Research Methods to Evaluate Microinsurance Product</w:t>
      </w:r>
      <w:r w:rsidRPr="00A608EE">
        <w:rPr>
          <w:rFonts w:asciiTheme="majorHAnsi" w:hAnsiTheme="majorHAnsi"/>
          <w:sz w:val="20"/>
          <w:szCs w:val="20"/>
        </w:rPr>
        <w:fldChar w:fldCharType="end"/>
      </w:r>
    </w:p>
    <w:p w14:paraId="51FC5AF2" w14:textId="77777777" w:rsidR="00540331" w:rsidRPr="00A608EE" w:rsidRDefault="00540331" w:rsidP="00A27AAA">
      <w:pPr>
        <w:numPr>
          <w:ilvl w:val="0"/>
          <w:numId w:val="150"/>
        </w:numPr>
        <w:jc w:val="both"/>
        <w:rPr>
          <w:rFonts w:asciiTheme="majorHAnsi" w:hAnsiTheme="majorHAnsi"/>
          <w:sz w:val="20"/>
          <w:szCs w:val="20"/>
        </w:rPr>
      </w:pPr>
      <w:hyperlink r:id="rId106" w:history="1">
        <w:r w:rsidRPr="00A608EE">
          <w:rPr>
            <w:rStyle w:val="Hyperlink"/>
            <w:rFonts w:asciiTheme="majorHAnsi" w:hAnsiTheme="majorHAnsi"/>
            <w:sz w:val="20"/>
            <w:szCs w:val="20"/>
          </w:rPr>
          <w:t>Friendship Bridge Segments Clients to Create Personas</w:t>
        </w:r>
      </w:hyperlink>
    </w:p>
    <w:p w14:paraId="5939DCF0" w14:textId="77777777" w:rsidR="00540331" w:rsidRPr="00A608EE" w:rsidRDefault="00540331" w:rsidP="00A27AAA">
      <w:pPr>
        <w:numPr>
          <w:ilvl w:val="0"/>
          <w:numId w:val="150"/>
        </w:numPr>
        <w:jc w:val="both"/>
        <w:rPr>
          <w:rFonts w:asciiTheme="majorHAnsi" w:hAnsiTheme="majorHAnsi"/>
          <w:sz w:val="20"/>
          <w:szCs w:val="20"/>
        </w:rPr>
      </w:pPr>
      <w:hyperlink r:id="rId107" w:tgtFrame="_blank" w:history="1">
        <w:r w:rsidRPr="00A608EE">
          <w:rPr>
            <w:rStyle w:val="Hyperlink"/>
            <w:rFonts w:asciiTheme="majorHAnsi" w:hAnsiTheme="majorHAnsi"/>
            <w:sz w:val="20"/>
            <w:szCs w:val="20"/>
          </w:rPr>
          <w:t>SPM Essentials Webinar #1: Use what you have. Discovering client insights in your existing data.</w:t>
        </w:r>
      </w:hyperlink>
    </w:p>
    <w:p w14:paraId="1BDDDA07" w14:textId="77777777" w:rsidR="00540331" w:rsidRPr="00A608EE" w:rsidRDefault="00540331" w:rsidP="00A27AAA">
      <w:pPr>
        <w:numPr>
          <w:ilvl w:val="0"/>
          <w:numId w:val="150"/>
        </w:numPr>
        <w:jc w:val="both"/>
        <w:rPr>
          <w:rFonts w:asciiTheme="majorHAnsi" w:hAnsiTheme="majorHAnsi"/>
          <w:sz w:val="20"/>
          <w:szCs w:val="20"/>
        </w:rPr>
      </w:pPr>
      <w:hyperlink r:id="rId108" w:tgtFrame="_blank" w:history="1">
        <w:r w:rsidRPr="00A608EE">
          <w:rPr>
            <w:rStyle w:val="Hyperlink"/>
            <w:rFonts w:asciiTheme="majorHAnsi" w:hAnsiTheme="majorHAnsi"/>
            <w:sz w:val="20"/>
            <w:szCs w:val="20"/>
          </w:rPr>
          <w:t>SPM Essentials series #2 : Practical ways to address gender-related risks at your organization Webinar</w:t>
        </w:r>
      </w:hyperlink>
    </w:p>
    <w:p w14:paraId="2901F52B" w14:textId="77777777" w:rsidR="00540331" w:rsidRPr="00A608EE" w:rsidRDefault="00540331" w:rsidP="00A27AAA">
      <w:pPr>
        <w:numPr>
          <w:ilvl w:val="0"/>
          <w:numId w:val="150"/>
        </w:numPr>
        <w:jc w:val="both"/>
        <w:rPr>
          <w:rFonts w:asciiTheme="majorHAnsi" w:hAnsiTheme="majorHAnsi"/>
          <w:sz w:val="20"/>
          <w:szCs w:val="20"/>
        </w:rPr>
      </w:pPr>
      <w:hyperlink r:id="rId109" w:tgtFrame="_blank" w:history="1">
        <w:r w:rsidRPr="00A608EE">
          <w:rPr>
            <w:rStyle w:val="Hyperlink"/>
            <w:rFonts w:asciiTheme="majorHAnsi" w:hAnsiTheme="majorHAnsi"/>
            <w:sz w:val="20"/>
            <w:szCs w:val="20"/>
          </w:rPr>
          <w:t>SPM Essentials Webinar #3 Using Client Feedback to Inform Product Design</w:t>
        </w:r>
      </w:hyperlink>
    </w:p>
    <w:bookmarkEnd w:id="44"/>
    <w:p w14:paraId="5C73E0CF" w14:textId="77777777" w:rsidR="004D3099" w:rsidRPr="00A608EE" w:rsidRDefault="004D3099" w:rsidP="00EE208A">
      <w:pPr>
        <w:jc w:val="both"/>
        <w:rPr>
          <w:rFonts w:asciiTheme="majorHAnsi" w:hAnsiTheme="majorHAnsi"/>
          <w:szCs w:val="20"/>
        </w:rPr>
      </w:pPr>
    </w:p>
    <w:p w14:paraId="634C8986" w14:textId="77777777" w:rsidR="0034446F" w:rsidRPr="00A608EE" w:rsidRDefault="0034446F" w:rsidP="00EE208A">
      <w:pPr>
        <w:jc w:val="both"/>
        <w:rPr>
          <w:rFonts w:asciiTheme="majorHAnsi" w:hAnsiTheme="majorHAnsi"/>
          <w:szCs w:val="20"/>
        </w:rPr>
      </w:pPr>
    </w:p>
    <w:p w14:paraId="54271781" w14:textId="3871ADC1" w:rsidR="00792636" w:rsidRPr="00A608EE" w:rsidRDefault="00792636" w:rsidP="00EE208A">
      <w:pPr>
        <w:pStyle w:val="Heading3"/>
        <w:spacing w:before="0" w:line="240" w:lineRule="auto"/>
        <w:jc w:val="both"/>
      </w:pPr>
      <w:bookmarkStart w:id="45" w:name="_Toc230938786"/>
      <w:r w:rsidRPr="00A608EE">
        <w:rPr>
          <w:rStyle w:val="text-primary"/>
        </w:rPr>
        <w:lastRenderedPageBreak/>
        <w:t>3.A.1</w:t>
      </w:r>
      <w:r w:rsidRPr="00A608EE">
        <w:t xml:space="preserve"> </w:t>
      </w:r>
      <w:r w:rsidR="00540331" w:rsidRPr="00A608EE">
        <w:t>The provider conducts market research and pilot testing</w:t>
      </w:r>
      <w:r w:rsidR="004B738F" w:rsidRPr="00A608EE">
        <w:t>.</w:t>
      </w:r>
      <w:bookmarkEnd w:id="45"/>
    </w:p>
    <w:p w14:paraId="1528D509" w14:textId="77777777" w:rsidR="004D3099" w:rsidRPr="00A608EE" w:rsidRDefault="004D3099" w:rsidP="00EE208A">
      <w:pPr>
        <w:jc w:val="both"/>
        <w:rPr>
          <w:rFonts w:asciiTheme="majorHAnsi" w:hAnsiTheme="majorHAnsi"/>
          <w:szCs w:val="20"/>
        </w:rPr>
      </w:pPr>
    </w:p>
    <w:p w14:paraId="687F3571" w14:textId="77777777" w:rsidR="00540331" w:rsidRPr="00A608EE" w:rsidRDefault="00540331" w:rsidP="00EE208A">
      <w:pPr>
        <w:jc w:val="both"/>
        <w:rPr>
          <w:rFonts w:asciiTheme="majorHAnsi" w:hAnsiTheme="majorHAnsi"/>
          <w:b/>
          <w:bCs/>
          <w:sz w:val="20"/>
          <w:szCs w:val="20"/>
        </w:rPr>
      </w:pPr>
      <w:r w:rsidRPr="00A608EE">
        <w:rPr>
          <w:rFonts w:asciiTheme="majorHAnsi" w:hAnsiTheme="majorHAnsi"/>
          <w:b/>
          <w:bCs/>
          <w:sz w:val="20"/>
          <w:szCs w:val="20"/>
        </w:rPr>
        <w:t>Conduct client-centric market research</w:t>
      </w:r>
    </w:p>
    <w:p w14:paraId="4E342A55" w14:textId="77777777" w:rsidR="00540331" w:rsidRPr="00A608EE" w:rsidRDefault="00540331" w:rsidP="00EE208A">
      <w:pPr>
        <w:jc w:val="both"/>
        <w:rPr>
          <w:rFonts w:asciiTheme="majorHAnsi" w:hAnsiTheme="majorHAnsi"/>
          <w:sz w:val="20"/>
          <w:szCs w:val="20"/>
        </w:rPr>
      </w:pPr>
      <w:r w:rsidRPr="00A608EE">
        <w:rPr>
          <w:rFonts w:asciiTheme="majorHAnsi" w:hAnsiTheme="majorHAnsi"/>
          <w:sz w:val="20"/>
          <w:szCs w:val="20"/>
        </w:rPr>
        <w:t>In addition to data collected to understand whether the social goals are met, market research on the client groups or segments in required to gain a deeper understanding of their needs, preferences, goals and any obstacles and transaction costs to using financial products/services and their distribution channels.</w:t>
      </w:r>
    </w:p>
    <w:p w14:paraId="5F2A4F31" w14:textId="77777777" w:rsidR="00540331" w:rsidRPr="00A608EE" w:rsidRDefault="00540331" w:rsidP="00EE208A">
      <w:pPr>
        <w:jc w:val="both"/>
        <w:rPr>
          <w:rFonts w:asciiTheme="majorHAnsi" w:hAnsiTheme="majorHAnsi"/>
          <w:sz w:val="20"/>
          <w:szCs w:val="20"/>
        </w:rPr>
      </w:pPr>
    </w:p>
    <w:p w14:paraId="4248D13A" w14:textId="49190038" w:rsidR="00540331" w:rsidRPr="00A608EE" w:rsidRDefault="00540331" w:rsidP="00EE208A">
      <w:pPr>
        <w:jc w:val="both"/>
        <w:rPr>
          <w:rFonts w:asciiTheme="majorHAnsi" w:hAnsiTheme="majorHAnsi"/>
          <w:sz w:val="20"/>
          <w:szCs w:val="20"/>
        </w:rPr>
      </w:pPr>
      <w:r w:rsidRPr="00A608EE">
        <w:rPr>
          <w:rFonts w:asciiTheme="majorHAnsi" w:hAnsiTheme="majorHAnsi"/>
          <w:sz w:val="20"/>
          <w:szCs w:val="20"/>
        </w:rPr>
        <w:t>Traditionally, market research starts with a provider’s products and services (current or potential) and investigates whether clients like or dislike the different features of these. However, client-centric market research starts with the client, not the product. This means first understanding the lives of the target clients, and then designing or modifying products to satisfy their needs and priorities and help them achieve their goals. This type of market research requires to investigate multiple facets of target clients’ lives to understand the holistic picture of the challenges and opportunities the target clients face throughout their lifecycle (beyond purely financial aspects).</w:t>
      </w:r>
    </w:p>
    <w:p w14:paraId="192CBB07" w14:textId="77777777" w:rsidR="00540331" w:rsidRPr="00A608EE" w:rsidRDefault="00540331" w:rsidP="00EE208A">
      <w:pPr>
        <w:jc w:val="both"/>
        <w:rPr>
          <w:rFonts w:asciiTheme="majorHAnsi" w:hAnsiTheme="majorHAnsi"/>
          <w:sz w:val="20"/>
          <w:szCs w:val="20"/>
        </w:rPr>
      </w:pPr>
    </w:p>
    <w:p w14:paraId="7E8F6972" w14:textId="640FB17D" w:rsidR="00540331" w:rsidRPr="00A608EE" w:rsidRDefault="00540331" w:rsidP="00EE208A">
      <w:pPr>
        <w:jc w:val="both"/>
        <w:rPr>
          <w:rFonts w:asciiTheme="majorHAnsi" w:hAnsiTheme="majorHAnsi"/>
          <w:sz w:val="20"/>
          <w:szCs w:val="20"/>
        </w:rPr>
      </w:pPr>
      <w:r w:rsidRPr="00A608EE">
        <w:rPr>
          <w:rFonts w:asciiTheme="majorHAnsi" w:hAnsiTheme="majorHAnsi"/>
          <w:sz w:val="20"/>
          <w:szCs w:val="20"/>
        </w:rPr>
        <w:t>For example, in order to understand the needs and preferences of clients living in rural areas, financial information such as agricultural business types, monthly profit generated from these businesses, variations in seasonal income flows, and client demand for various financial services is required. In addition, the following questions require answers to understand their “non-financial” priorities: What are their goals for their families? What are their most significant vulnerabilities? What is their social status and how does that affect their ability and willingness to engage with service providers? For users of digital payment services, understanding is important of their comfort level with a mobile interface, the types of transactions they prefer to do digitally as opposed to face-to-face, and which user errors might affect the safety of the mobile product.</w:t>
      </w:r>
    </w:p>
    <w:p w14:paraId="02CE1601" w14:textId="77777777" w:rsidR="00540331" w:rsidRPr="00A608EE" w:rsidRDefault="00540331" w:rsidP="00EE208A">
      <w:pPr>
        <w:jc w:val="both"/>
        <w:rPr>
          <w:rFonts w:asciiTheme="majorHAnsi" w:hAnsiTheme="majorHAnsi"/>
          <w:sz w:val="20"/>
          <w:szCs w:val="20"/>
        </w:rPr>
      </w:pPr>
    </w:p>
    <w:p w14:paraId="5ECD3046" w14:textId="7D6ABC7E" w:rsidR="00540331" w:rsidRPr="00A608EE" w:rsidRDefault="00540331" w:rsidP="00EE208A">
      <w:pPr>
        <w:jc w:val="both"/>
        <w:rPr>
          <w:rFonts w:asciiTheme="majorHAnsi" w:hAnsiTheme="majorHAnsi"/>
          <w:sz w:val="20"/>
          <w:szCs w:val="20"/>
        </w:rPr>
      </w:pPr>
      <w:r w:rsidRPr="00A608EE">
        <w:rPr>
          <w:rFonts w:asciiTheme="majorHAnsi" w:hAnsiTheme="majorHAnsi"/>
          <w:sz w:val="20"/>
          <w:szCs w:val="20"/>
        </w:rPr>
        <w:t>The provider can use multiple sources for client data, including client and field staff interviews, focus groups, surveys, field observations of target client behavior, participatory rapid appraisal, and data mining of the management information system (MIS) which is discussed in greater depth as part of essential practice 3A.2. </w:t>
      </w:r>
      <w:hyperlink r:id="rId110" w:tgtFrame="_blank" w:history="1">
        <w:r w:rsidRPr="00A608EE">
          <w:rPr>
            <w:rStyle w:val="Hyperlink"/>
            <w:rFonts w:asciiTheme="majorHAnsi" w:hAnsiTheme="majorHAnsi"/>
            <w:sz w:val="20"/>
            <w:szCs w:val="20"/>
          </w:rPr>
          <w:t>The Market Research Techniques Table</w:t>
        </w:r>
      </w:hyperlink>
      <w:r w:rsidRPr="00A608EE">
        <w:rPr>
          <w:rFonts w:asciiTheme="majorHAnsi" w:hAnsiTheme="majorHAnsi"/>
          <w:sz w:val="20"/>
          <w:szCs w:val="20"/>
        </w:rPr>
        <w:t> provides a comparison of the uses of various types of market research techniques.</w:t>
      </w:r>
    </w:p>
    <w:p w14:paraId="629B5DCF" w14:textId="77777777" w:rsidR="00540331" w:rsidRPr="00A608EE" w:rsidRDefault="00540331" w:rsidP="00EE208A">
      <w:pPr>
        <w:jc w:val="both"/>
        <w:rPr>
          <w:rFonts w:asciiTheme="majorHAnsi" w:hAnsiTheme="majorHAnsi"/>
          <w:sz w:val="20"/>
          <w:szCs w:val="20"/>
        </w:rPr>
      </w:pPr>
    </w:p>
    <w:p w14:paraId="00C1E2FF" w14:textId="60DEE8F1" w:rsidR="00540331" w:rsidRPr="00A608EE" w:rsidRDefault="00540331" w:rsidP="00EE208A">
      <w:pPr>
        <w:jc w:val="both"/>
        <w:rPr>
          <w:rFonts w:asciiTheme="majorHAnsi" w:hAnsiTheme="majorHAnsi"/>
          <w:sz w:val="20"/>
          <w:szCs w:val="20"/>
        </w:rPr>
      </w:pPr>
      <w:r w:rsidRPr="00A608EE">
        <w:rPr>
          <w:rFonts w:asciiTheme="majorHAnsi" w:hAnsiTheme="majorHAnsi"/>
          <w:sz w:val="20"/>
          <w:szCs w:val="20"/>
        </w:rPr>
        <w:t>Market research should include non-client members of the target client segments, and it should seek to identify whether the design of the products/services and their distribution channels unintentionally prevents certain people from accessing them</w:t>
      </w:r>
    </w:p>
    <w:p w14:paraId="02AB4D2A" w14:textId="77777777" w:rsidR="004D3099" w:rsidRPr="00A608EE" w:rsidRDefault="004D3099" w:rsidP="00EE208A">
      <w:pPr>
        <w:jc w:val="both"/>
        <w:rPr>
          <w:rFonts w:asciiTheme="majorHAnsi" w:hAnsiTheme="majorHAnsi"/>
          <w:sz w:val="20"/>
          <w:szCs w:val="20"/>
        </w:rPr>
      </w:pPr>
    </w:p>
    <w:p w14:paraId="2F4AADF9" w14:textId="77777777" w:rsidR="00540331" w:rsidRPr="00A608EE" w:rsidRDefault="00540331" w:rsidP="00EE208A">
      <w:pPr>
        <w:jc w:val="both"/>
        <w:rPr>
          <w:rFonts w:asciiTheme="majorHAnsi" w:hAnsiTheme="majorHAnsi"/>
          <w:b/>
          <w:bCs/>
          <w:sz w:val="20"/>
          <w:szCs w:val="20"/>
        </w:rPr>
      </w:pPr>
      <w:r w:rsidRPr="00A608EE">
        <w:rPr>
          <w:rFonts w:asciiTheme="majorHAnsi" w:hAnsiTheme="majorHAnsi"/>
          <w:b/>
          <w:bCs/>
          <w:sz w:val="20"/>
          <w:szCs w:val="20"/>
        </w:rPr>
        <w:t>Field examples and Resources</w:t>
      </w:r>
    </w:p>
    <w:p w14:paraId="012EBB8E" w14:textId="77777777" w:rsidR="00716F2E" w:rsidRPr="00A608EE" w:rsidRDefault="00716F2E" w:rsidP="00A27AAA">
      <w:pPr>
        <w:pStyle w:val="ListParagraph"/>
        <w:numPr>
          <w:ilvl w:val="0"/>
          <w:numId w:val="6"/>
        </w:numPr>
        <w:spacing w:after="0" w:line="240" w:lineRule="auto"/>
        <w:jc w:val="both"/>
        <w:rPr>
          <w:rFonts w:asciiTheme="majorHAnsi" w:hAnsiTheme="majorHAnsi" w:cs="Times New Roman"/>
          <w:szCs w:val="20"/>
        </w:rPr>
      </w:pPr>
      <w:hyperlink r:id="rId111" w:history="1">
        <w:r w:rsidRPr="00A608EE">
          <w:rPr>
            <w:rStyle w:val="Hyperlink"/>
            <w:rFonts w:asciiTheme="majorHAnsi" w:hAnsiTheme="majorHAnsi" w:cs="Times New Roman"/>
            <w:color w:val="auto"/>
            <w:szCs w:val="20"/>
          </w:rPr>
          <w:t>Market Research Techniques Table</w:t>
        </w:r>
      </w:hyperlink>
    </w:p>
    <w:p w14:paraId="76482893" w14:textId="77777777" w:rsidR="00C137FE" w:rsidRPr="00A608EE" w:rsidRDefault="00C137FE" w:rsidP="00EE208A">
      <w:pPr>
        <w:jc w:val="both"/>
        <w:rPr>
          <w:rFonts w:asciiTheme="majorHAnsi" w:hAnsiTheme="majorHAnsi"/>
          <w:sz w:val="20"/>
          <w:szCs w:val="20"/>
        </w:rPr>
      </w:pPr>
    </w:p>
    <w:p w14:paraId="41C98A48" w14:textId="77777777" w:rsidR="004D3099" w:rsidRPr="00A608EE" w:rsidRDefault="004D3099" w:rsidP="00EE208A">
      <w:pPr>
        <w:jc w:val="both"/>
        <w:rPr>
          <w:rFonts w:asciiTheme="majorHAnsi" w:hAnsiTheme="majorHAnsi"/>
          <w:sz w:val="20"/>
          <w:szCs w:val="20"/>
        </w:rPr>
      </w:pPr>
    </w:p>
    <w:p w14:paraId="3C8554F4" w14:textId="09BD9949" w:rsidR="00B30C60" w:rsidRPr="00A608EE" w:rsidRDefault="00B30C60" w:rsidP="00EE208A">
      <w:pPr>
        <w:pStyle w:val="Heading4"/>
        <w:spacing w:before="0" w:line="240" w:lineRule="auto"/>
        <w:jc w:val="both"/>
      </w:pPr>
      <w:r w:rsidRPr="00A608EE">
        <w:rPr>
          <w:rStyle w:val="text-primary"/>
        </w:rPr>
        <w:t>3.A.1.1</w:t>
      </w:r>
      <w:r w:rsidRPr="00A608EE">
        <w:t xml:space="preserve"> </w:t>
      </w:r>
      <w:r w:rsidR="00FB2061" w:rsidRPr="00A608EE">
        <w:t>Before introducing new products, services, or delivery channels, the provider conducts market research that includes gathering the following data about its target clients:</w:t>
      </w:r>
    </w:p>
    <w:p w14:paraId="4C401859" w14:textId="18078DA3" w:rsidR="00FB2061" w:rsidRPr="00A608EE" w:rsidRDefault="00FB2061" w:rsidP="00EE208A">
      <w:pPr>
        <w:pStyle w:val="Heading5"/>
        <w:spacing w:line="240" w:lineRule="auto"/>
        <w:ind w:left="708"/>
        <w:jc w:val="both"/>
        <w:rPr>
          <w:rFonts w:cstheme="majorHAnsi"/>
          <w:i/>
          <w:color w:val="auto"/>
          <w:szCs w:val="20"/>
        </w:rPr>
      </w:pPr>
      <w:r w:rsidRPr="00A608EE">
        <w:rPr>
          <w:rFonts w:cstheme="majorHAnsi"/>
          <w:i/>
          <w:color w:val="auto"/>
          <w:szCs w:val="20"/>
        </w:rPr>
        <w:t>3.A.1.1.1 Analysis of market share, market saturation, and potential market</w:t>
      </w:r>
    </w:p>
    <w:p w14:paraId="51F2DE6E" w14:textId="77777777" w:rsidR="00FB2061" w:rsidRPr="00A608EE" w:rsidRDefault="00FB2061" w:rsidP="00EE208A">
      <w:pPr>
        <w:pStyle w:val="Heading5"/>
        <w:spacing w:line="240" w:lineRule="auto"/>
        <w:ind w:left="708"/>
        <w:jc w:val="both"/>
        <w:rPr>
          <w:rFonts w:cstheme="majorHAnsi"/>
          <w:i/>
          <w:color w:val="auto"/>
          <w:szCs w:val="20"/>
        </w:rPr>
      </w:pPr>
      <w:r w:rsidRPr="00A608EE">
        <w:rPr>
          <w:rFonts w:cstheme="majorHAnsi"/>
          <w:i/>
          <w:color w:val="auto"/>
          <w:szCs w:val="20"/>
        </w:rPr>
        <w:t>3.A.1.1.2 Client profile data, including gender, age, location (urban/rural), and poverty/income level</w:t>
      </w:r>
    </w:p>
    <w:p w14:paraId="7565FFC3" w14:textId="6D4C0277" w:rsidR="00B30C60" w:rsidRPr="00A608EE" w:rsidRDefault="00FB2061" w:rsidP="00EE208A">
      <w:pPr>
        <w:pStyle w:val="Heading5"/>
        <w:spacing w:before="0" w:line="240" w:lineRule="auto"/>
        <w:ind w:left="708"/>
        <w:jc w:val="both"/>
        <w:rPr>
          <w:rFonts w:cstheme="majorHAnsi"/>
          <w:i/>
          <w:color w:val="auto"/>
          <w:szCs w:val="20"/>
        </w:rPr>
      </w:pPr>
      <w:r w:rsidRPr="00A608EE">
        <w:rPr>
          <w:rFonts w:cstheme="majorHAnsi"/>
          <w:i/>
          <w:color w:val="auto"/>
          <w:szCs w:val="20"/>
        </w:rPr>
        <w:t>3.A.1.1.3 Data on clients' needs, goals, and any obstacles to using financial services</w:t>
      </w:r>
    </w:p>
    <w:p w14:paraId="63F96F37" w14:textId="77777777" w:rsidR="00F45679" w:rsidRPr="00A608EE" w:rsidRDefault="00F45679" w:rsidP="00EE208A">
      <w:pPr>
        <w:jc w:val="both"/>
        <w:rPr>
          <w:rFonts w:asciiTheme="majorHAnsi" w:hAnsiTheme="majorHAnsi"/>
          <w:szCs w:val="20"/>
        </w:rPr>
      </w:pPr>
    </w:p>
    <w:p w14:paraId="32CF1C6A" w14:textId="150EB344" w:rsidR="004D3099"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4D3099" w:rsidRPr="00A608EE">
        <w:rPr>
          <w:rFonts w:asciiTheme="majorHAnsi" w:hAnsiTheme="majorHAnsi"/>
          <w:b/>
          <w:bCs/>
          <w:color w:val="2145CC" w:themeColor="accent5" w:themeShade="BF"/>
          <w:sz w:val="20"/>
          <w:szCs w:val="20"/>
        </w:rPr>
        <w:t>ALINUS</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4D3099"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4D3099"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4E81D337" w14:textId="09E975B3" w:rsidR="004D3099" w:rsidRPr="00A608EE" w:rsidRDefault="009D5DE5"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15F5C7F2" w14:textId="4FE7B64D" w:rsidR="009D5DE5" w:rsidRPr="00A608EE" w:rsidRDefault="00FB206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Products and services are still often standardized, based on what the sector knows how to do rather than what clients need. Providing high-quality, well-adapted services requires first understanding the financial lives and behaviors of target clients through market research, </w:t>
      </w:r>
      <w:r w:rsidRPr="00A608EE">
        <w:rPr>
          <w:rFonts w:asciiTheme="majorHAnsi" w:hAnsiTheme="majorHAnsi"/>
          <w:sz w:val="20"/>
          <w:szCs w:val="20"/>
        </w:rPr>
        <w:lastRenderedPageBreak/>
        <w:t>and then designing the product. Market research is the study of clients and non-clients to identify financial needs, preferences, behaviors and barriers to accessing services.</w:t>
      </w:r>
    </w:p>
    <w:p w14:paraId="3C349374"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195ECF8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20032" behindDoc="1" locked="0" layoutInCell="1" allowOverlap="1" wp14:anchorId="654C7D74" wp14:editId="3A5D4D20">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419315136"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43892A6"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37198A8E" w14:textId="49A1B9FD" w:rsidR="00CA6457" w:rsidRPr="00A608EE" w:rsidRDefault="00FC6779"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CA6457" w:rsidRPr="00A608EE">
        <w:rPr>
          <w:rFonts w:asciiTheme="majorHAnsi" w:hAnsiTheme="majorHAnsi"/>
          <w:sz w:val="20"/>
          <w:szCs w:val="20"/>
        </w:rPr>
        <w:t>Before introducing new products, services, or delivery channels, the provider conducts market research that includes gathering the following data about its target clients:</w:t>
      </w:r>
    </w:p>
    <w:p w14:paraId="69E544C5" w14:textId="28A8EC46" w:rsidR="00CA6457" w:rsidRPr="00A608EE" w:rsidRDefault="00CA6457" w:rsidP="00A27AAA">
      <w:pPr>
        <w:pStyle w:val="paragraph"/>
        <w:numPr>
          <w:ilvl w:val="0"/>
          <w:numId w:val="39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 xml:space="preserve">Analysis of market share, market saturation, and potential market </w:t>
      </w:r>
    </w:p>
    <w:p w14:paraId="1B8C3BF2" w14:textId="5E8DAF78" w:rsidR="00CA6457" w:rsidRPr="00A608EE" w:rsidRDefault="00CA6457" w:rsidP="00A27AAA">
      <w:pPr>
        <w:pStyle w:val="paragraph"/>
        <w:numPr>
          <w:ilvl w:val="0"/>
          <w:numId w:val="39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 xml:space="preserve">Client profile data, including gender, age, disability status, location (urban/rural), and poverty/income level </w:t>
      </w:r>
    </w:p>
    <w:p w14:paraId="6DE4687C" w14:textId="7202E323" w:rsidR="00CA6457" w:rsidRPr="00A608EE" w:rsidRDefault="00CA6457" w:rsidP="00A27AAA">
      <w:pPr>
        <w:pStyle w:val="paragraph"/>
        <w:numPr>
          <w:ilvl w:val="0"/>
          <w:numId w:val="39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 xml:space="preserve">Data on clients’ needs, goals, and any obstacles to using financial services </w:t>
      </w:r>
    </w:p>
    <w:p w14:paraId="6E895860" w14:textId="02A44665" w:rsidR="00CA6457" w:rsidRPr="00A608EE" w:rsidRDefault="00CA6457" w:rsidP="00A27AAA">
      <w:pPr>
        <w:pStyle w:val="paragraph"/>
        <w:numPr>
          <w:ilvl w:val="0"/>
          <w:numId w:val="390"/>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 xml:space="preserve">Accessibility analysis of the new products, services, or delivery channels </w:t>
      </w:r>
    </w:p>
    <w:p w14:paraId="4CA91559" w14:textId="787D71DF" w:rsidR="00CA6457" w:rsidRPr="00A608EE" w:rsidRDefault="00CA6457" w:rsidP="00373807">
      <w:pPr>
        <w:spacing w:before="100" w:beforeAutospacing="1" w:after="100" w:afterAutospacing="1"/>
        <w:jc w:val="both"/>
        <w:rPr>
          <w:rFonts w:asciiTheme="majorHAnsi" w:hAnsiTheme="majorHAnsi"/>
          <w:szCs w:val="20"/>
          <w:lang w:eastAsia="fr-FR"/>
        </w:rPr>
      </w:pPr>
      <w:r w:rsidRPr="00A608EE">
        <w:rPr>
          <w:rFonts w:asciiTheme="majorHAnsi" w:hAnsiTheme="majorHAnsi"/>
          <w:sz w:val="20"/>
          <w:szCs w:val="20"/>
          <w:lang w:eastAsia="fr-FR"/>
        </w:rPr>
        <w:t>In addition, the provider includes persons with different socioeconomic and demographic characteristics, including persons with different types of impairments (physical, mental, intellectual or sensory impairments), in the design and pilot testing of new products or significant product changes, and seeks feedback on both appropriateness and accessibility.</w:t>
      </w:r>
    </w:p>
    <w:p w14:paraId="08CA67C9" w14:textId="2C2AFF70"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2DB6A0FD" w14:textId="5BB32D95"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522CA56D"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083E2FCD"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2445E46A"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3400A457"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14B085FA"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599F0A37"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195FADA6" w14:textId="08962E3A" w:rsidR="0037293C" w:rsidRPr="00A608EE" w:rsidRDefault="009F1C0C" w:rsidP="00EE208A">
      <w:pPr>
        <w:pStyle w:val="NormalWeb"/>
        <w:spacing w:before="0" w:beforeAutospacing="0" w:after="0" w:afterAutospacing="0"/>
        <w:jc w:val="both"/>
        <w:rPr>
          <w:rFonts w:asciiTheme="majorHAnsi" w:hAnsiTheme="majorHAnsi"/>
          <w:b/>
          <w:bCs/>
          <w:sz w:val="20"/>
          <w:szCs w:val="20"/>
        </w:rPr>
      </w:pPr>
      <w:r w:rsidRPr="00A608EE">
        <w:rPr>
          <w:noProof/>
        </w:rPr>
        <w:lastRenderedPageBreak/>
        <mc:AlternateContent>
          <mc:Choice Requires="wps">
            <w:drawing>
              <wp:anchor distT="0" distB="0" distL="114300" distR="114300" simplePos="0" relativeHeight="251778048" behindDoc="0" locked="0" layoutInCell="1" allowOverlap="1" wp14:anchorId="5B7ECCD4" wp14:editId="118A1AE3">
                <wp:simplePos x="0" y="0"/>
                <wp:positionH relativeFrom="margin">
                  <wp:align>left</wp:align>
                </wp:positionH>
                <wp:positionV relativeFrom="paragraph">
                  <wp:posOffset>172720</wp:posOffset>
                </wp:positionV>
                <wp:extent cx="1828800" cy="7848600"/>
                <wp:effectExtent l="0" t="0" r="24130" b="19050"/>
                <wp:wrapSquare wrapText="bothSides"/>
                <wp:docPr id="1384125832" name="Cuadro de texto 1"/>
                <wp:cNvGraphicFramePr/>
                <a:graphic xmlns:a="http://schemas.openxmlformats.org/drawingml/2006/main">
                  <a:graphicData uri="http://schemas.microsoft.com/office/word/2010/wordprocessingShape">
                    <wps:wsp>
                      <wps:cNvSpPr txBox="1"/>
                      <wps:spPr>
                        <a:xfrm>
                          <a:off x="0" y="0"/>
                          <a:ext cx="1828800" cy="7848600"/>
                        </a:xfrm>
                        <a:prstGeom prst="rect">
                          <a:avLst/>
                        </a:prstGeom>
                        <a:noFill/>
                        <a:ln w="6350">
                          <a:solidFill>
                            <a:prstClr val="black"/>
                          </a:solidFill>
                        </a:ln>
                      </wps:spPr>
                      <wps:txbx>
                        <w:txbxContent>
                          <w:p w14:paraId="4F3CFCA4" w14:textId="3432F2FB" w:rsidR="00A55504" w:rsidRPr="00820B09" w:rsidRDefault="0084416A" w:rsidP="00A55504">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A55504" w:rsidRPr="00820B09">
                              <w:rPr>
                                <w:rFonts w:asciiTheme="majorHAnsi" w:hAnsiTheme="majorHAnsi"/>
                                <w:b/>
                                <w:bCs/>
                                <w:sz w:val="20"/>
                                <w:szCs w:val="20"/>
                              </w:rPr>
                              <w:t>3.A.1.1</w:t>
                            </w:r>
                          </w:p>
                          <w:p w14:paraId="71B50BFF" w14:textId="77777777" w:rsidR="00A55504" w:rsidRPr="00820B09" w:rsidRDefault="00A55504" w:rsidP="00A02AC4">
                            <w:pPr>
                              <w:pStyle w:val="NormalWeb"/>
                              <w:spacing w:after="0"/>
                              <w:jc w:val="both"/>
                              <w:rPr>
                                <w:rFonts w:asciiTheme="majorHAnsi" w:hAnsiTheme="majorHAnsi"/>
                                <w:sz w:val="20"/>
                                <w:szCs w:val="20"/>
                              </w:rPr>
                            </w:pPr>
                            <w:r w:rsidRPr="00820B09">
                              <w:rPr>
                                <w:rFonts w:asciiTheme="majorHAnsi" w:hAnsiTheme="majorHAnsi"/>
                                <w:sz w:val="20"/>
                                <w:szCs w:val="20"/>
                              </w:rPr>
                              <w:t xml:space="preserve">Inclusive design processes aim to ensure that products, services, and channels are both accessible and appropriate for all users, including persons with disabilities. Apply inclusive design approaches when developing new products, services, and delivery channels, and when making significant amendments or upgrades. Key inclusive design components are: </w:t>
                            </w:r>
                          </w:p>
                          <w:p w14:paraId="499A2F78" w14:textId="77777777" w:rsidR="00A55504" w:rsidRPr="00820B09" w:rsidRDefault="00A55504" w:rsidP="00A27AAA">
                            <w:pPr>
                              <w:pStyle w:val="NormalWeb"/>
                              <w:numPr>
                                <w:ilvl w:val="0"/>
                                <w:numId w:val="416"/>
                              </w:numPr>
                              <w:jc w:val="both"/>
                              <w:rPr>
                                <w:rFonts w:asciiTheme="majorHAnsi" w:hAnsiTheme="majorHAnsi"/>
                                <w:sz w:val="20"/>
                                <w:szCs w:val="20"/>
                              </w:rPr>
                            </w:pPr>
                            <w:r w:rsidRPr="00820B09">
                              <w:rPr>
                                <w:rFonts w:asciiTheme="majorHAnsi" w:hAnsiTheme="majorHAnsi"/>
                                <w:sz w:val="20"/>
                                <w:szCs w:val="20"/>
                              </w:rPr>
                              <w:t xml:space="preserve">using disability-disaggregated data to inform the design process; </w:t>
                            </w:r>
                          </w:p>
                          <w:p w14:paraId="3B1BF5EC" w14:textId="77777777" w:rsidR="00A55504" w:rsidRPr="00820B09" w:rsidRDefault="00A55504" w:rsidP="00A27AAA">
                            <w:pPr>
                              <w:pStyle w:val="NormalWeb"/>
                              <w:numPr>
                                <w:ilvl w:val="0"/>
                                <w:numId w:val="416"/>
                              </w:numPr>
                              <w:jc w:val="both"/>
                              <w:rPr>
                                <w:rFonts w:asciiTheme="majorHAnsi" w:hAnsiTheme="majorHAnsi"/>
                                <w:sz w:val="20"/>
                                <w:szCs w:val="20"/>
                              </w:rPr>
                            </w:pPr>
                            <w:r w:rsidRPr="00820B09">
                              <w:rPr>
                                <w:rFonts w:asciiTheme="majorHAnsi" w:hAnsiTheme="majorHAnsi"/>
                                <w:sz w:val="20"/>
                                <w:szCs w:val="20"/>
                              </w:rPr>
                              <w:t>implementing inclusive research methodologies;</w:t>
                            </w:r>
                          </w:p>
                          <w:p w14:paraId="3AB624B8" w14:textId="77777777" w:rsidR="00A55504" w:rsidRPr="00820B09" w:rsidRDefault="00A55504" w:rsidP="00A27AAA">
                            <w:pPr>
                              <w:pStyle w:val="NormalWeb"/>
                              <w:numPr>
                                <w:ilvl w:val="0"/>
                                <w:numId w:val="416"/>
                              </w:numPr>
                              <w:jc w:val="both"/>
                              <w:rPr>
                                <w:rFonts w:asciiTheme="majorHAnsi" w:hAnsiTheme="majorHAnsi"/>
                                <w:sz w:val="20"/>
                                <w:szCs w:val="20"/>
                              </w:rPr>
                            </w:pPr>
                            <w:r w:rsidRPr="00820B09">
                              <w:rPr>
                                <w:rFonts w:asciiTheme="majorHAnsi" w:hAnsiTheme="majorHAnsi"/>
                                <w:sz w:val="20"/>
                                <w:szCs w:val="20"/>
                              </w:rPr>
                              <w:t xml:space="preserve">enabling active participation of persons with disabilities in all stages; </w:t>
                            </w:r>
                          </w:p>
                          <w:p w14:paraId="78AB7358" w14:textId="77777777" w:rsidR="00A55504" w:rsidRPr="00820B09" w:rsidRDefault="00A55504" w:rsidP="00A27AAA">
                            <w:pPr>
                              <w:pStyle w:val="NormalWeb"/>
                              <w:numPr>
                                <w:ilvl w:val="0"/>
                                <w:numId w:val="416"/>
                              </w:numPr>
                              <w:spacing w:after="0"/>
                              <w:jc w:val="both"/>
                              <w:rPr>
                                <w:rFonts w:asciiTheme="majorHAnsi" w:hAnsiTheme="majorHAnsi"/>
                                <w:sz w:val="20"/>
                                <w:szCs w:val="20"/>
                              </w:rPr>
                            </w:pPr>
                            <w:r w:rsidRPr="00820B09">
                              <w:rPr>
                                <w:rFonts w:asciiTheme="majorHAnsi" w:hAnsiTheme="majorHAnsi"/>
                                <w:sz w:val="20"/>
                                <w:szCs w:val="20"/>
                              </w:rPr>
                              <w:t>applying Universal Design principles to ensure usability by a diverse range of users.</w:t>
                            </w:r>
                          </w:p>
                          <w:p w14:paraId="6D5B18F7" w14:textId="6492127E" w:rsidR="009F1C0C" w:rsidRPr="00820B09" w:rsidRDefault="00A55504" w:rsidP="00A55504">
                            <w:pPr>
                              <w:pStyle w:val="NormalWeb"/>
                              <w:jc w:val="both"/>
                              <w:rPr>
                                <w:rFonts w:asciiTheme="majorHAnsi" w:hAnsiTheme="majorHAnsi"/>
                                <w:sz w:val="20"/>
                                <w:szCs w:val="20"/>
                              </w:rPr>
                            </w:pPr>
                            <w:bookmarkStart w:id="46" w:name="_Hlk227076008"/>
                            <w:r w:rsidRPr="00820B09">
                              <w:rPr>
                                <w:rFonts w:asciiTheme="majorHAnsi" w:hAnsiTheme="majorHAnsi"/>
                                <w:sz w:val="20"/>
                                <w:szCs w:val="20"/>
                              </w:rPr>
                              <w:t xml:space="preserve">Collaborate with organization of persons with disabilities (OPDs) at all stages when designing and conducting market research, pilot studies, and client feedback and outcome surveys, to ensure processes are accessible and inclusive, and enable the full participation of persons with disabilities. </w:t>
                            </w:r>
                            <w:bookmarkEnd w:id="46"/>
                            <w:r w:rsidR="009F1C0C" w:rsidRPr="00820B09">
                              <w:rPr>
                                <w:rFonts w:asciiTheme="majorHAnsi" w:hAnsiTheme="majorHAnsi"/>
                                <w:sz w:val="20"/>
                                <w:szCs w:val="20"/>
                              </w:rPr>
                              <w:t>In sample populations for research include both women and men with disabilities, and persons with different types of impairments. In surveys, include questions for all respondents on the accessibility of products, services, and channels, and whether they can be accessed and used independently and safely.</w:t>
                            </w:r>
                          </w:p>
                          <w:p w14:paraId="6474E244" w14:textId="4078A21E" w:rsidR="00A55504" w:rsidRPr="00820B09" w:rsidRDefault="00A55504" w:rsidP="00A55504">
                            <w:pPr>
                              <w:pStyle w:val="NormalWeb"/>
                              <w:jc w:val="both"/>
                              <w:rPr>
                                <w:rFonts w:asciiTheme="majorHAnsi" w:hAnsiTheme="majorHAnsi"/>
                                <w:sz w:val="20"/>
                                <w:szCs w:val="20"/>
                              </w:rPr>
                            </w:pPr>
                            <w:r w:rsidRPr="00820B09">
                              <w:rPr>
                                <w:rFonts w:asciiTheme="majorHAnsi" w:hAnsiTheme="majorHAnsi"/>
                                <w:sz w:val="20"/>
                                <w:szCs w:val="20"/>
                              </w:rPr>
                              <w:t xml:space="preserve">Develop inclusive protocols for data collection from persons with disabilities </w:t>
                            </w:r>
                            <w:bookmarkStart w:id="47" w:name="_Hlk227085837"/>
                            <w:r w:rsidR="009F1C0C" w:rsidRPr="00820B09">
                              <w:rPr>
                                <w:rFonts w:asciiTheme="majorHAnsi" w:hAnsiTheme="majorHAnsi"/>
                                <w:sz w:val="20"/>
                                <w:szCs w:val="20"/>
                              </w:rPr>
                              <w:t>and e</w:t>
                            </w:r>
                            <w:r w:rsidRPr="00820B09">
                              <w:rPr>
                                <w:rFonts w:asciiTheme="majorHAnsi" w:hAnsiTheme="majorHAnsi"/>
                                <w:sz w:val="20"/>
                                <w:szCs w:val="20"/>
                              </w:rPr>
                              <w:t>nsure staff conducting research are trained to follow these protocols</w:t>
                            </w:r>
                            <w:r w:rsidR="009F1C0C" w:rsidRPr="00820B09">
                              <w:rPr>
                                <w:rFonts w:asciiTheme="majorHAnsi" w:hAnsiTheme="majorHAnsi"/>
                                <w:sz w:val="20"/>
                                <w:szCs w:val="20"/>
                              </w:rPr>
                              <w:t>,</w:t>
                            </w:r>
                            <w:r w:rsidRPr="00820B09">
                              <w:rPr>
                                <w:rFonts w:asciiTheme="majorHAnsi" w:hAnsiTheme="majorHAnsi"/>
                                <w:sz w:val="20"/>
                                <w:szCs w:val="20"/>
                              </w:rPr>
                              <w:t xml:space="preserve"> and </w:t>
                            </w:r>
                            <w:r w:rsidR="009F1C0C" w:rsidRPr="00820B09">
                              <w:rPr>
                                <w:rFonts w:asciiTheme="majorHAnsi" w:hAnsiTheme="majorHAnsi"/>
                                <w:sz w:val="20"/>
                                <w:szCs w:val="20"/>
                              </w:rPr>
                              <w:t xml:space="preserve">in </w:t>
                            </w:r>
                            <w:r w:rsidRPr="00820B09">
                              <w:rPr>
                                <w:rFonts w:asciiTheme="majorHAnsi" w:hAnsiTheme="majorHAnsi"/>
                                <w:sz w:val="20"/>
                                <w:szCs w:val="20"/>
                              </w:rPr>
                              <w:t xml:space="preserve">communication with persons with different types of impairments. </w:t>
                            </w:r>
                            <w:r w:rsidR="009F1C0C" w:rsidRPr="00820B09">
                              <w:rPr>
                                <w:rFonts w:asciiTheme="majorHAnsi" w:hAnsiTheme="majorHAnsi"/>
                                <w:sz w:val="20"/>
                                <w:szCs w:val="20"/>
                              </w:rPr>
                              <w:t>(see indicator 1.B.1.1).</w:t>
                            </w:r>
                          </w:p>
                          <w:bookmarkEnd w:id="47"/>
                          <w:p w14:paraId="5EA90709" w14:textId="07E484E9" w:rsidR="00A55504" w:rsidRPr="00820B09" w:rsidRDefault="00A55504" w:rsidP="00A55504">
                            <w:pPr>
                              <w:pStyle w:val="NormalWeb"/>
                              <w:jc w:val="both"/>
                              <w:rPr>
                                <w:rFonts w:asciiTheme="majorHAnsi" w:hAnsiTheme="majorHAnsi"/>
                                <w:sz w:val="20"/>
                                <w:szCs w:val="20"/>
                              </w:rPr>
                            </w:pPr>
                            <w:r w:rsidRPr="00820B09">
                              <w:rPr>
                                <w:rFonts w:asciiTheme="majorHAnsi" w:hAnsiTheme="majorHAnsi"/>
                                <w:sz w:val="20"/>
                                <w:szCs w:val="20"/>
                              </w:rPr>
                              <w:t>Collect data on disability status from market research participants to identify specific needs and barriers faced by clients with disabilities, and identify ways to serve them better. It is also important to disaggregate and analyze data by multiple factors, including gender, age and disability, to consider intersectionality. Analysis by type of functional impairments, where possible, provides greater granularity on specific needs or exclusions, particularly where the provider identifies persons with disability as a target client group (see indicator 1.B.1.3).</w:t>
                            </w:r>
                          </w:p>
                          <w:p w14:paraId="60EA20DA" w14:textId="719A5675" w:rsidR="00A55504" w:rsidRPr="00820B09" w:rsidRDefault="00A55504" w:rsidP="00A55504">
                            <w:pPr>
                              <w:pStyle w:val="NormalWeb"/>
                              <w:jc w:val="both"/>
                              <w:rPr>
                                <w:rFonts w:asciiTheme="majorHAnsi" w:hAnsiTheme="majorHAnsi"/>
                                <w:sz w:val="20"/>
                                <w:szCs w:val="20"/>
                              </w:rPr>
                            </w:pPr>
                            <w:r w:rsidRPr="00820B09">
                              <w:rPr>
                                <w:rFonts w:asciiTheme="majorHAnsi" w:hAnsiTheme="majorHAnsi"/>
                                <w:sz w:val="20"/>
                                <w:szCs w:val="20"/>
                              </w:rPr>
                              <w:t xml:space="preserve">During the design, user testing and pilot testing phase, the provider should carry out consultations with organizations of persons with disabilities (OPDs) and include persons with different types of impairments, such as physical, sensory (visual and hearing), cognitive, and psychosocial impairments, to ensure diverse perspectives are reflected and to effectively assess both the appropriateness and accessibility of the products. Accessibility analysis of new or upgraded products, services, and delivery channels should be a requirement regardless of the results of the market research. </w:t>
                            </w:r>
                          </w:p>
                          <w:p w14:paraId="10FB4136" w14:textId="77777777" w:rsidR="00A55504" w:rsidRPr="00820B09" w:rsidRDefault="00A55504" w:rsidP="00A55504">
                            <w:pPr>
                              <w:pStyle w:val="NormalWeb"/>
                              <w:spacing w:after="0"/>
                              <w:jc w:val="both"/>
                              <w:rPr>
                                <w:rFonts w:asciiTheme="majorHAnsi" w:hAnsiTheme="majorHAnsi"/>
                                <w:sz w:val="20"/>
                                <w:szCs w:val="20"/>
                              </w:rPr>
                            </w:pPr>
                            <w:r w:rsidRPr="00820B09">
                              <w:rPr>
                                <w:rFonts w:asciiTheme="majorHAnsi" w:hAnsiTheme="majorHAnsi"/>
                                <w:sz w:val="20"/>
                                <w:szCs w:val="20"/>
                              </w:rPr>
                              <w:t>Universal Deslign is defined in the UN Convention on the Rights of Persons with Disabilities (UNCRPD) as: “the design of products, environments, programs, and services to be usable by all people, to the greatest extent possible, without the need for adaptation or specialized design, while recognizing that assistive devices may still be required for some individuals”. It defines seven principles, to maximize accessibility in use, which can be incorporated in design and testing protocols. The BFFI Disability Inclusion Guide for FSPs contains further information and resources on Universal Design.</w:t>
                            </w:r>
                          </w:p>
                          <w:p w14:paraId="138482C9" w14:textId="289FCE0F" w:rsidR="005229E5" w:rsidRPr="00820B09" w:rsidRDefault="005229E5" w:rsidP="00A55504">
                            <w:pPr>
                              <w:pStyle w:val="NormalWeb"/>
                              <w:spacing w:after="0"/>
                              <w:jc w:val="both"/>
                              <w:rPr>
                                <w:rFonts w:asciiTheme="majorHAnsi" w:hAnsiTheme="majorHAnsi"/>
                                <w:sz w:val="20"/>
                                <w:szCs w:val="20"/>
                              </w:rPr>
                            </w:pPr>
                            <w:r w:rsidRPr="00820B09">
                              <w:rPr>
                                <w:rFonts w:asciiTheme="majorHAnsi" w:hAnsiTheme="majorHAnsi"/>
                                <w:sz w:val="20"/>
                                <w:szCs w:val="20"/>
                              </w:rPr>
                              <w:t xml:space="preserve">See resources for this indicator </w:t>
                            </w:r>
                            <w:r w:rsidR="00164398" w:rsidRPr="00820B09">
                              <w:rPr>
                                <w:rFonts w:asciiTheme="majorHAnsi" w:hAnsiTheme="majorHAnsi"/>
                                <w:sz w:val="20"/>
                                <w:szCs w:val="20"/>
                              </w:rPr>
                              <w:t xml:space="preserve">for </w:t>
                            </w:r>
                            <w:r w:rsidR="00C23589" w:rsidRPr="00820B09">
                              <w:rPr>
                                <w:rFonts w:asciiTheme="majorHAnsi" w:hAnsiTheme="majorHAnsi"/>
                                <w:sz w:val="20"/>
                                <w:szCs w:val="20"/>
                              </w:rPr>
                              <w:t xml:space="preserve">information about Universal Design principles, and </w:t>
                            </w:r>
                            <w:r w:rsidR="00164398" w:rsidRPr="00820B09">
                              <w:rPr>
                                <w:rFonts w:asciiTheme="majorHAnsi" w:hAnsiTheme="majorHAnsi"/>
                                <w:sz w:val="20"/>
                                <w:szCs w:val="20"/>
                              </w:rPr>
                              <w:t>guidance and examples of applying inclusive design processes.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7ECCD4" id="_x0000_s1039" type="#_x0000_t202" style="position:absolute;left:0;text-align:left;margin-left:0;margin-top:13.6pt;width:2in;height:618pt;z-index:251778048;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" filled="f" strokeweight=".5pt">
                <v:textbox>
                  <w:txbxContent>
                    <w:p w14:paraId="4F3CFCA4" w14:textId="3432F2FB" w:rsidR="00A55504" w:rsidRPr="00820B09" w:rsidRDefault="0084416A" w:rsidP="00A55504">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A55504" w:rsidRPr="00820B09">
                        <w:rPr>
                          <w:rFonts w:asciiTheme="majorHAnsi" w:hAnsiTheme="majorHAnsi"/>
                          <w:b/>
                          <w:bCs/>
                          <w:sz w:val="20"/>
                          <w:szCs w:val="20"/>
                        </w:rPr>
                        <w:t>3.A.1.1</w:t>
                      </w:r>
                    </w:p>
                    <w:p w14:paraId="71B50BFF" w14:textId="77777777" w:rsidR="00A55504" w:rsidRPr="00820B09" w:rsidRDefault="00A55504" w:rsidP="00A02AC4">
                      <w:pPr>
                        <w:pStyle w:val="NormalWeb"/>
                        <w:spacing w:after="0"/>
                        <w:jc w:val="both"/>
                        <w:rPr>
                          <w:rFonts w:asciiTheme="majorHAnsi" w:hAnsiTheme="majorHAnsi"/>
                          <w:sz w:val="20"/>
                          <w:szCs w:val="20"/>
                        </w:rPr>
                      </w:pPr>
                      <w:r w:rsidRPr="00820B09">
                        <w:rPr>
                          <w:rFonts w:asciiTheme="majorHAnsi" w:hAnsiTheme="majorHAnsi"/>
                          <w:sz w:val="20"/>
                          <w:szCs w:val="20"/>
                        </w:rPr>
                        <w:t xml:space="preserve">Inclusive design processes aim to ensure that products, services, and channels are both accessible and appropriate for all users, including persons with disabilities. Apply inclusive design approaches when developing new products, services, and delivery channels, and when making significant amendments or upgrades. Key inclusive design components are: </w:t>
                      </w:r>
                    </w:p>
                    <w:p w14:paraId="499A2F78" w14:textId="77777777" w:rsidR="00A55504" w:rsidRPr="00820B09" w:rsidRDefault="00A55504" w:rsidP="00A27AAA">
                      <w:pPr>
                        <w:pStyle w:val="NormalWeb"/>
                        <w:numPr>
                          <w:ilvl w:val="0"/>
                          <w:numId w:val="416"/>
                        </w:numPr>
                        <w:jc w:val="both"/>
                        <w:rPr>
                          <w:rFonts w:asciiTheme="majorHAnsi" w:hAnsiTheme="majorHAnsi"/>
                          <w:sz w:val="20"/>
                          <w:szCs w:val="20"/>
                        </w:rPr>
                      </w:pPr>
                      <w:r w:rsidRPr="00820B09">
                        <w:rPr>
                          <w:rFonts w:asciiTheme="majorHAnsi" w:hAnsiTheme="majorHAnsi"/>
                          <w:sz w:val="20"/>
                          <w:szCs w:val="20"/>
                        </w:rPr>
                        <w:t xml:space="preserve">using disability-disaggregated data to inform the design process; </w:t>
                      </w:r>
                    </w:p>
                    <w:p w14:paraId="3B1BF5EC" w14:textId="77777777" w:rsidR="00A55504" w:rsidRPr="00820B09" w:rsidRDefault="00A55504" w:rsidP="00A27AAA">
                      <w:pPr>
                        <w:pStyle w:val="NormalWeb"/>
                        <w:numPr>
                          <w:ilvl w:val="0"/>
                          <w:numId w:val="416"/>
                        </w:numPr>
                        <w:jc w:val="both"/>
                        <w:rPr>
                          <w:rFonts w:asciiTheme="majorHAnsi" w:hAnsiTheme="majorHAnsi"/>
                          <w:sz w:val="20"/>
                          <w:szCs w:val="20"/>
                        </w:rPr>
                      </w:pPr>
                      <w:r w:rsidRPr="00820B09">
                        <w:rPr>
                          <w:rFonts w:asciiTheme="majorHAnsi" w:hAnsiTheme="majorHAnsi"/>
                          <w:sz w:val="20"/>
                          <w:szCs w:val="20"/>
                        </w:rPr>
                        <w:t>implementing inclusive research methodologies;</w:t>
                      </w:r>
                    </w:p>
                    <w:p w14:paraId="3AB624B8" w14:textId="77777777" w:rsidR="00A55504" w:rsidRPr="00820B09" w:rsidRDefault="00A55504" w:rsidP="00A27AAA">
                      <w:pPr>
                        <w:pStyle w:val="NormalWeb"/>
                        <w:numPr>
                          <w:ilvl w:val="0"/>
                          <w:numId w:val="416"/>
                        </w:numPr>
                        <w:jc w:val="both"/>
                        <w:rPr>
                          <w:rFonts w:asciiTheme="majorHAnsi" w:hAnsiTheme="majorHAnsi"/>
                          <w:sz w:val="20"/>
                          <w:szCs w:val="20"/>
                        </w:rPr>
                      </w:pPr>
                      <w:r w:rsidRPr="00820B09">
                        <w:rPr>
                          <w:rFonts w:asciiTheme="majorHAnsi" w:hAnsiTheme="majorHAnsi"/>
                          <w:sz w:val="20"/>
                          <w:szCs w:val="20"/>
                        </w:rPr>
                        <w:t xml:space="preserve">enabling active participation of persons with disabilities in all stages; </w:t>
                      </w:r>
                    </w:p>
                    <w:p w14:paraId="78AB7358" w14:textId="77777777" w:rsidR="00A55504" w:rsidRPr="00820B09" w:rsidRDefault="00A55504" w:rsidP="00A27AAA">
                      <w:pPr>
                        <w:pStyle w:val="NormalWeb"/>
                        <w:numPr>
                          <w:ilvl w:val="0"/>
                          <w:numId w:val="416"/>
                        </w:numPr>
                        <w:spacing w:after="0"/>
                        <w:jc w:val="both"/>
                        <w:rPr>
                          <w:rFonts w:asciiTheme="majorHAnsi" w:hAnsiTheme="majorHAnsi"/>
                          <w:sz w:val="20"/>
                          <w:szCs w:val="20"/>
                        </w:rPr>
                      </w:pPr>
                      <w:r w:rsidRPr="00820B09">
                        <w:rPr>
                          <w:rFonts w:asciiTheme="majorHAnsi" w:hAnsiTheme="majorHAnsi"/>
                          <w:sz w:val="20"/>
                          <w:szCs w:val="20"/>
                        </w:rPr>
                        <w:t>applying Universal Design principles to ensure usability by a diverse range of users.</w:t>
                      </w:r>
                    </w:p>
                    <w:p w14:paraId="6D5B18F7" w14:textId="6492127E" w:rsidR="009F1C0C" w:rsidRPr="00820B09" w:rsidRDefault="00A55504" w:rsidP="00A55504">
                      <w:pPr>
                        <w:pStyle w:val="NormalWeb"/>
                        <w:jc w:val="both"/>
                        <w:rPr>
                          <w:rFonts w:asciiTheme="majorHAnsi" w:hAnsiTheme="majorHAnsi"/>
                          <w:sz w:val="20"/>
                          <w:szCs w:val="20"/>
                        </w:rPr>
                      </w:pPr>
                      <w:bookmarkStart w:id="48" w:name="_Hlk227076008"/>
                      <w:r w:rsidRPr="00820B09">
                        <w:rPr>
                          <w:rFonts w:asciiTheme="majorHAnsi" w:hAnsiTheme="majorHAnsi"/>
                          <w:sz w:val="20"/>
                          <w:szCs w:val="20"/>
                        </w:rPr>
                        <w:t xml:space="preserve">Collaborate with organization of persons with disabilities (OPDs) at all stages when designing and conducting market research, pilot studies, and client feedback and outcome surveys, to ensure processes are accessible and inclusive, and enable the full participation of persons with disabilities. </w:t>
                      </w:r>
                      <w:bookmarkEnd w:id="48"/>
                      <w:r w:rsidR="009F1C0C" w:rsidRPr="00820B09">
                        <w:rPr>
                          <w:rFonts w:asciiTheme="majorHAnsi" w:hAnsiTheme="majorHAnsi"/>
                          <w:sz w:val="20"/>
                          <w:szCs w:val="20"/>
                        </w:rPr>
                        <w:t>In sample populations for research include both women and men with disabilities, and persons with different types of impairments. In surveys, include questions for all respondents on the accessibility of products, services, and channels, and whether they can be accessed and used independently and safely.</w:t>
                      </w:r>
                    </w:p>
                    <w:p w14:paraId="6474E244" w14:textId="4078A21E" w:rsidR="00A55504" w:rsidRPr="00820B09" w:rsidRDefault="00A55504" w:rsidP="00A55504">
                      <w:pPr>
                        <w:pStyle w:val="NormalWeb"/>
                        <w:jc w:val="both"/>
                        <w:rPr>
                          <w:rFonts w:asciiTheme="majorHAnsi" w:hAnsiTheme="majorHAnsi"/>
                          <w:sz w:val="20"/>
                          <w:szCs w:val="20"/>
                        </w:rPr>
                      </w:pPr>
                      <w:r w:rsidRPr="00820B09">
                        <w:rPr>
                          <w:rFonts w:asciiTheme="majorHAnsi" w:hAnsiTheme="majorHAnsi"/>
                          <w:sz w:val="20"/>
                          <w:szCs w:val="20"/>
                        </w:rPr>
                        <w:t xml:space="preserve">Develop inclusive protocols for data collection from persons with disabilities </w:t>
                      </w:r>
                      <w:bookmarkStart w:id="49" w:name="_Hlk227085837"/>
                      <w:r w:rsidR="009F1C0C" w:rsidRPr="00820B09">
                        <w:rPr>
                          <w:rFonts w:asciiTheme="majorHAnsi" w:hAnsiTheme="majorHAnsi"/>
                          <w:sz w:val="20"/>
                          <w:szCs w:val="20"/>
                        </w:rPr>
                        <w:t>and e</w:t>
                      </w:r>
                      <w:r w:rsidRPr="00820B09">
                        <w:rPr>
                          <w:rFonts w:asciiTheme="majorHAnsi" w:hAnsiTheme="majorHAnsi"/>
                          <w:sz w:val="20"/>
                          <w:szCs w:val="20"/>
                        </w:rPr>
                        <w:t>nsure staff conducting research are trained to follow these protocols</w:t>
                      </w:r>
                      <w:r w:rsidR="009F1C0C" w:rsidRPr="00820B09">
                        <w:rPr>
                          <w:rFonts w:asciiTheme="majorHAnsi" w:hAnsiTheme="majorHAnsi"/>
                          <w:sz w:val="20"/>
                          <w:szCs w:val="20"/>
                        </w:rPr>
                        <w:t>,</w:t>
                      </w:r>
                      <w:r w:rsidRPr="00820B09">
                        <w:rPr>
                          <w:rFonts w:asciiTheme="majorHAnsi" w:hAnsiTheme="majorHAnsi"/>
                          <w:sz w:val="20"/>
                          <w:szCs w:val="20"/>
                        </w:rPr>
                        <w:t xml:space="preserve"> and </w:t>
                      </w:r>
                      <w:r w:rsidR="009F1C0C" w:rsidRPr="00820B09">
                        <w:rPr>
                          <w:rFonts w:asciiTheme="majorHAnsi" w:hAnsiTheme="majorHAnsi"/>
                          <w:sz w:val="20"/>
                          <w:szCs w:val="20"/>
                        </w:rPr>
                        <w:t xml:space="preserve">in </w:t>
                      </w:r>
                      <w:r w:rsidRPr="00820B09">
                        <w:rPr>
                          <w:rFonts w:asciiTheme="majorHAnsi" w:hAnsiTheme="majorHAnsi"/>
                          <w:sz w:val="20"/>
                          <w:szCs w:val="20"/>
                        </w:rPr>
                        <w:t xml:space="preserve">communication with persons with different types of impairments. </w:t>
                      </w:r>
                      <w:r w:rsidR="009F1C0C" w:rsidRPr="00820B09">
                        <w:rPr>
                          <w:rFonts w:asciiTheme="majorHAnsi" w:hAnsiTheme="majorHAnsi"/>
                          <w:sz w:val="20"/>
                          <w:szCs w:val="20"/>
                        </w:rPr>
                        <w:t>(see indicator 1.B.1.1).</w:t>
                      </w:r>
                    </w:p>
                    <w:bookmarkEnd w:id="49"/>
                    <w:p w14:paraId="5EA90709" w14:textId="07E484E9" w:rsidR="00A55504" w:rsidRPr="00820B09" w:rsidRDefault="00A55504" w:rsidP="00A55504">
                      <w:pPr>
                        <w:pStyle w:val="NormalWeb"/>
                        <w:jc w:val="both"/>
                        <w:rPr>
                          <w:rFonts w:asciiTheme="majorHAnsi" w:hAnsiTheme="majorHAnsi"/>
                          <w:sz w:val="20"/>
                          <w:szCs w:val="20"/>
                        </w:rPr>
                      </w:pPr>
                      <w:r w:rsidRPr="00820B09">
                        <w:rPr>
                          <w:rFonts w:asciiTheme="majorHAnsi" w:hAnsiTheme="majorHAnsi"/>
                          <w:sz w:val="20"/>
                          <w:szCs w:val="20"/>
                        </w:rPr>
                        <w:t>Collect data on disability status from market research participants to identify specific needs and barriers faced by clients with disabilities, and identify ways to serve them better. It is also important to disaggregate and analyze data by multiple factors, including gender, age and disability, to consider intersectionality. Analysis by type of functional impairments, where possible, provides greater granularity on specific needs or exclusions, particularly where the provider identifies persons with disability as a target client group (see indicator 1.B.1.3).</w:t>
                      </w:r>
                    </w:p>
                    <w:p w14:paraId="60EA20DA" w14:textId="719A5675" w:rsidR="00A55504" w:rsidRPr="00820B09" w:rsidRDefault="00A55504" w:rsidP="00A55504">
                      <w:pPr>
                        <w:pStyle w:val="NormalWeb"/>
                        <w:jc w:val="both"/>
                        <w:rPr>
                          <w:rFonts w:asciiTheme="majorHAnsi" w:hAnsiTheme="majorHAnsi"/>
                          <w:sz w:val="20"/>
                          <w:szCs w:val="20"/>
                        </w:rPr>
                      </w:pPr>
                      <w:r w:rsidRPr="00820B09">
                        <w:rPr>
                          <w:rFonts w:asciiTheme="majorHAnsi" w:hAnsiTheme="majorHAnsi"/>
                          <w:sz w:val="20"/>
                          <w:szCs w:val="20"/>
                        </w:rPr>
                        <w:t xml:space="preserve">During the design, user testing and pilot testing phase, the provider should carry out consultations with organizations of persons with disabilities (OPDs) and include persons with different types of impairments, such as physical, sensory (visual and hearing), cognitive, and psychosocial impairments, to ensure diverse perspectives are reflected and to effectively assess both the appropriateness and accessibility of the products. Accessibility analysis of new or upgraded products, services, and delivery channels should be a requirement regardless of the results of the market research. </w:t>
                      </w:r>
                    </w:p>
                    <w:p w14:paraId="10FB4136" w14:textId="77777777" w:rsidR="00A55504" w:rsidRPr="00820B09" w:rsidRDefault="00A55504" w:rsidP="00A55504">
                      <w:pPr>
                        <w:pStyle w:val="NormalWeb"/>
                        <w:spacing w:after="0"/>
                        <w:jc w:val="both"/>
                        <w:rPr>
                          <w:rFonts w:asciiTheme="majorHAnsi" w:hAnsiTheme="majorHAnsi"/>
                          <w:sz w:val="20"/>
                          <w:szCs w:val="20"/>
                        </w:rPr>
                      </w:pPr>
                      <w:r w:rsidRPr="00820B09">
                        <w:rPr>
                          <w:rFonts w:asciiTheme="majorHAnsi" w:hAnsiTheme="majorHAnsi"/>
                          <w:sz w:val="20"/>
                          <w:szCs w:val="20"/>
                        </w:rPr>
                        <w:t>Universal Deslign is defined in the UN Convention on the Rights of Persons with Disabilities (UNCRPD) as: “the design of products, environments, programs, and services to be usable by all people, to the greatest extent possible, without the need for adaptation or specialized design, while recognizing that assistive devices may still be required for some individuals”. It defines seven principles, to maximize accessibility in use, which can be incorporated in design and testing protocols. The BFFI Disability Inclusion Guide for FSPs contains further information and resources on Universal Design.</w:t>
                      </w:r>
                    </w:p>
                    <w:p w14:paraId="138482C9" w14:textId="289FCE0F" w:rsidR="005229E5" w:rsidRPr="00820B09" w:rsidRDefault="005229E5" w:rsidP="00A55504">
                      <w:pPr>
                        <w:pStyle w:val="NormalWeb"/>
                        <w:spacing w:after="0"/>
                        <w:jc w:val="both"/>
                        <w:rPr>
                          <w:rFonts w:asciiTheme="majorHAnsi" w:hAnsiTheme="majorHAnsi"/>
                          <w:sz w:val="20"/>
                          <w:szCs w:val="20"/>
                        </w:rPr>
                      </w:pPr>
                      <w:r w:rsidRPr="00820B09">
                        <w:rPr>
                          <w:rFonts w:asciiTheme="majorHAnsi" w:hAnsiTheme="majorHAnsi"/>
                          <w:sz w:val="20"/>
                          <w:szCs w:val="20"/>
                        </w:rPr>
                        <w:t xml:space="preserve">See resources for this indicator </w:t>
                      </w:r>
                      <w:r w:rsidR="00164398" w:rsidRPr="00820B09">
                        <w:rPr>
                          <w:rFonts w:asciiTheme="majorHAnsi" w:hAnsiTheme="majorHAnsi"/>
                          <w:sz w:val="20"/>
                          <w:szCs w:val="20"/>
                        </w:rPr>
                        <w:t xml:space="preserve">for </w:t>
                      </w:r>
                      <w:r w:rsidR="00C23589" w:rsidRPr="00820B09">
                        <w:rPr>
                          <w:rFonts w:asciiTheme="majorHAnsi" w:hAnsiTheme="majorHAnsi"/>
                          <w:sz w:val="20"/>
                          <w:szCs w:val="20"/>
                        </w:rPr>
                        <w:t xml:space="preserve">information about Universal Design principles, and </w:t>
                      </w:r>
                      <w:r w:rsidR="00164398" w:rsidRPr="00820B09">
                        <w:rPr>
                          <w:rFonts w:asciiTheme="majorHAnsi" w:hAnsiTheme="majorHAnsi"/>
                          <w:sz w:val="20"/>
                          <w:szCs w:val="20"/>
                        </w:rPr>
                        <w:t>guidance and examples of applying inclusive design processes.</w:t>
                      </w:r>
                    </w:p>
                  </w:txbxContent>
                </v:textbox>
                <w10:wrap type="square" anchorx="margin"/>
              </v:shape>
            </w:pict>
          </mc:Fallback>
        </mc:AlternateContent>
      </w:r>
    </w:p>
    <w:p w14:paraId="3B0845E0"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23E18182" w14:textId="77777777" w:rsidR="0037293C" w:rsidRPr="00A608EE" w:rsidRDefault="0037293C" w:rsidP="00EE208A">
      <w:pPr>
        <w:pStyle w:val="NormalWeb"/>
        <w:spacing w:before="0" w:beforeAutospacing="0" w:after="0" w:afterAutospacing="0"/>
        <w:jc w:val="both"/>
        <w:rPr>
          <w:rFonts w:asciiTheme="majorHAnsi" w:hAnsiTheme="majorHAnsi"/>
          <w:b/>
          <w:bCs/>
          <w:sz w:val="20"/>
          <w:szCs w:val="20"/>
        </w:rPr>
      </w:pPr>
    </w:p>
    <w:p w14:paraId="54E6B1DC" w14:textId="77777777" w:rsidR="004A1E7D" w:rsidRPr="00A608EE" w:rsidRDefault="004A1E7D" w:rsidP="00EE208A">
      <w:pPr>
        <w:pStyle w:val="NormalWeb"/>
        <w:spacing w:before="0" w:beforeAutospacing="0" w:after="0" w:afterAutospacing="0"/>
        <w:jc w:val="both"/>
        <w:rPr>
          <w:rFonts w:asciiTheme="majorHAnsi" w:hAnsiTheme="majorHAnsi"/>
          <w:b/>
          <w:bCs/>
          <w:sz w:val="20"/>
          <w:szCs w:val="20"/>
        </w:rPr>
      </w:pPr>
    </w:p>
    <w:p w14:paraId="2B7DC576" w14:textId="77777777" w:rsidR="004A1E7D" w:rsidRPr="00A608EE" w:rsidRDefault="004A1E7D" w:rsidP="00EE208A">
      <w:pPr>
        <w:pStyle w:val="NormalWeb"/>
        <w:spacing w:before="0" w:beforeAutospacing="0" w:after="0" w:afterAutospacing="0"/>
        <w:jc w:val="both"/>
        <w:rPr>
          <w:rFonts w:asciiTheme="majorHAnsi" w:hAnsiTheme="majorHAnsi"/>
          <w:b/>
          <w:bCs/>
          <w:sz w:val="20"/>
          <w:szCs w:val="20"/>
        </w:rPr>
      </w:pPr>
    </w:p>
    <w:p w14:paraId="247E0B5F" w14:textId="77777777" w:rsidR="004A1E7D" w:rsidRPr="00A608EE" w:rsidRDefault="004A1E7D" w:rsidP="00EE208A">
      <w:pPr>
        <w:pStyle w:val="NormalWeb"/>
        <w:spacing w:before="0" w:beforeAutospacing="0" w:after="0" w:afterAutospacing="0"/>
        <w:jc w:val="both"/>
        <w:rPr>
          <w:rFonts w:asciiTheme="majorHAnsi" w:hAnsiTheme="majorHAnsi"/>
          <w:b/>
          <w:bCs/>
          <w:sz w:val="20"/>
          <w:szCs w:val="20"/>
        </w:rPr>
      </w:pPr>
    </w:p>
    <w:p w14:paraId="7D387F55" w14:textId="6E5DEDF0" w:rsidR="00FB2061" w:rsidRPr="00A608EE" w:rsidRDefault="00FB206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lastRenderedPageBreak/>
        <w:t>Scoring guidance</w:t>
      </w:r>
    </w:p>
    <w:p w14:paraId="7B79D716" w14:textId="77777777" w:rsidR="00FB2061" w:rsidRPr="00A608EE" w:rsidRDefault="00FB206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3.A.1.1.1:</w:t>
      </w:r>
    </w:p>
    <w:p w14:paraId="0C3D66E6" w14:textId="77777777" w:rsidR="00FB2061" w:rsidRPr="00A608EE" w:rsidRDefault="00FB2061" w:rsidP="00A27AAA">
      <w:pPr>
        <w:pStyle w:val="NormalWeb"/>
        <w:numPr>
          <w:ilvl w:val="0"/>
          <w:numId w:val="15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is analyzing thoroughly the potential market for new products/services by assessing the current market share and expected competition in all locations/regions where it intends to introduce the new products/services.</w:t>
      </w:r>
    </w:p>
    <w:p w14:paraId="2AA13B6E" w14:textId="77777777" w:rsidR="00FB2061" w:rsidRPr="00A608EE" w:rsidRDefault="00FB2061" w:rsidP="00A27AAA">
      <w:pPr>
        <w:pStyle w:val="NormalWeb"/>
        <w:numPr>
          <w:ilvl w:val="0"/>
          <w:numId w:val="15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analyzing only rudimentarily the potential market for new products/services by relying on its last annual operational planning exercise without additional primary and secondary data collection, incl. the analysis of competitors.</w:t>
      </w:r>
    </w:p>
    <w:p w14:paraId="0671B572" w14:textId="77777777" w:rsidR="00FB2061" w:rsidRPr="00A608EE" w:rsidRDefault="00FB2061" w:rsidP="00A27AAA">
      <w:pPr>
        <w:pStyle w:val="NormalWeb"/>
        <w:numPr>
          <w:ilvl w:val="0"/>
          <w:numId w:val="15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is not carrying out potential market analysis for new products/services by just relying on informal discussions with branch managers and staff.</w:t>
      </w:r>
    </w:p>
    <w:p w14:paraId="57614FA2" w14:textId="77777777" w:rsidR="00FB2061" w:rsidRPr="00A608EE" w:rsidRDefault="00FB2061" w:rsidP="00EE208A">
      <w:pPr>
        <w:pStyle w:val="NormalWeb"/>
        <w:spacing w:before="0" w:beforeAutospacing="0" w:after="0" w:afterAutospacing="0"/>
        <w:jc w:val="both"/>
        <w:rPr>
          <w:rFonts w:asciiTheme="majorHAnsi" w:hAnsiTheme="majorHAnsi"/>
          <w:sz w:val="20"/>
          <w:szCs w:val="20"/>
          <w:u w:val="single"/>
        </w:rPr>
      </w:pPr>
    </w:p>
    <w:p w14:paraId="534A78A8" w14:textId="33FEF748" w:rsidR="00FB2061" w:rsidRPr="00A608EE" w:rsidRDefault="00FB206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3.A.1.1.2:</w:t>
      </w:r>
    </w:p>
    <w:p w14:paraId="6B039F3E" w14:textId="77777777" w:rsidR="00FB2061" w:rsidRPr="00A608EE" w:rsidRDefault="00FB2061" w:rsidP="00A27AAA">
      <w:pPr>
        <w:pStyle w:val="NormalWeb"/>
        <w:numPr>
          <w:ilvl w:val="0"/>
          <w:numId w:val="15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is designing new products/services based on in-depth client segmentation research (covering clients and non-clients) which differentiates client profile data according gender, age groups, location (urban/rural), income(poverty) level, etc.</w:t>
      </w:r>
    </w:p>
    <w:p w14:paraId="0501020A" w14:textId="77777777" w:rsidR="00FB2061" w:rsidRPr="00A608EE" w:rsidRDefault="00FB2061" w:rsidP="00A27AAA">
      <w:pPr>
        <w:pStyle w:val="NormalWeb"/>
        <w:numPr>
          <w:ilvl w:val="0"/>
          <w:numId w:val="15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designing new products/services based on limited and ad hoc client segmentation research (by excluding non-clients) by breaking down client profile data by gender of location only.</w:t>
      </w:r>
    </w:p>
    <w:p w14:paraId="12B7FE7F" w14:textId="77777777" w:rsidR="00FB2061" w:rsidRPr="00A608EE" w:rsidRDefault="00FB2061" w:rsidP="00A27AAA">
      <w:pPr>
        <w:pStyle w:val="NormalWeb"/>
        <w:numPr>
          <w:ilvl w:val="0"/>
          <w:numId w:val="15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does not base its design of new product products/services on client segmentation research.</w:t>
      </w:r>
    </w:p>
    <w:p w14:paraId="61489A80" w14:textId="77777777" w:rsidR="00FB2061" w:rsidRPr="00A608EE" w:rsidRDefault="00FB2061" w:rsidP="00EE208A">
      <w:pPr>
        <w:pStyle w:val="NormalWeb"/>
        <w:spacing w:before="0" w:beforeAutospacing="0" w:after="0" w:afterAutospacing="0"/>
        <w:jc w:val="both"/>
        <w:rPr>
          <w:rFonts w:asciiTheme="majorHAnsi" w:hAnsiTheme="majorHAnsi"/>
          <w:sz w:val="20"/>
          <w:szCs w:val="20"/>
          <w:u w:val="single"/>
        </w:rPr>
      </w:pPr>
    </w:p>
    <w:p w14:paraId="37AAFED7" w14:textId="4B38E8D2" w:rsidR="00FB2061" w:rsidRPr="00A608EE" w:rsidRDefault="00FB206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3.A.1.1.3:</w:t>
      </w:r>
    </w:p>
    <w:p w14:paraId="35FF5A7E" w14:textId="77777777" w:rsidR="00FB2061" w:rsidRPr="00A608EE" w:rsidRDefault="00FB2061" w:rsidP="00A27AAA">
      <w:pPr>
        <w:pStyle w:val="NormalWeb"/>
        <w:numPr>
          <w:ilvl w:val="0"/>
          <w:numId w:val="15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is designing new products/services based on in-depth research (covering clients and non-clients) on client needs and preferences for financial and non-financial products, client lifecycle goals, and obstacles in using financial services.</w:t>
      </w:r>
    </w:p>
    <w:p w14:paraId="203F6C31" w14:textId="77777777" w:rsidR="00FB2061" w:rsidRPr="00A608EE" w:rsidRDefault="00FB2061" w:rsidP="00A27AAA">
      <w:pPr>
        <w:pStyle w:val="NormalWeb"/>
        <w:numPr>
          <w:ilvl w:val="0"/>
          <w:numId w:val="15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designing new products/services based on limited client research (by excluding non-clients) like ad hoc client surveys and/or on client needs and preferences for financial services only.</w:t>
      </w:r>
    </w:p>
    <w:p w14:paraId="3C26542A" w14:textId="77777777" w:rsidR="00FB2061" w:rsidRPr="00A608EE" w:rsidRDefault="00FB2061" w:rsidP="00A27AAA">
      <w:pPr>
        <w:pStyle w:val="NormalWeb"/>
        <w:numPr>
          <w:ilvl w:val="0"/>
          <w:numId w:val="15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does not base its design of new product products/services on client research.</w:t>
      </w:r>
    </w:p>
    <w:p w14:paraId="1C9EFF3D" w14:textId="77777777" w:rsidR="00FB2061" w:rsidRPr="00A608EE" w:rsidRDefault="00FB2061" w:rsidP="00EE208A">
      <w:pPr>
        <w:pStyle w:val="NormalWeb"/>
        <w:spacing w:before="0" w:beforeAutospacing="0" w:after="0" w:afterAutospacing="0"/>
        <w:jc w:val="both"/>
        <w:rPr>
          <w:rFonts w:asciiTheme="majorHAnsi" w:hAnsiTheme="majorHAnsi"/>
          <w:sz w:val="20"/>
          <w:szCs w:val="20"/>
        </w:rPr>
      </w:pPr>
    </w:p>
    <w:p w14:paraId="2577AA39" w14:textId="395C1504" w:rsidR="00FB2061" w:rsidRPr="00A608EE" w:rsidRDefault="00FB206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7ACA13D0" w14:textId="77777777" w:rsidR="00FB2061" w:rsidRPr="00A608EE" w:rsidRDefault="00FB2061" w:rsidP="00A27AAA">
      <w:pPr>
        <w:pStyle w:val="NormalWeb"/>
        <w:numPr>
          <w:ilvl w:val="0"/>
          <w:numId w:val="15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Market and client research reports</w:t>
      </w:r>
    </w:p>
    <w:p w14:paraId="3566FADD" w14:textId="77777777" w:rsidR="00FB2061" w:rsidRPr="00A608EE" w:rsidRDefault="00FB2061" w:rsidP="00A27AAA">
      <w:pPr>
        <w:pStyle w:val="NormalWeb"/>
        <w:numPr>
          <w:ilvl w:val="0"/>
          <w:numId w:val="15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Product term sheets or product prototype descriptions  </w:t>
      </w:r>
    </w:p>
    <w:p w14:paraId="4AB2C421" w14:textId="77777777" w:rsidR="00FB2061" w:rsidRPr="00A608EE" w:rsidRDefault="00FB2061" w:rsidP="00A27AAA">
      <w:pPr>
        <w:pStyle w:val="NormalWeb"/>
        <w:numPr>
          <w:ilvl w:val="0"/>
          <w:numId w:val="15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marketing/ product development</w:t>
      </w:r>
    </w:p>
    <w:p w14:paraId="471B09A5" w14:textId="77777777" w:rsidR="00FB2061" w:rsidRPr="00A608EE" w:rsidRDefault="00FB2061" w:rsidP="00A27AAA">
      <w:pPr>
        <w:pStyle w:val="NormalWeb"/>
        <w:numPr>
          <w:ilvl w:val="0"/>
          <w:numId w:val="15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operations</w:t>
      </w:r>
    </w:p>
    <w:p w14:paraId="50619F7C" w14:textId="77777777" w:rsidR="00FB2061" w:rsidRPr="00A608EE" w:rsidRDefault="00FB2061" w:rsidP="00EE208A">
      <w:pPr>
        <w:pStyle w:val="NormalWeb"/>
        <w:spacing w:before="0" w:beforeAutospacing="0" w:after="0" w:afterAutospacing="0"/>
        <w:jc w:val="both"/>
        <w:rPr>
          <w:rFonts w:asciiTheme="majorHAnsi" w:hAnsiTheme="majorHAnsi"/>
          <w:sz w:val="20"/>
          <w:szCs w:val="20"/>
        </w:rPr>
      </w:pPr>
    </w:p>
    <w:p w14:paraId="734DC8BE" w14:textId="1AB29743" w:rsidR="00FB2061" w:rsidRPr="00A608EE" w:rsidRDefault="00FB206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0A1B1E02" w14:textId="77777777" w:rsidR="00FB2061" w:rsidRPr="00A608EE" w:rsidRDefault="00FB2061" w:rsidP="00A27AAA">
      <w:pPr>
        <w:pStyle w:val="NormalWeb"/>
        <w:numPr>
          <w:ilvl w:val="0"/>
          <w:numId w:val="15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most recent market and client research done (and refer to related reports, if available) and provide a summary of its results.</w:t>
      </w:r>
    </w:p>
    <w:p w14:paraId="4D5AE54D" w14:textId="77777777" w:rsidR="00FB2061" w:rsidRPr="00A608EE" w:rsidRDefault="00FB2061" w:rsidP="00A27AAA">
      <w:pPr>
        <w:pStyle w:val="NormalWeb"/>
        <w:numPr>
          <w:ilvl w:val="0"/>
          <w:numId w:val="15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Market research should include an analysis of context to understand market saturation and potential market.  </w:t>
      </w:r>
    </w:p>
    <w:p w14:paraId="331BAC1E" w14:textId="77777777" w:rsidR="00FB2061" w:rsidRPr="00A608EE" w:rsidRDefault="00FB2061" w:rsidP="00A27AAA">
      <w:pPr>
        <w:pStyle w:val="NormalWeb"/>
        <w:numPr>
          <w:ilvl w:val="0"/>
          <w:numId w:val="15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Data on clients’ needs/obstacles can refer to limits on digital capabilities for example</w:t>
      </w:r>
    </w:p>
    <w:p w14:paraId="6FB1A63D" w14:textId="77777777" w:rsidR="00FB2061" w:rsidRPr="00A608EE" w:rsidRDefault="00FB2061" w:rsidP="00EE208A">
      <w:pPr>
        <w:pStyle w:val="NormalWeb"/>
        <w:spacing w:before="0" w:beforeAutospacing="0" w:after="0" w:afterAutospacing="0"/>
        <w:jc w:val="both"/>
        <w:rPr>
          <w:rFonts w:asciiTheme="majorHAnsi" w:hAnsiTheme="majorHAnsi"/>
          <w:sz w:val="20"/>
          <w:szCs w:val="20"/>
        </w:rPr>
      </w:pPr>
    </w:p>
    <w:p w14:paraId="47A6B904" w14:textId="4C303016" w:rsidR="00FB2061" w:rsidRPr="00A608EE" w:rsidRDefault="00FB206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 / Guidance for implementation</w:t>
      </w:r>
      <w:r w:rsidRPr="00A608EE">
        <w:rPr>
          <w:b/>
          <w:bCs/>
          <w:sz w:val="20"/>
          <w:szCs w:val="20"/>
        </w:rPr>
        <w:t> </w:t>
      </w:r>
      <w:r w:rsidRPr="00A608EE">
        <w:rPr>
          <w:rFonts w:ascii="Work Sans" w:hAnsi="Work Sans" w:cs="Work Sans"/>
          <w:b/>
          <w:bCs/>
          <w:sz w:val="20"/>
          <w:szCs w:val="20"/>
        </w:rPr>
        <w:t> </w:t>
      </w:r>
    </w:p>
    <w:p w14:paraId="6214982E" w14:textId="77777777" w:rsidR="00FB2061" w:rsidRPr="00A608EE" w:rsidRDefault="00FB206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Analysis of the context may include:</w:t>
      </w:r>
    </w:p>
    <w:p w14:paraId="4B1F12B9" w14:textId="77777777" w:rsidR="00FB2061" w:rsidRPr="00A608EE" w:rsidRDefault="00FB2061" w:rsidP="00A27AAA">
      <w:pPr>
        <w:pStyle w:val="NormalWeb"/>
        <w:numPr>
          <w:ilvl w:val="0"/>
          <w:numId w:val="15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Market research to identify client demand (see below)</w:t>
      </w:r>
    </w:p>
    <w:p w14:paraId="021E2046" w14:textId="77777777" w:rsidR="00FB2061" w:rsidRPr="00A608EE" w:rsidRDefault="00FB2061" w:rsidP="00A27AAA">
      <w:pPr>
        <w:pStyle w:val="NormalWeb"/>
        <w:numPr>
          <w:ilvl w:val="0"/>
          <w:numId w:val="15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Sector analyses done by the professional association/country network or other actors (consultancy companies, supervisory authorities, multilateral and bilateral development organizations)</w:t>
      </w:r>
    </w:p>
    <w:p w14:paraId="58C8C178" w14:textId="77777777" w:rsidR="00FB2061" w:rsidRPr="00A608EE" w:rsidRDefault="00FB2061" w:rsidP="00A27AAA">
      <w:pPr>
        <w:pStyle w:val="NormalWeb"/>
        <w:numPr>
          <w:ilvl w:val="0"/>
          <w:numId w:val="15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Analysis of the number of financial service providers in the areas where there are branches</w:t>
      </w:r>
    </w:p>
    <w:p w14:paraId="28B30099" w14:textId="77777777" w:rsidR="00FB2061" w:rsidRPr="00A608EE" w:rsidRDefault="00FB2061" w:rsidP="00A27AAA">
      <w:pPr>
        <w:pStyle w:val="NormalWeb"/>
        <w:numPr>
          <w:ilvl w:val="0"/>
          <w:numId w:val="15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Use of the MIMOSA Index for saturation analyses by country</w:t>
      </w:r>
    </w:p>
    <w:p w14:paraId="762ABC8E" w14:textId="77777777" w:rsidR="00FB2061" w:rsidRPr="00A608EE" w:rsidRDefault="00FB2061" w:rsidP="00A27AAA">
      <w:pPr>
        <w:pStyle w:val="NormalWeb"/>
        <w:numPr>
          <w:ilvl w:val="0"/>
          <w:numId w:val="15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Analyses on the capacity of the credit bureau</w:t>
      </w:r>
    </w:p>
    <w:p w14:paraId="60907EA8" w14:textId="0D4361BB" w:rsidR="00FB2061" w:rsidRPr="00A608EE" w:rsidRDefault="00FB206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Regardless of the product or delivery channel, market research should examine:</w:t>
      </w:r>
    </w:p>
    <w:p w14:paraId="2257E29A" w14:textId="77777777" w:rsidR="00FB2061" w:rsidRPr="00A608EE" w:rsidRDefault="00FB2061"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Analysis of market share, market situation, and potential market</w:t>
      </w:r>
    </w:p>
    <w:p w14:paraId="209CF32E" w14:textId="77777777" w:rsidR="00FB2061" w:rsidRPr="00A608EE" w:rsidRDefault="2975F0E7"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Characteristics of target clients or client segments (client profile data, including gender, age, location (urban/rural), poverty/income level, business type, formal literacy level);</w:t>
      </w:r>
    </w:p>
    <w:p w14:paraId="4029FF42" w14:textId="77777777" w:rsidR="00FB2061" w:rsidRPr="00A608EE" w:rsidRDefault="2975F0E7"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Behaviors of target clients or client segments that affect their economic situation (e.g., savings habits);</w:t>
      </w:r>
    </w:p>
    <w:p w14:paraId="26324EC3" w14:textId="77777777" w:rsidR="00FB2061" w:rsidRPr="00A608EE" w:rsidRDefault="2975F0E7"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day-to-day and life-cycle financial needs of target clients or client segments (e.g., home improvements, school fees);</w:t>
      </w:r>
    </w:p>
    <w:p w14:paraId="730442C3" w14:textId="77777777" w:rsidR="00FB2061" w:rsidRPr="00A608EE" w:rsidRDefault="00FB2061"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economic and social opportunities and constraints faced by the target clients;</w:t>
      </w:r>
    </w:p>
    <w:p w14:paraId="05822E53" w14:textId="77777777" w:rsidR="00FB2061" w:rsidRPr="00A608EE" w:rsidRDefault="2975F0E7"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Barriers that target clients face to accessing the products/services (e.g., distance from branch offices, language barriers, lack of financial education, behavioral/psychological barriers such as only focusing on short-term needs);</w:t>
      </w:r>
    </w:p>
    <w:p w14:paraId="6E37E6D0" w14:textId="77777777" w:rsidR="00FB2061" w:rsidRPr="00A608EE" w:rsidRDefault="2975F0E7"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Risks and common emergencies that target clients or client segments face (e.g., lack of health insurance, vulnerability to natural disasters);</w:t>
      </w:r>
    </w:p>
    <w:p w14:paraId="719EB065" w14:textId="77777777" w:rsidR="00FB2061" w:rsidRPr="00A608EE" w:rsidRDefault="00FB2061"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extent to which current products and services meet these above needs; and</w:t>
      </w:r>
    </w:p>
    <w:p w14:paraId="6FE21630" w14:textId="77777777" w:rsidR="00FB2061" w:rsidRPr="00A608EE" w:rsidRDefault="00FB2061" w:rsidP="00A27AAA">
      <w:pPr>
        <w:pStyle w:val="NormalWeb"/>
        <w:numPr>
          <w:ilvl w:val="0"/>
          <w:numId w:val="15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How products/services could better address the above opportunities and constraints.</w:t>
      </w:r>
    </w:p>
    <w:p w14:paraId="7A96FC4A" w14:textId="77777777" w:rsidR="00FB2061" w:rsidRPr="00A608EE" w:rsidRDefault="00FB2061" w:rsidP="00EE208A">
      <w:pPr>
        <w:pStyle w:val="NormalWeb"/>
        <w:spacing w:before="0" w:beforeAutospacing="0" w:after="0" w:afterAutospacing="0"/>
        <w:jc w:val="both"/>
        <w:rPr>
          <w:rFonts w:asciiTheme="majorHAnsi" w:hAnsiTheme="majorHAnsi"/>
          <w:sz w:val="20"/>
          <w:szCs w:val="20"/>
        </w:rPr>
      </w:pPr>
    </w:p>
    <w:p w14:paraId="4F7A273F" w14:textId="0E8E0D0A" w:rsidR="00FB2061" w:rsidRPr="00A608EE" w:rsidRDefault="00FB206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3.A.1.1</w:t>
      </w:r>
    </w:p>
    <w:p w14:paraId="6222FB8A" w14:textId="77777777" w:rsidR="00357042" w:rsidRPr="00A608EE" w:rsidRDefault="00357042" w:rsidP="00A27AAA">
      <w:pPr>
        <w:numPr>
          <w:ilvl w:val="0"/>
          <w:numId w:val="7"/>
        </w:numPr>
        <w:jc w:val="both"/>
        <w:rPr>
          <w:rFonts w:asciiTheme="majorHAnsi" w:hAnsiTheme="majorHAnsi"/>
          <w:sz w:val="20"/>
          <w:szCs w:val="20"/>
        </w:rPr>
      </w:pPr>
      <w:hyperlink r:id="rId112" w:history="1">
        <w:r w:rsidRPr="00A608EE">
          <w:rPr>
            <w:rStyle w:val="Hyperlink"/>
            <w:rFonts w:asciiTheme="majorHAnsi" w:hAnsiTheme="majorHAnsi"/>
            <w:color w:val="auto"/>
            <w:sz w:val="20"/>
            <w:szCs w:val="20"/>
          </w:rPr>
          <w:t>Market Research Techniques</w:t>
        </w:r>
      </w:hyperlink>
    </w:p>
    <w:p w14:paraId="7318D0BF" w14:textId="77777777" w:rsidR="00357042" w:rsidRPr="00A608EE" w:rsidRDefault="00357042" w:rsidP="00A27AAA">
      <w:pPr>
        <w:numPr>
          <w:ilvl w:val="0"/>
          <w:numId w:val="7"/>
        </w:numPr>
        <w:jc w:val="both"/>
        <w:rPr>
          <w:rFonts w:asciiTheme="majorHAnsi" w:hAnsiTheme="majorHAnsi"/>
          <w:sz w:val="20"/>
          <w:szCs w:val="20"/>
        </w:rPr>
      </w:pPr>
      <w:hyperlink r:id="rId113" w:history="1">
        <w:r w:rsidRPr="00A608EE">
          <w:rPr>
            <w:rStyle w:val="Hyperlink"/>
            <w:rFonts w:asciiTheme="majorHAnsi" w:hAnsiTheme="majorHAnsi"/>
            <w:color w:val="auto"/>
            <w:sz w:val="20"/>
            <w:szCs w:val="20"/>
          </w:rPr>
          <w:t>Microfund For Women Uses Mixed Research Methods to Evaluate Microinsurance Product</w:t>
        </w:r>
      </w:hyperlink>
    </w:p>
    <w:p w14:paraId="1A0D13A5" w14:textId="77777777" w:rsidR="00357042" w:rsidRPr="00A608EE" w:rsidRDefault="00357042" w:rsidP="00A27AAA">
      <w:pPr>
        <w:numPr>
          <w:ilvl w:val="0"/>
          <w:numId w:val="7"/>
        </w:numPr>
        <w:jc w:val="both"/>
        <w:rPr>
          <w:rFonts w:asciiTheme="majorHAnsi" w:hAnsiTheme="majorHAnsi"/>
          <w:sz w:val="20"/>
          <w:szCs w:val="20"/>
        </w:rPr>
      </w:pPr>
      <w:hyperlink r:id="rId114" w:history="1">
        <w:r w:rsidRPr="00A608EE">
          <w:rPr>
            <w:rStyle w:val="Hyperlink"/>
            <w:rFonts w:asciiTheme="majorHAnsi" w:hAnsiTheme="majorHAnsi"/>
            <w:color w:val="auto"/>
            <w:sz w:val="20"/>
            <w:szCs w:val="20"/>
          </w:rPr>
          <w:t>Friendship Bridge Segments Clients to Create Personas</w:t>
        </w:r>
      </w:hyperlink>
    </w:p>
    <w:p w14:paraId="3D587846" w14:textId="27921CF9" w:rsidR="00C23589" w:rsidRPr="00A608EE" w:rsidRDefault="00C23589" w:rsidP="00A27AAA">
      <w:pPr>
        <w:pStyle w:val="ListParagraph"/>
        <w:numPr>
          <w:ilvl w:val="0"/>
          <w:numId w:val="7"/>
        </w:numPr>
        <w:rPr>
          <w:rStyle w:val="Hyperlink"/>
          <w:rFonts w:asciiTheme="majorHAnsi" w:eastAsia="Times New Roman" w:hAnsiTheme="majorHAnsi" w:cs="Times New Roman"/>
          <w:color w:val="auto"/>
          <w:szCs w:val="20"/>
          <w:u w:val="none"/>
          <w:lang w:eastAsia="es-ES_tradnl"/>
        </w:rPr>
      </w:pPr>
      <w:bookmarkStart w:id="50" w:name="_Hlk227335216"/>
      <w:r w:rsidRPr="00A608EE">
        <w:rPr>
          <w:rStyle w:val="Hyperlink"/>
          <w:rFonts w:asciiTheme="majorHAnsi" w:hAnsiTheme="majorHAnsi"/>
          <w:b/>
          <w:bCs/>
          <w:color w:val="auto"/>
          <w:szCs w:val="20"/>
          <w:u w:val="none"/>
        </w:rPr>
        <w:t xml:space="preserve">[DI Focus]: </w:t>
      </w:r>
      <w:hyperlink r:id="rId115" w:history="1">
        <w:r w:rsidRPr="00A608EE">
          <w:rPr>
            <w:rStyle w:val="Hyperlink"/>
            <w:rFonts w:asciiTheme="majorHAnsi" w:hAnsiTheme="majorHAnsi"/>
            <w:szCs w:val="20"/>
          </w:rPr>
          <w:t>Centre for Excellence in Universal Design ‘The 7 Principles’</w:t>
        </w:r>
      </w:hyperlink>
    </w:p>
    <w:p w14:paraId="0EF2C1D5" w14:textId="513019BE" w:rsidR="00FF2096" w:rsidRPr="00A608EE" w:rsidRDefault="00FF2096" w:rsidP="00A27AAA">
      <w:pPr>
        <w:pStyle w:val="ListParagraph"/>
        <w:numPr>
          <w:ilvl w:val="0"/>
          <w:numId w:val="7"/>
        </w:numPr>
        <w:rPr>
          <w:rStyle w:val="Hyperlink"/>
          <w:rFonts w:asciiTheme="majorHAnsi" w:eastAsia="Times New Roman" w:hAnsiTheme="majorHAnsi" w:cs="Times New Roman"/>
          <w:color w:val="auto"/>
          <w:szCs w:val="20"/>
          <w:u w:val="none"/>
          <w:lang w:eastAsia="es-ES_tradnl"/>
        </w:rPr>
      </w:pPr>
      <w:r w:rsidRPr="00A608EE">
        <w:rPr>
          <w:rStyle w:val="Hyperlink"/>
          <w:rFonts w:asciiTheme="majorHAnsi" w:hAnsiTheme="majorHAnsi"/>
          <w:b/>
          <w:bCs/>
          <w:color w:val="auto"/>
          <w:szCs w:val="20"/>
          <w:u w:val="none"/>
        </w:rPr>
        <w:t>[DI Focus]:</w:t>
      </w:r>
      <w:r w:rsidRPr="00A608EE">
        <w:rPr>
          <w:rStyle w:val="Hyperlink"/>
          <w:rFonts w:asciiTheme="majorHAnsi" w:hAnsiTheme="majorHAnsi"/>
          <w:color w:val="auto"/>
          <w:szCs w:val="20"/>
          <w:u w:val="none"/>
        </w:rPr>
        <w:t xml:space="preserve"> </w:t>
      </w:r>
      <w:hyperlink r:id="rId116" w:history="1">
        <w:r w:rsidRPr="00A608EE">
          <w:rPr>
            <w:rStyle w:val="Hyperlink"/>
            <w:rFonts w:asciiTheme="majorHAnsi" w:eastAsia="Times New Roman" w:hAnsiTheme="majorHAnsi" w:cs="Times New Roman"/>
            <w:szCs w:val="20"/>
            <w:lang w:eastAsia="es-ES_tradnl"/>
          </w:rPr>
          <w:t>Asian Development Bank (A</w:t>
        </w:r>
        <w:r w:rsidR="003510A0" w:rsidRPr="00A608EE">
          <w:rPr>
            <w:rStyle w:val="Hyperlink"/>
            <w:rFonts w:asciiTheme="majorHAnsi" w:eastAsia="Times New Roman" w:hAnsiTheme="majorHAnsi" w:cs="Times New Roman"/>
            <w:szCs w:val="20"/>
            <w:lang w:eastAsia="es-ES_tradnl"/>
          </w:rPr>
          <w:t>DB</w:t>
        </w:r>
        <w:r w:rsidRPr="00A608EE">
          <w:rPr>
            <w:rStyle w:val="Hyperlink"/>
            <w:rFonts w:asciiTheme="majorHAnsi" w:eastAsia="Times New Roman" w:hAnsiTheme="majorHAnsi" w:cs="Times New Roman"/>
            <w:szCs w:val="20"/>
            <w:lang w:eastAsia="es-ES_tradnl"/>
          </w:rPr>
          <w:t>), ‘Implementing Inclusive Design Principles in Banking Organizations’: Provides guidelines for FSPs on applying participatory design processes, with case studies and examples</w:t>
        </w:r>
      </w:hyperlink>
    </w:p>
    <w:bookmarkEnd w:id="50"/>
    <w:p w14:paraId="2B2B4B59" w14:textId="5F83EBFE" w:rsidR="00FF2096" w:rsidRPr="00A608EE" w:rsidRDefault="00FF2096" w:rsidP="00A27AAA">
      <w:pPr>
        <w:pStyle w:val="ListParagraph"/>
        <w:numPr>
          <w:ilvl w:val="0"/>
          <w:numId w:val="7"/>
        </w:numPr>
        <w:spacing w:after="0"/>
        <w:ind w:left="714" w:hanging="357"/>
        <w:rPr>
          <w:rStyle w:val="Hyperlink"/>
          <w:rFonts w:asciiTheme="majorHAnsi" w:eastAsia="Times New Roman" w:hAnsiTheme="majorHAnsi" w:cs="Times New Roman"/>
          <w:color w:val="auto"/>
          <w:szCs w:val="20"/>
          <w:u w:val="none"/>
          <w:lang w:eastAsia="es-ES_tradnl"/>
        </w:rPr>
      </w:pPr>
      <w:r w:rsidRPr="00A608EE">
        <w:rPr>
          <w:rStyle w:val="Hyperlink"/>
          <w:rFonts w:asciiTheme="majorHAnsi" w:hAnsiTheme="majorHAnsi"/>
          <w:b/>
          <w:bCs/>
          <w:color w:val="auto"/>
          <w:szCs w:val="20"/>
          <w:u w:val="none"/>
        </w:rPr>
        <w:t>[DI Focus]:</w:t>
      </w:r>
      <w:r w:rsidRPr="00A608EE">
        <w:rPr>
          <w:rStyle w:val="Hyperlink"/>
          <w:rFonts w:asciiTheme="majorHAnsi" w:hAnsiTheme="majorHAnsi"/>
          <w:color w:val="auto"/>
          <w:szCs w:val="20"/>
          <w:u w:val="none"/>
        </w:rPr>
        <w:t xml:space="preserve"> </w:t>
      </w:r>
      <w:hyperlink r:id="rId117" w:history="1">
        <w:r w:rsidRPr="00A608EE">
          <w:rPr>
            <w:rStyle w:val="Hyperlink"/>
            <w:rFonts w:asciiTheme="majorHAnsi" w:eastAsia="Times New Roman" w:hAnsiTheme="majorHAnsi" w:cs="Times New Roman"/>
            <w:szCs w:val="20"/>
            <w:lang w:eastAsia="es-ES_tradnl"/>
          </w:rPr>
          <w:t>Australian Banking Association ‘Accessibility and Inclusion Principles for Banking Services’: Section 4 covers Inclusive Design</w:t>
        </w:r>
      </w:hyperlink>
    </w:p>
    <w:p w14:paraId="23FF5759" w14:textId="435B94BC" w:rsidR="00164398" w:rsidRPr="00A608EE" w:rsidRDefault="00FF2096" w:rsidP="00A27AAA">
      <w:pPr>
        <w:numPr>
          <w:ilvl w:val="0"/>
          <w:numId w:val="7"/>
        </w:numPr>
        <w:jc w:val="both"/>
        <w:rPr>
          <w:rStyle w:val="Hyperlink"/>
          <w:rFonts w:asciiTheme="majorHAnsi" w:hAnsiTheme="majorHAnsi"/>
          <w:color w:val="auto"/>
          <w:sz w:val="20"/>
          <w:szCs w:val="20"/>
          <w:u w:val="none"/>
        </w:rPr>
      </w:pPr>
      <w:r w:rsidRPr="00A608EE">
        <w:rPr>
          <w:rStyle w:val="Hyperlink"/>
          <w:rFonts w:asciiTheme="majorHAnsi" w:hAnsiTheme="majorHAnsi"/>
          <w:b/>
          <w:bCs/>
          <w:color w:val="auto"/>
          <w:sz w:val="20"/>
          <w:szCs w:val="20"/>
          <w:u w:val="none"/>
        </w:rPr>
        <w:t xml:space="preserve">[DI Focus]: </w:t>
      </w:r>
      <w:hyperlink r:id="rId118" w:history="1">
        <w:r w:rsidRPr="00A608EE">
          <w:rPr>
            <w:rStyle w:val="Hyperlink"/>
            <w:rFonts w:asciiTheme="majorHAnsi" w:hAnsiTheme="majorHAnsi"/>
            <w:sz w:val="20"/>
            <w:szCs w:val="20"/>
          </w:rPr>
          <w:t>Institute of Development Studies’ Guidelines on participatory research</w:t>
        </w:r>
      </w:hyperlink>
    </w:p>
    <w:p w14:paraId="5F572DE7" w14:textId="77777777" w:rsidR="00794B11" w:rsidRPr="00A608EE" w:rsidRDefault="00794B11" w:rsidP="00EE208A">
      <w:pPr>
        <w:jc w:val="both"/>
        <w:rPr>
          <w:rFonts w:asciiTheme="majorHAnsi" w:hAnsiTheme="majorHAnsi"/>
          <w:szCs w:val="20"/>
        </w:rPr>
      </w:pPr>
    </w:p>
    <w:p w14:paraId="1AC9DF29" w14:textId="77777777" w:rsidR="004D3099" w:rsidRPr="00A608EE" w:rsidRDefault="004D3099" w:rsidP="00EE208A">
      <w:pPr>
        <w:jc w:val="both"/>
        <w:rPr>
          <w:rFonts w:asciiTheme="majorHAnsi" w:hAnsiTheme="majorHAnsi"/>
          <w:szCs w:val="20"/>
        </w:rPr>
      </w:pPr>
    </w:p>
    <w:p w14:paraId="3470481B" w14:textId="33B4B2C8" w:rsidR="0056600D" w:rsidRPr="00A608EE" w:rsidRDefault="0056600D" w:rsidP="00EE208A">
      <w:pPr>
        <w:pStyle w:val="Heading3"/>
        <w:spacing w:before="0" w:line="240" w:lineRule="auto"/>
        <w:jc w:val="both"/>
      </w:pPr>
      <w:bookmarkStart w:id="51" w:name="_Toc230938787"/>
      <w:r w:rsidRPr="00A608EE">
        <w:t xml:space="preserve">3.A.2 </w:t>
      </w:r>
      <w:r w:rsidR="00B976C3" w:rsidRPr="00A608EE">
        <w:t>The provider uses data to identify patterns of financial behavior by client segment</w:t>
      </w:r>
      <w:r w:rsidR="004066D7" w:rsidRPr="00A608EE">
        <w:t>.</w:t>
      </w:r>
      <w:bookmarkEnd w:id="51"/>
    </w:p>
    <w:p w14:paraId="305E1D5A" w14:textId="77777777" w:rsidR="00CB7B1B" w:rsidRPr="00A608EE" w:rsidRDefault="00CB7B1B" w:rsidP="00EE208A">
      <w:pPr>
        <w:jc w:val="both"/>
        <w:rPr>
          <w:rFonts w:asciiTheme="majorHAnsi" w:hAnsiTheme="majorHAnsi"/>
          <w:b/>
          <w:bCs/>
          <w:szCs w:val="20"/>
        </w:rPr>
      </w:pPr>
    </w:p>
    <w:p w14:paraId="3CC370BB" w14:textId="77777777" w:rsidR="00B976C3" w:rsidRPr="00A608EE" w:rsidRDefault="00B976C3"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r w:rsidRPr="00A608EE">
        <w:rPr>
          <w:rFonts w:asciiTheme="majorHAnsi" w:eastAsiaTheme="minorHAnsi" w:hAnsiTheme="majorHAnsi" w:cstheme="minorBidi"/>
          <w:b/>
          <w:bCs/>
          <w:sz w:val="20"/>
          <w:szCs w:val="20"/>
          <w:lang w:eastAsia="en-US"/>
        </w:rPr>
        <w:t>Analyze product usage</w:t>
      </w:r>
    </w:p>
    <w:p w14:paraId="109A494F"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Product </w:t>
      </w:r>
      <w:r w:rsidRPr="00A608EE">
        <w:rPr>
          <w:rFonts w:asciiTheme="majorHAnsi" w:hAnsiTheme="majorHAnsi"/>
          <w:b/>
          <w:bCs/>
          <w:sz w:val="20"/>
          <w:szCs w:val="20"/>
        </w:rPr>
        <w:t>uptake</w:t>
      </w:r>
      <w:r w:rsidRPr="00A608EE">
        <w:rPr>
          <w:rFonts w:asciiTheme="majorHAnsi" w:hAnsiTheme="majorHAnsi"/>
          <w:sz w:val="20"/>
          <w:szCs w:val="20"/>
        </w:rPr>
        <w:t> refers to clients buying the provider’s products and services, signing up for a service (e.g., opting into SMS savings reminders), or entering into contract (e.g., opening a savings account). Product usage is different—it refers to actual transactions or interactions between the client and the products/services. The distinction is important, because many providers measure product success by uptake alone, measuring for example, the number of clients who purchase optional insurance or the number of savings accounts opened. Though uptake is an important measure of product suitability, product usage is a better indicator of how valuable products are to clients.</w:t>
      </w:r>
    </w:p>
    <w:p w14:paraId="3AF916DC"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p>
    <w:p w14:paraId="09FB1ED7"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Monitor whether and how clients are using the products and services that they have purchased or signed up for—especially savings, insurance, and additional services designed to assist them in managing their finances. Transactional data on product usage can give important insights into financial behavior and uncover unmet needs or opportunities and barriers. Low usage should prompt to investigate the reasons that clients are not using the products over time. Transactional data should be analyzed by demographic and socioeconomic segment as it is unlikely that all client segments are using products in the same way.</w:t>
      </w:r>
    </w:p>
    <w:p w14:paraId="39DC9E19" w14:textId="77777777" w:rsidR="004D3099" w:rsidRPr="00A608EE" w:rsidRDefault="004D3099" w:rsidP="00EE208A">
      <w:pPr>
        <w:pStyle w:val="NormalWeb"/>
        <w:spacing w:before="0" w:beforeAutospacing="0" w:after="0" w:afterAutospacing="0"/>
        <w:jc w:val="both"/>
        <w:rPr>
          <w:rFonts w:asciiTheme="majorHAnsi" w:hAnsiTheme="majorHAnsi"/>
          <w:sz w:val="20"/>
          <w:szCs w:val="20"/>
        </w:rPr>
      </w:pPr>
    </w:p>
    <w:p w14:paraId="36338A0B" w14:textId="77777777" w:rsidR="004A1E7D" w:rsidRPr="00A608EE" w:rsidRDefault="004A1E7D"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p>
    <w:p w14:paraId="3E839FC4" w14:textId="77777777" w:rsidR="004A1E7D" w:rsidRPr="00A608EE" w:rsidRDefault="004A1E7D"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p>
    <w:p w14:paraId="375B0326" w14:textId="631F300F" w:rsidR="00B976C3" w:rsidRPr="00A608EE" w:rsidRDefault="00B976C3"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r w:rsidRPr="00A608EE">
        <w:rPr>
          <w:rFonts w:asciiTheme="majorHAnsi" w:eastAsiaTheme="minorHAnsi" w:hAnsiTheme="majorHAnsi" w:cstheme="minorBidi"/>
          <w:b/>
          <w:bCs/>
          <w:sz w:val="20"/>
          <w:szCs w:val="20"/>
          <w:lang w:eastAsia="en-US"/>
        </w:rPr>
        <w:lastRenderedPageBreak/>
        <w:t>Segment client data</w:t>
      </w:r>
    </w:p>
    <w:p w14:paraId="0373ECE2" w14:textId="2538B500" w:rsidR="00CC4097" w:rsidRPr="00A608EE" w:rsidRDefault="00B976C3" w:rsidP="00EE208A">
      <w:pPr>
        <w:jc w:val="both"/>
        <w:rPr>
          <w:rFonts w:asciiTheme="majorHAnsi" w:hAnsiTheme="majorHAnsi"/>
          <w:sz w:val="20"/>
          <w:szCs w:val="20"/>
          <w:lang w:eastAsia="fr-FR"/>
        </w:rPr>
      </w:pPr>
      <w:r w:rsidRPr="00A608EE">
        <w:rPr>
          <w:rFonts w:asciiTheme="majorHAnsi" w:hAnsiTheme="majorHAnsi"/>
          <w:sz w:val="20"/>
          <w:szCs w:val="20"/>
          <w:lang w:eastAsia="fr-FR"/>
        </w:rPr>
        <w:t>Client segmentation can help divide a heterogeneous market into several smaller, more homogenous markets based on one or more meaningful characteristics. Providers should segment client data for all products, not just credit. Segmentation acknowledges that even among the “low income” population segment, peoples’ wants, needs, and behaviors are nuanced.  The Segmentation Variables Table is a menu of possible segmentation variables to use with existing and potential clients.</w:t>
      </w:r>
    </w:p>
    <w:p w14:paraId="1DC98E07" w14:textId="28DC9FFE" w:rsidR="00CC4097" w:rsidRPr="00A608EE" w:rsidRDefault="00B976C3" w:rsidP="00EE208A">
      <w:pPr>
        <w:jc w:val="both"/>
        <w:rPr>
          <w:rFonts w:asciiTheme="majorHAnsi" w:hAnsiTheme="majorHAnsi"/>
          <w:b/>
          <w:bCs/>
          <w:sz w:val="20"/>
          <w:szCs w:val="20"/>
        </w:rPr>
      </w:pPr>
      <w:r w:rsidRPr="00A608EE">
        <w:rPr>
          <w:rFonts w:asciiTheme="majorHAnsi" w:hAnsiTheme="majorHAnsi"/>
          <w:b/>
          <w:bCs/>
          <w:sz w:val="20"/>
          <w:szCs w:val="20"/>
        </w:rPr>
        <w:t>Resources for 3.A.2</w:t>
      </w:r>
    </w:p>
    <w:bookmarkStart w:id="52" w:name="_Hlk202363738"/>
    <w:p w14:paraId="2C6A49F4" w14:textId="77777777" w:rsidR="00CC4097" w:rsidRPr="00A608EE" w:rsidRDefault="00CC4097" w:rsidP="00A27AAA">
      <w:pPr>
        <w:numPr>
          <w:ilvl w:val="0"/>
          <w:numId w:val="61"/>
        </w:numPr>
        <w:jc w:val="both"/>
        <w:rPr>
          <w:rFonts w:asciiTheme="majorHAnsi" w:hAnsiTheme="majorHAnsi"/>
          <w:sz w:val="20"/>
          <w:szCs w:val="20"/>
        </w:rPr>
      </w:pPr>
      <w:r w:rsidRPr="00A608EE">
        <w:rPr>
          <w:rFonts w:asciiTheme="majorHAnsi" w:hAnsiTheme="majorHAnsi"/>
          <w:sz w:val="20"/>
          <w:szCs w:val="20"/>
        </w:rPr>
        <w:fldChar w:fldCharType="begin"/>
      </w:r>
      <w:r w:rsidRPr="00A608EE">
        <w:rPr>
          <w:rFonts w:asciiTheme="majorHAnsi" w:hAnsiTheme="majorHAnsi"/>
          <w:sz w:val="20"/>
          <w:szCs w:val="20"/>
        </w:rPr>
        <w:instrText>HYPERLINK "https://spi-online.org/files/ressources/Dimension%203/700%20SEGMENTATION%20VARIABLES%20TABLE.pdf"</w:instrText>
      </w:r>
      <w:r w:rsidRPr="00A608EE">
        <w:rPr>
          <w:rFonts w:asciiTheme="majorHAnsi" w:hAnsiTheme="majorHAnsi"/>
          <w:sz w:val="20"/>
          <w:szCs w:val="20"/>
        </w:rPr>
      </w:r>
      <w:r w:rsidRPr="00A608EE">
        <w:rPr>
          <w:rFonts w:asciiTheme="majorHAnsi" w:hAnsiTheme="majorHAnsi"/>
          <w:sz w:val="20"/>
          <w:szCs w:val="20"/>
        </w:rPr>
        <w:fldChar w:fldCharType="separate"/>
      </w:r>
      <w:r w:rsidRPr="00A608EE">
        <w:rPr>
          <w:rStyle w:val="Hyperlink"/>
          <w:rFonts w:asciiTheme="majorHAnsi" w:hAnsiTheme="majorHAnsi"/>
          <w:sz w:val="20"/>
          <w:szCs w:val="20"/>
        </w:rPr>
        <w:t>Segmentation Variables Table</w:t>
      </w:r>
      <w:r w:rsidRPr="00A608EE">
        <w:rPr>
          <w:rFonts w:asciiTheme="majorHAnsi" w:hAnsiTheme="majorHAnsi"/>
          <w:sz w:val="20"/>
          <w:szCs w:val="20"/>
        </w:rPr>
        <w:fldChar w:fldCharType="end"/>
      </w:r>
    </w:p>
    <w:p w14:paraId="04A3ECC9" w14:textId="77777777" w:rsidR="00CC4097" w:rsidRPr="00A608EE" w:rsidRDefault="00CC4097" w:rsidP="00A27AAA">
      <w:pPr>
        <w:numPr>
          <w:ilvl w:val="0"/>
          <w:numId w:val="61"/>
        </w:numPr>
        <w:jc w:val="both"/>
        <w:rPr>
          <w:rFonts w:asciiTheme="majorHAnsi" w:hAnsiTheme="majorHAnsi"/>
          <w:sz w:val="20"/>
          <w:szCs w:val="20"/>
        </w:rPr>
      </w:pPr>
      <w:hyperlink r:id="rId119" w:tgtFrame="_blank" w:history="1">
        <w:r w:rsidRPr="00A608EE">
          <w:rPr>
            <w:rStyle w:val="Hyperlink"/>
            <w:rFonts w:asciiTheme="majorHAnsi" w:hAnsiTheme="majorHAnsi"/>
            <w:sz w:val="20"/>
            <w:szCs w:val="20"/>
          </w:rPr>
          <w:t>SPM Essentials Webinar #1: Use what you have. Discovering client insights in your existing data.</w:t>
        </w:r>
      </w:hyperlink>
    </w:p>
    <w:p w14:paraId="1FBF9803" w14:textId="63686B61" w:rsidR="00CC4097" w:rsidRPr="00A608EE" w:rsidRDefault="00CC4097" w:rsidP="00A27AAA">
      <w:pPr>
        <w:numPr>
          <w:ilvl w:val="0"/>
          <w:numId w:val="61"/>
        </w:numPr>
        <w:jc w:val="both"/>
        <w:rPr>
          <w:rFonts w:asciiTheme="majorHAnsi" w:hAnsiTheme="majorHAnsi"/>
          <w:sz w:val="20"/>
          <w:szCs w:val="20"/>
        </w:rPr>
      </w:pPr>
      <w:hyperlink r:id="rId120" w:history="1">
        <w:r w:rsidRPr="00A608EE">
          <w:rPr>
            <w:rStyle w:val="Hyperlink"/>
            <w:rFonts w:asciiTheme="majorHAnsi" w:hAnsiTheme="majorHAnsi"/>
            <w:sz w:val="20"/>
            <w:szCs w:val="20"/>
          </w:rPr>
          <w:t>SPM Essentials Webinar #2 : Practical ways to address gender-related risks at your organization Webinar</w:t>
        </w:r>
      </w:hyperlink>
    </w:p>
    <w:bookmarkEnd w:id="52"/>
    <w:p w14:paraId="121A16AA" w14:textId="77777777" w:rsidR="00CC4097" w:rsidRPr="00A608EE" w:rsidRDefault="00CC4097" w:rsidP="00EE208A">
      <w:pPr>
        <w:jc w:val="both"/>
        <w:rPr>
          <w:rStyle w:val="Hyperlink"/>
          <w:rFonts w:asciiTheme="majorHAnsi" w:hAnsiTheme="majorHAnsi"/>
          <w:color w:val="auto"/>
          <w:szCs w:val="20"/>
          <w:u w:val="none"/>
        </w:rPr>
      </w:pPr>
    </w:p>
    <w:p w14:paraId="0BCB80F9" w14:textId="77777777" w:rsidR="00794B11" w:rsidRPr="00A608EE" w:rsidRDefault="00794B11" w:rsidP="00EE208A">
      <w:pPr>
        <w:jc w:val="both"/>
        <w:rPr>
          <w:rFonts w:asciiTheme="majorHAnsi" w:hAnsiTheme="majorHAnsi"/>
          <w:szCs w:val="20"/>
        </w:rPr>
      </w:pPr>
    </w:p>
    <w:p w14:paraId="6CD72CDF" w14:textId="693595AA" w:rsidR="0056600D" w:rsidRPr="00A608EE" w:rsidRDefault="0056600D" w:rsidP="00EE208A">
      <w:pPr>
        <w:pStyle w:val="Heading4"/>
        <w:spacing w:before="0" w:line="240" w:lineRule="auto"/>
        <w:jc w:val="both"/>
      </w:pPr>
      <w:r w:rsidRPr="00A608EE">
        <w:rPr>
          <w:rStyle w:val="text-primary"/>
        </w:rPr>
        <w:t>3.A.2.1</w:t>
      </w:r>
      <w:r w:rsidRPr="00A608EE">
        <w:t xml:space="preserve"> </w:t>
      </w:r>
      <w:r w:rsidR="00B976C3" w:rsidRPr="00A608EE">
        <w:t>The provider analyzes transactional data (PAR, average loan size, loan repayments, savings deposits and withdrawals) by demographic and socioeconomic segments of its clients</w:t>
      </w:r>
      <w:r w:rsidR="004066D7" w:rsidRPr="00A608EE">
        <w:t>.</w:t>
      </w:r>
    </w:p>
    <w:p w14:paraId="473244D0" w14:textId="77777777" w:rsidR="00C6004A" w:rsidRPr="00A608EE" w:rsidRDefault="00C6004A" w:rsidP="00EE208A">
      <w:pPr>
        <w:jc w:val="both"/>
        <w:rPr>
          <w:rFonts w:asciiTheme="majorHAnsi" w:hAnsiTheme="majorHAnsi"/>
          <w:szCs w:val="20"/>
        </w:rPr>
      </w:pPr>
    </w:p>
    <w:p w14:paraId="717197B6" w14:textId="723952D6" w:rsidR="004D3099"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4D3099"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4D3099"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2DD62465" w14:textId="0FCD8174" w:rsidR="004D3099" w:rsidRPr="00A608EE" w:rsidRDefault="00BF1F42"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0A14BD46" w14:textId="7F3733D2" w:rsidR="005F4278" w:rsidRPr="00A608EE" w:rsidRDefault="00B976C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Segmenting and analyzing transactional data (uptake, amounts, repayment issues, etc.) by client characteristics give insight into the specific needs and behaviors of different client types and allows for more client-centric products or specific support.</w:t>
      </w:r>
    </w:p>
    <w:p w14:paraId="0B0AAD5D"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1480FD3"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22080" behindDoc="1" locked="0" layoutInCell="1" allowOverlap="1" wp14:anchorId="6493E220" wp14:editId="40A2A33E">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40710597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822273D"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79A7BD5D" w14:textId="0035173D" w:rsidR="005F4278" w:rsidRPr="00A608EE" w:rsidRDefault="00FC6779"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5F4278" w:rsidRPr="00A608EE">
        <w:rPr>
          <w:rFonts w:asciiTheme="majorHAnsi" w:hAnsiTheme="majorHAnsi"/>
          <w:sz w:val="20"/>
          <w:szCs w:val="20"/>
        </w:rPr>
        <w:t>The provider analyzes transactional data (PAR, average loan size, loan repayments, savings deposits and withdrawals by demographic and socioeconomic segments of its clients, including gender, age and disability status</w:t>
      </w:r>
      <w:r w:rsidR="00B6318B" w:rsidRPr="00A608EE">
        <w:rPr>
          <w:rFonts w:asciiTheme="majorHAnsi" w:hAnsiTheme="majorHAnsi"/>
          <w:sz w:val="20"/>
          <w:szCs w:val="20"/>
        </w:rPr>
        <w:t>.</w:t>
      </w:r>
    </w:p>
    <w:p w14:paraId="5ADF1E93"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p>
    <w:p w14:paraId="7BD6FD47" w14:textId="428DF43A" w:rsidR="00B976C3" w:rsidRPr="00A608EE" w:rsidRDefault="00B976C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01BF7E77" w14:textId="77777777" w:rsidR="00B976C3" w:rsidRPr="00A608EE" w:rsidRDefault="00B976C3" w:rsidP="00A27AAA">
      <w:pPr>
        <w:pStyle w:val="NormalWeb"/>
        <w:numPr>
          <w:ilvl w:val="0"/>
          <w:numId w:val="15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is analyzing several transactional data across all different products and by client segments with demographic and socioeconomic characteristics like gender, age groups, location, income/poverty level, formal literacy level, sector, etc.</w:t>
      </w:r>
    </w:p>
    <w:p w14:paraId="2A633D79" w14:textId="77777777" w:rsidR="00B976C3" w:rsidRPr="00A608EE" w:rsidRDefault="00B976C3" w:rsidP="00A27AAA">
      <w:pPr>
        <w:pStyle w:val="NormalWeb"/>
        <w:numPr>
          <w:ilvl w:val="0"/>
          <w:numId w:val="15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analyzing transactional data for one product type only or with only one basic client segmentation like gender or location.</w:t>
      </w:r>
    </w:p>
    <w:p w14:paraId="3C3A252C" w14:textId="77777777" w:rsidR="00B976C3" w:rsidRPr="00A608EE" w:rsidRDefault="00B976C3" w:rsidP="00A27AAA">
      <w:pPr>
        <w:pStyle w:val="NormalWeb"/>
        <w:numPr>
          <w:ilvl w:val="0"/>
          <w:numId w:val="15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is not analyzing transactional data by client segments of different demographic or socioeconomic characteristics.</w:t>
      </w:r>
    </w:p>
    <w:p w14:paraId="19933AA7"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p>
    <w:p w14:paraId="1DB0EE24" w14:textId="3CA4CE83" w:rsidR="00B976C3" w:rsidRPr="00A608EE" w:rsidRDefault="00B976C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27AC96CC" w14:textId="77777777" w:rsidR="00B976C3" w:rsidRPr="00A608EE" w:rsidRDefault="00B976C3" w:rsidP="00A27AAA">
      <w:pPr>
        <w:pStyle w:val="NormalWeb"/>
        <w:numPr>
          <w:ilvl w:val="0"/>
          <w:numId w:val="15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marketing/ product development</w:t>
      </w:r>
    </w:p>
    <w:p w14:paraId="2321E109" w14:textId="77777777" w:rsidR="00B976C3" w:rsidRPr="00A608EE" w:rsidRDefault="00B976C3" w:rsidP="00A27AAA">
      <w:pPr>
        <w:pStyle w:val="NormalWeb"/>
        <w:numPr>
          <w:ilvl w:val="0"/>
          <w:numId w:val="15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operations</w:t>
      </w:r>
    </w:p>
    <w:p w14:paraId="65C2D056" w14:textId="77777777" w:rsidR="00B976C3" w:rsidRPr="00A608EE" w:rsidRDefault="00B976C3" w:rsidP="00A27AAA">
      <w:pPr>
        <w:pStyle w:val="NormalWeb"/>
        <w:numPr>
          <w:ilvl w:val="0"/>
          <w:numId w:val="15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Any relevant analytical report used for product development</w:t>
      </w:r>
    </w:p>
    <w:p w14:paraId="7DBF6AAD" w14:textId="77777777" w:rsidR="00B976C3" w:rsidRPr="00A608EE" w:rsidRDefault="00B976C3" w:rsidP="00A27AAA">
      <w:pPr>
        <w:pStyle w:val="NormalWeb"/>
        <w:numPr>
          <w:ilvl w:val="0"/>
          <w:numId w:val="15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Transaction reports: Reports broken down by client segments on PAR, average loan size, loan repayments, deposits and withdrawal, claims ratios, etc.</w:t>
      </w:r>
    </w:p>
    <w:p w14:paraId="2111F37B"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p>
    <w:p w14:paraId="336C5D38" w14:textId="403DE1F3" w:rsidR="00B976C3" w:rsidRPr="00A608EE" w:rsidRDefault="00B976C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5F40F63F"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characteristics used to segment the transactional data (age, education, gender, employment status, etc.).</w:t>
      </w:r>
    </w:p>
    <w:p w14:paraId="1D1D4B55"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p>
    <w:p w14:paraId="5A33C4F9" w14:textId="48B6851B" w:rsidR="00B976C3" w:rsidRPr="00A608EE" w:rsidRDefault="00B976C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 / Guidance for implementation</w:t>
      </w:r>
      <w:r w:rsidRPr="00A608EE">
        <w:rPr>
          <w:b/>
          <w:bCs/>
          <w:sz w:val="20"/>
          <w:szCs w:val="20"/>
        </w:rPr>
        <w:t> </w:t>
      </w:r>
      <w:r w:rsidRPr="00A608EE">
        <w:rPr>
          <w:rFonts w:ascii="Work Sans" w:hAnsi="Work Sans" w:cs="Work Sans"/>
          <w:b/>
          <w:bCs/>
          <w:sz w:val="20"/>
          <w:szCs w:val="20"/>
        </w:rPr>
        <w:t> </w:t>
      </w:r>
    </w:p>
    <w:p w14:paraId="0F18687D"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Transactional data is generated from the clients transacting like loans requested, approved, loan amounts, repayments, savings account openings, savings account withdrawals/deposits, savings balances, etc.</w:t>
      </w:r>
    </w:p>
    <w:p w14:paraId="0352E811"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p>
    <w:p w14:paraId="366D49B2" w14:textId="1B8974CF" w:rsidR="00B976C3" w:rsidRPr="00A608EE" w:rsidRDefault="00B976C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It is useful to integrate the data collected to prepare the transaction: all type of information from clients, captured in MIS, that allows for analysis of repayment and allows for the transaction to take place. Transactional data are collected on a regular basis, based on tracking of any transaction, and sometimes directly from clients. Data on capacity to repay for example, tend to be reliable because the provider uses them to analyze clients’ repayment capacity. Data collected during a loan application process can also be quite detailed in terms of sources and amount of income for the client and its household.</w:t>
      </w:r>
    </w:p>
    <w:p w14:paraId="2AE12D09" w14:textId="77777777" w:rsidR="00B976C3" w:rsidRPr="00A608EE" w:rsidRDefault="00B976C3" w:rsidP="00EE208A">
      <w:pPr>
        <w:pStyle w:val="NormalWeb"/>
        <w:spacing w:before="0" w:beforeAutospacing="0" w:after="0" w:afterAutospacing="0"/>
        <w:jc w:val="both"/>
        <w:rPr>
          <w:rFonts w:asciiTheme="majorHAnsi" w:hAnsiTheme="majorHAnsi"/>
          <w:sz w:val="20"/>
          <w:szCs w:val="20"/>
        </w:rPr>
      </w:pPr>
    </w:p>
    <w:p w14:paraId="19B0F3AE" w14:textId="07DFAC49" w:rsidR="00B976C3" w:rsidRPr="00A608EE" w:rsidRDefault="00B976C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3.A.2.1</w:t>
      </w:r>
    </w:p>
    <w:p w14:paraId="71FFA38E" w14:textId="77777777" w:rsidR="00A1660A" w:rsidRPr="00A608EE" w:rsidRDefault="00A1660A" w:rsidP="00A27AAA">
      <w:pPr>
        <w:numPr>
          <w:ilvl w:val="0"/>
          <w:numId w:val="8"/>
        </w:numPr>
        <w:jc w:val="both"/>
        <w:rPr>
          <w:rStyle w:val="Hyperlink"/>
          <w:rFonts w:asciiTheme="majorHAnsi" w:hAnsiTheme="majorHAnsi"/>
          <w:color w:val="auto"/>
          <w:sz w:val="20"/>
          <w:szCs w:val="20"/>
          <w:u w:val="none"/>
        </w:rPr>
      </w:pPr>
      <w:hyperlink r:id="rId121" w:history="1">
        <w:r w:rsidRPr="00A608EE">
          <w:rPr>
            <w:rStyle w:val="Hyperlink"/>
            <w:rFonts w:asciiTheme="majorHAnsi" w:hAnsiTheme="majorHAnsi"/>
            <w:color w:val="auto"/>
            <w:sz w:val="20"/>
            <w:szCs w:val="20"/>
          </w:rPr>
          <w:t>Insights from Transactional Data</w:t>
        </w:r>
      </w:hyperlink>
    </w:p>
    <w:p w14:paraId="6B67C995" w14:textId="77777777" w:rsidR="00794B11" w:rsidRPr="00A608EE" w:rsidRDefault="00794B11" w:rsidP="00EE208A">
      <w:pPr>
        <w:jc w:val="both"/>
        <w:rPr>
          <w:rFonts w:asciiTheme="majorHAnsi" w:hAnsiTheme="majorHAnsi"/>
          <w:szCs w:val="20"/>
        </w:rPr>
      </w:pPr>
    </w:p>
    <w:p w14:paraId="1DEF56DF" w14:textId="77777777" w:rsidR="00CB7B1B" w:rsidRPr="00A608EE" w:rsidRDefault="00CB7B1B" w:rsidP="00EE208A">
      <w:pPr>
        <w:jc w:val="both"/>
        <w:rPr>
          <w:rFonts w:asciiTheme="majorHAnsi" w:hAnsiTheme="majorHAnsi"/>
          <w:szCs w:val="20"/>
        </w:rPr>
      </w:pPr>
    </w:p>
    <w:p w14:paraId="3F10BA74" w14:textId="00F91A7D" w:rsidR="0056600D" w:rsidRPr="00A608EE" w:rsidRDefault="0056600D" w:rsidP="00EE208A">
      <w:pPr>
        <w:pStyle w:val="Heading4"/>
        <w:spacing w:before="0" w:line="240" w:lineRule="auto"/>
        <w:jc w:val="both"/>
      </w:pPr>
      <w:r w:rsidRPr="00A608EE">
        <w:rPr>
          <w:rStyle w:val="text-primary"/>
        </w:rPr>
        <w:t xml:space="preserve">3.A.2.2 </w:t>
      </w:r>
      <w:r w:rsidR="00DA7E80" w:rsidRPr="00A608EE">
        <w:t>The provider analyzes product use (types and frequency) by demographic and socioeconomic segments of its clients</w:t>
      </w:r>
      <w:r w:rsidR="004066D7" w:rsidRPr="00A608EE">
        <w:t>.</w:t>
      </w:r>
    </w:p>
    <w:p w14:paraId="0A02754F" w14:textId="77777777" w:rsidR="00C6004A" w:rsidRPr="00A608EE" w:rsidRDefault="00C6004A" w:rsidP="00EE208A">
      <w:pPr>
        <w:jc w:val="both"/>
        <w:rPr>
          <w:rFonts w:asciiTheme="majorHAnsi" w:hAnsiTheme="majorHAnsi"/>
          <w:szCs w:val="20"/>
        </w:rPr>
      </w:pPr>
    </w:p>
    <w:p w14:paraId="547D3942" w14:textId="2D9FE0A1" w:rsidR="00CB7B1B"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CB7B1B" w:rsidRPr="00A608EE">
        <w:rPr>
          <w:rFonts w:asciiTheme="majorHAnsi" w:hAnsiTheme="majorHAnsi"/>
          <w:b/>
          <w:bCs/>
          <w:color w:val="2145CC" w:themeColor="accent5" w:themeShade="BF"/>
          <w:sz w:val="20"/>
          <w:szCs w:val="20"/>
        </w:rPr>
        <w:t>SPI5 Entry</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CB7B1B" w:rsidRPr="00A608EE">
        <w:rPr>
          <w:rFonts w:asciiTheme="majorHAnsi" w:hAnsiTheme="majorHAnsi"/>
          <w:b/>
          <w:bCs/>
          <w:color w:val="2145CC" w:themeColor="accent5" w:themeShade="BF"/>
          <w:sz w:val="20"/>
          <w:szCs w:val="20"/>
        </w:rPr>
        <w:t>SPI5 Full</w:t>
      </w:r>
      <w:r w:rsidR="00440024" w:rsidRPr="00A608EE">
        <w:rPr>
          <w:rFonts w:asciiTheme="majorHAnsi" w:hAnsiTheme="majorHAnsi" w:cs="Calibri Light"/>
          <w:b/>
          <w:bCs/>
          <w:color w:val="2145CC" w:themeColor="accent5" w:themeShade="BF"/>
          <w:szCs w:val="20"/>
        </w:rPr>
        <w:t xml:space="preserve"> </w:t>
      </w:r>
      <w:r w:rsidR="00440024" w:rsidRPr="00A608EE">
        <w:rPr>
          <w:rFonts w:asciiTheme="majorHAnsi" w:hAnsiTheme="majorHAnsi"/>
          <w:b/>
          <w:bCs/>
          <w:color w:val="2145CC" w:themeColor="accent5" w:themeShade="BF"/>
          <w:sz w:val="20"/>
          <w:szCs w:val="20"/>
        </w:rPr>
        <w:t xml:space="preserve">| </w:t>
      </w:r>
      <w:r w:rsidR="00CB7B1B" w:rsidRPr="00A608EE">
        <w:rPr>
          <w:rFonts w:asciiTheme="majorHAnsi" w:hAnsiTheme="majorHAnsi"/>
          <w:b/>
          <w:bCs/>
          <w:color w:val="2145CC" w:themeColor="accent5" w:themeShade="BF"/>
          <w:sz w:val="20"/>
          <w:szCs w:val="20"/>
        </w:rPr>
        <w:t xml:space="preserve">CP </w:t>
      </w:r>
      <w:r w:rsidR="00440024" w:rsidRPr="00A608EE">
        <w:rPr>
          <w:rFonts w:asciiTheme="majorHAnsi" w:hAnsiTheme="majorHAnsi"/>
          <w:b/>
          <w:bCs/>
          <w:color w:val="2145CC" w:themeColor="accent5" w:themeShade="BF"/>
          <w:sz w:val="20"/>
          <w:szCs w:val="20"/>
        </w:rPr>
        <w:t xml:space="preserve">Full </w:t>
      </w:r>
      <w:r w:rsidR="004A48FF" w:rsidRPr="00A608EE">
        <w:rPr>
          <w:rFonts w:ascii="Work Sans" w:hAnsi="Work Sans"/>
          <w:b/>
          <w:bCs/>
          <w:color w:val="2145CC" w:themeColor="accent5" w:themeShade="BF"/>
          <w:sz w:val="20"/>
          <w:szCs w:val="20"/>
        </w:rPr>
        <w:t>| DI Focus</w:t>
      </w:r>
    </w:p>
    <w:p w14:paraId="630A6A6C" w14:textId="59EC056C" w:rsidR="00CB7B1B" w:rsidRPr="00A608EE" w:rsidRDefault="00BF1F42"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62D742F2" w14:textId="77777777" w:rsidR="00DA7E80" w:rsidRPr="00A608EE" w:rsidRDefault="00DA7E80" w:rsidP="00EE208A">
      <w:pPr>
        <w:jc w:val="both"/>
        <w:rPr>
          <w:rFonts w:asciiTheme="majorHAnsi" w:hAnsiTheme="majorHAnsi"/>
          <w:sz w:val="20"/>
          <w:szCs w:val="20"/>
          <w:lang w:eastAsia="fr-FR"/>
        </w:rPr>
      </w:pPr>
      <w:r w:rsidRPr="00A608EE">
        <w:rPr>
          <w:rFonts w:asciiTheme="majorHAnsi" w:hAnsiTheme="majorHAnsi"/>
          <w:sz w:val="20"/>
          <w:szCs w:val="20"/>
          <w:lang w:eastAsia="fr-FR"/>
        </w:rPr>
        <w:t>Understanding which types of clients (men, women, urban, rural, by sector, by age groups, etc.) use different products provides insight into clients’ needs and preferences. Beyond product access, it is important to understand how clients actually used it.</w:t>
      </w:r>
    </w:p>
    <w:p w14:paraId="04CF8266" w14:textId="77777777" w:rsidR="00672763" w:rsidRPr="00A608EE" w:rsidRDefault="00672763" w:rsidP="00EE208A">
      <w:pPr>
        <w:jc w:val="both"/>
        <w:rPr>
          <w:rFonts w:asciiTheme="majorHAnsi" w:hAnsiTheme="majorHAnsi"/>
          <w:sz w:val="20"/>
          <w:szCs w:val="20"/>
          <w:lang w:eastAsia="fr-FR"/>
        </w:rPr>
      </w:pPr>
    </w:p>
    <w:p w14:paraId="68F6FB3D"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24128" behindDoc="1" locked="0" layoutInCell="1" allowOverlap="1" wp14:anchorId="66113CCF" wp14:editId="6C4F7E06">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23252068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0FA2F58" w14:textId="77777777" w:rsidR="00672763" w:rsidRPr="00A608EE" w:rsidRDefault="00672763" w:rsidP="00EE208A">
      <w:pPr>
        <w:jc w:val="both"/>
        <w:rPr>
          <w:rFonts w:asciiTheme="majorHAnsi" w:hAnsiTheme="majorHAnsi"/>
          <w:sz w:val="20"/>
          <w:szCs w:val="20"/>
          <w:lang w:eastAsia="fr-FR"/>
        </w:rPr>
      </w:pPr>
    </w:p>
    <w:p w14:paraId="63BC3FB6" w14:textId="42B6FAC5" w:rsidR="005F4278"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5F4278" w:rsidRPr="00A608EE">
        <w:rPr>
          <w:rFonts w:asciiTheme="majorHAnsi" w:hAnsiTheme="majorHAnsi"/>
          <w:sz w:val="20"/>
          <w:szCs w:val="20"/>
          <w:lang w:eastAsia="fr-FR"/>
        </w:rPr>
        <w:t>The provider analyzes product and service use (types and frequency) by persons with disabilities within its client base.</w:t>
      </w:r>
    </w:p>
    <w:p w14:paraId="25AC5F12" w14:textId="77777777" w:rsidR="00DA7E80" w:rsidRPr="00A608EE" w:rsidRDefault="00DA7E80" w:rsidP="00EE208A">
      <w:pPr>
        <w:jc w:val="both"/>
        <w:rPr>
          <w:rFonts w:asciiTheme="majorHAnsi" w:hAnsiTheme="majorHAnsi"/>
          <w:sz w:val="20"/>
          <w:szCs w:val="20"/>
          <w:lang w:eastAsia="fr-FR"/>
        </w:rPr>
      </w:pPr>
    </w:p>
    <w:p w14:paraId="77303A38" w14:textId="55BF444F" w:rsidR="00DA7E80" w:rsidRPr="00A608EE" w:rsidRDefault="00DA7E8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10365D4C" w14:textId="77777777" w:rsidR="00DA7E80" w:rsidRPr="00A608EE" w:rsidRDefault="00DA7E80" w:rsidP="00A27AAA">
      <w:pPr>
        <w:numPr>
          <w:ilvl w:val="0"/>
          <w:numId w:val="160"/>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w:t>
      </w:r>
    </w:p>
    <w:p w14:paraId="10A5F644" w14:textId="77777777" w:rsidR="00DA7E80" w:rsidRPr="00A608EE" w:rsidRDefault="00DA7E80" w:rsidP="00A27AAA">
      <w:pPr>
        <w:numPr>
          <w:ilvl w:val="1"/>
          <w:numId w:val="160"/>
        </w:numPr>
        <w:jc w:val="both"/>
        <w:rPr>
          <w:rFonts w:asciiTheme="majorHAnsi" w:hAnsiTheme="majorHAnsi"/>
          <w:sz w:val="20"/>
          <w:szCs w:val="20"/>
          <w:lang w:eastAsia="fr-FR"/>
        </w:rPr>
      </w:pPr>
      <w:r w:rsidRPr="00A608EE">
        <w:rPr>
          <w:rFonts w:asciiTheme="majorHAnsi" w:hAnsiTheme="majorHAnsi"/>
          <w:sz w:val="20"/>
          <w:szCs w:val="20"/>
          <w:lang w:eastAsia="fr-FR"/>
        </w:rPr>
        <w:t>analyses the usage of all its products and</w:t>
      </w:r>
    </w:p>
    <w:p w14:paraId="49E55762" w14:textId="77777777" w:rsidR="00DA7E80" w:rsidRPr="00A608EE" w:rsidRDefault="00DA7E80" w:rsidP="00A27AAA">
      <w:pPr>
        <w:numPr>
          <w:ilvl w:val="1"/>
          <w:numId w:val="160"/>
        </w:numPr>
        <w:jc w:val="both"/>
        <w:rPr>
          <w:rFonts w:asciiTheme="majorHAnsi" w:hAnsiTheme="majorHAnsi"/>
          <w:sz w:val="20"/>
          <w:szCs w:val="20"/>
          <w:lang w:eastAsia="fr-FR"/>
        </w:rPr>
      </w:pPr>
      <w:r w:rsidRPr="00A608EE">
        <w:rPr>
          <w:rFonts w:asciiTheme="majorHAnsi" w:hAnsiTheme="majorHAnsi"/>
          <w:sz w:val="20"/>
          <w:szCs w:val="20"/>
          <w:lang w:eastAsia="fr-FR"/>
        </w:rPr>
        <w:t>doing this by main client segmentation, like gender, location, age groups, formal literacy level, income/poverty level, and sector.</w:t>
      </w:r>
    </w:p>
    <w:p w14:paraId="7E562BC8" w14:textId="77777777" w:rsidR="00DA7E80" w:rsidRPr="00A608EE" w:rsidRDefault="00DA7E80" w:rsidP="00A27AAA">
      <w:pPr>
        <w:numPr>
          <w:ilvl w:val="0"/>
          <w:numId w:val="160"/>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meets only partially the above two conditions, like analyzing usage of loan products only or by very rudimentary client segmentation.</w:t>
      </w:r>
    </w:p>
    <w:p w14:paraId="4ADA880C" w14:textId="77777777" w:rsidR="00DA7E80" w:rsidRPr="00A608EE" w:rsidRDefault="00DA7E80" w:rsidP="00A27AAA">
      <w:pPr>
        <w:numPr>
          <w:ilvl w:val="0"/>
          <w:numId w:val="160"/>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is analyzing the usage of loan products occasionally, but without any client segmentation.</w:t>
      </w:r>
    </w:p>
    <w:p w14:paraId="20075E74" w14:textId="77777777" w:rsidR="00DA7E80" w:rsidRPr="00A608EE" w:rsidRDefault="00DA7E80" w:rsidP="00EE208A">
      <w:pPr>
        <w:jc w:val="both"/>
        <w:rPr>
          <w:rFonts w:asciiTheme="majorHAnsi" w:hAnsiTheme="majorHAnsi"/>
          <w:sz w:val="20"/>
          <w:szCs w:val="20"/>
          <w:lang w:eastAsia="fr-FR"/>
        </w:rPr>
      </w:pPr>
    </w:p>
    <w:p w14:paraId="3CA21FE2" w14:textId="6E0A6667" w:rsidR="00DA7E80" w:rsidRPr="00A608EE" w:rsidRDefault="00DA7E8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32ADEDAE" w14:textId="77777777" w:rsidR="00DA7E80" w:rsidRPr="00A608EE" w:rsidRDefault="00DA7E80" w:rsidP="00A27AAA">
      <w:pPr>
        <w:numPr>
          <w:ilvl w:val="0"/>
          <w:numId w:val="161"/>
        </w:numPr>
        <w:jc w:val="both"/>
        <w:rPr>
          <w:rFonts w:asciiTheme="majorHAnsi" w:hAnsiTheme="majorHAnsi"/>
          <w:sz w:val="20"/>
          <w:szCs w:val="20"/>
          <w:lang w:eastAsia="fr-FR"/>
        </w:rPr>
      </w:pPr>
      <w:r w:rsidRPr="00A608EE">
        <w:rPr>
          <w:rFonts w:asciiTheme="majorHAnsi" w:hAnsiTheme="majorHAnsi"/>
          <w:sz w:val="20"/>
          <w:szCs w:val="20"/>
          <w:lang w:eastAsia="fr-FR"/>
        </w:rPr>
        <w:t>Interviews with marketing/ product development</w:t>
      </w:r>
    </w:p>
    <w:p w14:paraId="5583F81D" w14:textId="77777777" w:rsidR="00DA7E80" w:rsidRPr="00A608EE" w:rsidRDefault="00DA7E80" w:rsidP="00A27AAA">
      <w:pPr>
        <w:numPr>
          <w:ilvl w:val="0"/>
          <w:numId w:val="161"/>
        </w:numPr>
        <w:jc w:val="both"/>
        <w:rPr>
          <w:rFonts w:asciiTheme="majorHAnsi" w:hAnsiTheme="majorHAnsi"/>
          <w:sz w:val="20"/>
          <w:szCs w:val="20"/>
          <w:lang w:eastAsia="fr-FR"/>
        </w:rPr>
      </w:pPr>
      <w:r w:rsidRPr="00A608EE">
        <w:rPr>
          <w:rFonts w:asciiTheme="majorHAnsi" w:hAnsiTheme="majorHAnsi"/>
          <w:sz w:val="20"/>
          <w:szCs w:val="20"/>
          <w:lang w:eastAsia="fr-FR"/>
        </w:rPr>
        <w:t>Interviews with operations</w:t>
      </w:r>
    </w:p>
    <w:p w14:paraId="42D24A73" w14:textId="77777777" w:rsidR="00DA7E80" w:rsidRPr="00A608EE" w:rsidRDefault="00DA7E80" w:rsidP="00A27AAA">
      <w:pPr>
        <w:numPr>
          <w:ilvl w:val="0"/>
          <w:numId w:val="161"/>
        </w:numPr>
        <w:jc w:val="both"/>
        <w:rPr>
          <w:rFonts w:asciiTheme="majorHAnsi" w:hAnsiTheme="majorHAnsi"/>
          <w:sz w:val="20"/>
          <w:szCs w:val="20"/>
          <w:lang w:eastAsia="fr-FR"/>
        </w:rPr>
      </w:pPr>
      <w:r w:rsidRPr="00A608EE">
        <w:rPr>
          <w:rFonts w:asciiTheme="majorHAnsi" w:hAnsiTheme="majorHAnsi"/>
          <w:sz w:val="20"/>
          <w:szCs w:val="20"/>
          <w:lang w:eastAsia="fr-FR"/>
        </w:rPr>
        <w:t>Any relevant analytical report used for product development or in marketing</w:t>
      </w:r>
    </w:p>
    <w:p w14:paraId="6BD1E350" w14:textId="77777777" w:rsidR="00DA7E80" w:rsidRPr="00A608EE" w:rsidRDefault="00DA7E80" w:rsidP="00EE208A">
      <w:pPr>
        <w:jc w:val="both"/>
        <w:rPr>
          <w:rFonts w:asciiTheme="majorHAnsi" w:hAnsiTheme="majorHAnsi"/>
          <w:sz w:val="20"/>
          <w:szCs w:val="20"/>
          <w:lang w:eastAsia="fr-FR"/>
        </w:rPr>
      </w:pPr>
    </w:p>
    <w:p w14:paraId="187EF66C" w14:textId="5786DCCF" w:rsidR="00DA7E80" w:rsidRPr="00A608EE" w:rsidRDefault="00DA7E8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59C03C23" w14:textId="77777777" w:rsidR="00DA7E80" w:rsidRPr="00A608EE" w:rsidRDefault="00DA7E80" w:rsidP="00EE208A">
      <w:pPr>
        <w:jc w:val="both"/>
        <w:rPr>
          <w:rFonts w:asciiTheme="majorHAnsi" w:hAnsiTheme="majorHAnsi"/>
          <w:sz w:val="20"/>
          <w:szCs w:val="20"/>
          <w:lang w:eastAsia="fr-FR"/>
        </w:rPr>
      </w:pPr>
      <w:r w:rsidRPr="00A608EE">
        <w:rPr>
          <w:rFonts w:asciiTheme="majorHAnsi" w:hAnsiTheme="majorHAnsi"/>
          <w:sz w:val="20"/>
          <w:szCs w:val="20"/>
          <w:lang w:eastAsia="fr-FR"/>
        </w:rPr>
        <w:t>Refer to reports that analyze product usage by client characteristic and how these reports have been used to understand clients’ needs and preferences as well as actual use of products.</w:t>
      </w:r>
    </w:p>
    <w:p w14:paraId="6CE991AF" w14:textId="77777777" w:rsidR="00DA7E80" w:rsidRPr="00A608EE" w:rsidRDefault="00DA7E80" w:rsidP="00EE208A">
      <w:pPr>
        <w:jc w:val="both"/>
        <w:rPr>
          <w:rFonts w:asciiTheme="majorHAnsi" w:hAnsiTheme="majorHAnsi"/>
          <w:sz w:val="20"/>
          <w:szCs w:val="20"/>
          <w:lang w:eastAsia="fr-FR"/>
        </w:rPr>
      </w:pPr>
    </w:p>
    <w:p w14:paraId="3ECFFFAE" w14:textId="77777777" w:rsidR="00DA7E80" w:rsidRPr="00A608EE" w:rsidRDefault="00DA7E8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Field examples / Guidance for implementation</w:t>
      </w:r>
      <w:r w:rsidRPr="00A608EE">
        <w:rPr>
          <w:b/>
          <w:bCs/>
          <w:sz w:val="20"/>
          <w:szCs w:val="20"/>
          <w:lang w:eastAsia="fr-FR"/>
        </w:rPr>
        <w:t> </w:t>
      </w:r>
    </w:p>
    <w:p w14:paraId="4C907E71" w14:textId="241B3FA5" w:rsidR="00DA7E80" w:rsidRPr="00A608EE" w:rsidRDefault="00DA7E80" w:rsidP="00EE208A">
      <w:pPr>
        <w:jc w:val="both"/>
        <w:rPr>
          <w:rFonts w:asciiTheme="majorHAnsi" w:hAnsiTheme="majorHAnsi"/>
          <w:sz w:val="20"/>
          <w:szCs w:val="20"/>
          <w:lang w:eastAsia="fr-FR"/>
        </w:rPr>
      </w:pPr>
      <w:r w:rsidRPr="00A608EE">
        <w:rPr>
          <w:rFonts w:asciiTheme="majorHAnsi" w:hAnsiTheme="majorHAnsi"/>
          <w:sz w:val="20"/>
          <w:szCs w:val="20"/>
          <w:lang w:eastAsia="fr-FR"/>
        </w:rPr>
        <w:t>Example:</w:t>
      </w:r>
    </w:p>
    <w:p w14:paraId="5E4F92C9" w14:textId="77777777" w:rsidR="00DA7E80" w:rsidRPr="00A608EE" w:rsidRDefault="00DA7E80" w:rsidP="00A27AAA">
      <w:pPr>
        <w:numPr>
          <w:ilvl w:val="0"/>
          <w:numId w:val="162"/>
        </w:numPr>
        <w:jc w:val="both"/>
        <w:rPr>
          <w:rFonts w:asciiTheme="majorHAnsi" w:hAnsiTheme="majorHAnsi"/>
          <w:sz w:val="20"/>
          <w:szCs w:val="20"/>
          <w:lang w:eastAsia="fr-FR"/>
        </w:rPr>
      </w:pPr>
      <w:r w:rsidRPr="00A608EE">
        <w:rPr>
          <w:rFonts w:asciiTheme="majorHAnsi" w:hAnsiTheme="majorHAnsi"/>
          <w:sz w:val="20"/>
          <w:szCs w:val="20"/>
          <w:lang w:eastAsia="fr-FR"/>
        </w:rPr>
        <w:t xml:space="preserve">Providers are often communicating on the percentage of women clients, but direct interviews with these women borrowers, for example, may show that the loans are actually used by their husband, father, brother, or any other member of the family. </w:t>
      </w:r>
      <w:r w:rsidRPr="00A608EE">
        <w:rPr>
          <w:rFonts w:asciiTheme="majorHAnsi" w:hAnsiTheme="majorHAnsi"/>
          <w:sz w:val="20"/>
          <w:szCs w:val="20"/>
          <w:lang w:eastAsia="fr-FR"/>
        </w:rPr>
        <w:lastRenderedPageBreak/>
        <w:t>In this case, access and usage differ and the needs of the women clients may not be served.</w:t>
      </w:r>
    </w:p>
    <w:p w14:paraId="2DBF0BC7" w14:textId="77777777" w:rsidR="00DA7E80" w:rsidRPr="00A608EE" w:rsidRDefault="00DA7E80" w:rsidP="00A27AAA">
      <w:pPr>
        <w:numPr>
          <w:ilvl w:val="0"/>
          <w:numId w:val="162"/>
        </w:numPr>
        <w:jc w:val="both"/>
        <w:rPr>
          <w:rFonts w:asciiTheme="majorHAnsi" w:hAnsiTheme="majorHAnsi"/>
          <w:sz w:val="20"/>
          <w:szCs w:val="20"/>
          <w:lang w:eastAsia="fr-FR"/>
        </w:rPr>
      </w:pPr>
      <w:r w:rsidRPr="00A608EE">
        <w:rPr>
          <w:rFonts w:asciiTheme="majorHAnsi" w:hAnsiTheme="majorHAnsi"/>
          <w:sz w:val="20"/>
          <w:szCs w:val="20"/>
          <w:lang w:eastAsia="fr-FR"/>
        </w:rPr>
        <w:t>Segmenting savings data (e.g., deposit amount and frequency) by several relevant client characteristics (e.g., age groups, employment status, and gender) could provide valuable information on how savings habits vary among client segments. Combined with interviews with each of those segments, findings maybe that young people prefer to save for specific goals (e.g., education, car purchase) and would respond well to goal-oriented savings products, salaried employees want an easier way to deposit their paychecks, men benefit from savings reminder SMS messages, and women business owners need to be able to check their account balances from their mobile phones.</w:t>
      </w:r>
    </w:p>
    <w:p w14:paraId="71549F81" w14:textId="77777777" w:rsidR="00CB7B1B" w:rsidRPr="00A608EE" w:rsidRDefault="00CB7B1B" w:rsidP="00EE208A">
      <w:pPr>
        <w:jc w:val="both"/>
        <w:rPr>
          <w:rFonts w:asciiTheme="majorHAnsi" w:hAnsiTheme="majorHAnsi"/>
          <w:szCs w:val="20"/>
        </w:rPr>
      </w:pPr>
    </w:p>
    <w:p w14:paraId="0009C6D0" w14:textId="337C5EB9" w:rsidR="009D1349" w:rsidRPr="00A608EE" w:rsidRDefault="00794B11" w:rsidP="00EE208A">
      <w:pPr>
        <w:pStyle w:val="Heading3"/>
        <w:jc w:val="both"/>
        <w:rPr>
          <w:i/>
          <w:iCs/>
        </w:rPr>
      </w:pPr>
      <w:bookmarkStart w:id="53" w:name="_Toc230938788"/>
      <w:r w:rsidRPr="00A608EE">
        <w:t xml:space="preserve">3.A.3 </w:t>
      </w:r>
      <w:r w:rsidR="00390B28" w:rsidRPr="00A608EE">
        <w:t>Collect client feedback on their experiences using products and services</w:t>
      </w:r>
      <w:r w:rsidR="00503391" w:rsidRPr="00A608EE">
        <w:t>.</w:t>
      </w:r>
      <w:bookmarkEnd w:id="53"/>
    </w:p>
    <w:p w14:paraId="2DF69007" w14:textId="77777777" w:rsidR="009D1349" w:rsidRPr="00A608EE" w:rsidRDefault="009D1349" w:rsidP="00EE208A">
      <w:pPr>
        <w:jc w:val="both"/>
        <w:rPr>
          <w:rFonts w:asciiTheme="majorHAnsi" w:hAnsiTheme="majorHAnsi"/>
          <w:szCs w:val="20"/>
        </w:rPr>
      </w:pPr>
    </w:p>
    <w:p w14:paraId="7097AD3D" w14:textId="0DFCF453" w:rsidR="00BF72FA" w:rsidRPr="00A608EE" w:rsidRDefault="00390B28"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collects client feedback on their experiences using the products and services and delivery channels. The purpose of collecting feedback is to investigate whether clients use and value the financial products and services as expected and whether they face challenges accessing or using them.</w:t>
      </w:r>
    </w:p>
    <w:p w14:paraId="79181C0D" w14:textId="77777777" w:rsidR="00390B28" w:rsidRPr="00A608EE" w:rsidRDefault="00390B28" w:rsidP="00EE208A">
      <w:pPr>
        <w:pStyle w:val="NormalWeb"/>
        <w:spacing w:before="0" w:beforeAutospacing="0" w:after="0" w:afterAutospacing="0"/>
        <w:jc w:val="both"/>
        <w:rPr>
          <w:rFonts w:asciiTheme="majorHAnsi" w:hAnsiTheme="majorHAnsi"/>
          <w:sz w:val="20"/>
          <w:szCs w:val="20"/>
        </w:rPr>
      </w:pPr>
    </w:p>
    <w:p w14:paraId="6D71AA14" w14:textId="77777777" w:rsidR="00390B28" w:rsidRPr="00A608EE" w:rsidRDefault="00390B28"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r w:rsidRPr="00A608EE">
        <w:rPr>
          <w:rFonts w:asciiTheme="majorHAnsi" w:eastAsiaTheme="minorHAnsi" w:hAnsiTheme="majorHAnsi" w:cstheme="minorBidi"/>
          <w:b/>
          <w:bCs/>
          <w:sz w:val="20"/>
          <w:szCs w:val="20"/>
          <w:lang w:eastAsia="en-US"/>
        </w:rPr>
        <w:t>Understanding client satisfaction</w:t>
      </w:r>
    </w:p>
    <w:p w14:paraId="6508E005" w14:textId="77777777" w:rsidR="00390B28" w:rsidRPr="00A608EE" w:rsidRDefault="00390B28" w:rsidP="00EE208A">
      <w:pPr>
        <w:jc w:val="both"/>
        <w:rPr>
          <w:rFonts w:asciiTheme="majorHAnsi" w:hAnsiTheme="majorHAnsi"/>
          <w:sz w:val="20"/>
          <w:szCs w:val="20"/>
          <w:lang w:eastAsia="fr-FR"/>
        </w:rPr>
      </w:pPr>
      <w:r w:rsidRPr="00A608EE">
        <w:rPr>
          <w:rFonts w:asciiTheme="majorHAnsi" w:hAnsiTheme="majorHAnsi"/>
          <w:sz w:val="20"/>
          <w:szCs w:val="20"/>
          <w:lang w:eastAsia="fr-FR"/>
        </w:rPr>
        <w:t>Collecting client satisfaction data is one specific type of market research. Providers should use one or more methods for collecting satisfaction data, such as a formal client satisfaction survey, client focus group discussions, or meetings between clients and employees to discuss client satisfaction (with the results shared with managers). It can be collected on an ongoing basis or at least every other year. Selecting a representative client sample is important to reduce bias. Client satisfaction is different from client complaints. Both types of data are important. They can be complementary—for example, if mining complaint data to better understand an area of low client satisfaction.</w:t>
      </w:r>
    </w:p>
    <w:p w14:paraId="55045AE0" w14:textId="77777777" w:rsidR="00390B28" w:rsidRPr="00A608EE" w:rsidRDefault="00390B28" w:rsidP="00EE208A">
      <w:pPr>
        <w:jc w:val="both"/>
        <w:rPr>
          <w:rFonts w:asciiTheme="majorHAnsi" w:hAnsiTheme="majorHAnsi"/>
          <w:sz w:val="20"/>
          <w:szCs w:val="20"/>
          <w:lang w:eastAsia="fr-FR"/>
        </w:rPr>
      </w:pPr>
    </w:p>
    <w:p w14:paraId="2A3A6D9D" w14:textId="655A1048" w:rsidR="00390B28" w:rsidRPr="00A608EE" w:rsidRDefault="00390B28" w:rsidP="00EE208A">
      <w:pPr>
        <w:jc w:val="both"/>
        <w:rPr>
          <w:rFonts w:asciiTheme="majorHAnsi" w:hAnsiTheme="majorHAnsi"/>
          <w:sz w:val="20"/>
          <w:szCs w:val="20"/>
          <w:lang w:eastAsia="fr-FR"/>
        </w:rPr>
      </w:pPr>
      <w:r w:rsidRPr="00A608EE">
        <w:rPr>
          <w:rFonts w:asciiTheme="majorHAnsi" w:hAnsiTheme="majorHAnsi"/>
          <w:sz w:val="20"/>
          <w:szCs w:val="20"/>
          <w:lang w:eastAsia="fr-FR"/>
        </w:rPr>
        <w:t>Client satisfaction data investigate the provider’s ability to meet client needs, such as: reducing risks and coping with common emergencies, investing in economic opportunities, and addressing anticipated household needs. Client feedback should address the following:</w:t>
      </w:r>
    </w:p>
    <w:p w14:paraId="64A57F22" w14:textId="77777777" w:rsidR="00390B28" w:rsidRPr="00A608EE" w:rsidRDefault="2975F0E7" w:rsidP="00A27AAA">
      <w:pPr>
        <w:pStyle w:val="NormalWeb"/>
        <w:numPr>
          <w:ilvl w:val="0"/>
          <w:numId w:val="6"/>
        </w:numPr>
        <w:spacing w:before="0" w:beforeAutospacing="0" w:after="0" w:afterAutospacing="0"/>
        <w:jc w:val="both"/>
        <w:rPr>
          <w:rFonts w:asciiTheme="majorHAnsi" w:eastAsiaTheme="minorEastAsia" w:hAnsiTheme="majorHAnsi"/>
          <w:sz w:val="20"/>
          <w:szCs w:val="20"/>
          <w:lang w:eastAsia="en-US"/>
        </w:rPr>
      </w:pPr>
      <w:r w:rsidRPr="00A608EE">
        <w:rPr>
          <w:rFonts w:asciiTheme="majorHAnsi" w:eastAsiaTheme="minorEastAsia" w:hAnsiTheme="majorHAnsi"/>
          <w:sz w:val="20"/>
          <w:szCs w:val="20"/>
          <w:lang w:eastAsia="en-US"/>
        </w:rPr>
        <w:t>Who is the actual user of the product, and what is the end use of services (e.g., business working capital, consumption smoothing, lump sums for asset building and life events);</w:t>
      </w:r>
    </w:p>
    <w:p w14:paraId="3C0B2FCA" w14:textId="77777777" w:rsidR="00390B28" w:rsidRPr="00A608EE" w:rsidRDefault="00390B28" w:rsidP="00A27AAA">
      <w:pPr>
        <w:pStyle w:val="NormalWeb"/>
        <w:numPr>
          <w:ilvl w:val="0"/>
          <w:numId w:val="6"/>
        </w:numPr>
        <w:spacing w:before="0" w:beforeAutospacing="0" w:after="0" w:afterAutospacing="0"/>
        <w:jc w:val="both"/>
        <w:rPr>
          <w:rFonts w:asciiTheme="majorHAnsi" w:eastAsiaTheme="minorHAnsi" w:hAnsiTheme="majorHAnsi"/>
          <w:sz w:val="20"/>
          <w:szCs w:val="20"/>
          <w:lang w:eastAsia="en-US"/>
        </w:rPr>
      </w:pPr>
      <w:r w:rsidRPr="00A608EE">
        <w:rPr>
          <w:rFonts w:asciiTheme="majorHAnsi" w:eastAsiaTheme="minorHAnsi" w:hAnsiTheme="majorHAnsi"/>
          <w:sz w:val="20"/>
          <w:szCs w:val="20"/>
          <w:lang w:eastAsia="en-US"/>
        </w:rPr>
        <w:t>Overall satisfaction with the client experience and value of the products;</w:t>
      </w:r>
    </w:p>
    <w:p w14:paraId="14353C91" w14:textId="77777777" w:rsidR="00390B28" w:rsidRPr="00A608EE" w:rsidRDefault="00390B28" w:rsidP="00A27AAA">
      <w:pPr>
        <w:pStyle w:val="NormalWeb"/>
        <w:numPr>
          <w:ilvl w:val="0"/>
          <w:numId w:val="6"/>
        </w:numPr>
        <w:spacing w:before="0" w:beforeAutospacing="0" w:after="0" w:afterAutospacing="0"/>
        <w:jc w:val="both"/>
        <w:rPr>
          <w:rFonts w:asciiTheme="majorHAnsi" w:eastAsiaTheme="minorHAnsi" w:hAnsiTheme="majorHAnsi"/>
          <w:sz w:val="20"/>
          <w:szCs w:val="20"/>
          <w:lang w:eastAsia="en-US"/>
        </w:rPr>
      </w:pPr>
      <w:r w:rsidRPr="00A608EE">
        <w:rPr>
          <w:rFonts w:asciiTheme="majorHAnsi" w:eastAsiaTheme="minorHAnsi" w:hAnsiTheme="majorHAnsi"/>
          <w:sz w:val="20"/>
          <w:szCs w:val="20"/>
          <w:lang w:eastAsia="en-US"/>
        </w:rPr>
        <w:t>Satisfaction with the convenience, safety, and reliability of distribution channels to access the services;</w:t>
      </w:r>
    </w:p>
    <w:p w14:paraId="062DECF8" w14:textId="59613488" w:rsidR="00BF72FA" w:rsidRPr="00A608EE" w:rsidRDefault="00390B28" w:rsidP="00A27AAA">
      <w:pPr>
        <w:pStyle w:val="NormalWeb"/>
        <w:numPr>
          <w:ilvl w:val="0"/>
          <w:numId w:val="6"/>
        </w:numPr>
        <w:spacing w:before="0" w:beforeAutospacing="0" w:after="0" w:afterAutospacing="0"/>
        <w:jc w:val="both"/>
        <w:rPr>
          <w:rFonts w:asciiTheme="majorHAnsi" w:hAnsiTheme="majorHAnsi"/>
          <w:sz w:val="20"/>
          <w:szCs w:val="20"/>
        </w:rPr>
      </w:pPr>
      <w:r w:rsidRPr="00A608EE">
        <w:rPr>
          <w:rFonts w:asciiTheme="majorHAnsi" w:eastAsiaTheme="minorHAnsi" w:hAnsiTheme="majorHAnsi"/>
          <w:sz w:val="20"/>
          <w:szCs w:val="20"/>
          <w:lang w:eastAsia="en-US"/>
        </w:rPr>
        <w:t>Satisfaction with the timeliness, ease of procedures, conditions, and guarantees to obtain the services;</w:t>
      </w:r>
    </w:p>
    <w:p w14:paraId="7CBECC7E" w14:textId="77777777" w:rsidR="00390B28" w:rsidRPr="00A608EE" w:rsidRDefault="00390B28" w:rsidP="00EE208A">
      <w:pPr>
        <w:jc w:val="both"/>
        <w:rPr>
          <w:rFonts w:asciiTheme="majorHAnsi" w:hAnsiTheme="majorHAnsi"/>
          <w:sz w:val="20"/>
          <w:szCs w:val="20"/>
          <w:lang w:eastAsia="fr-FR"/>
        </w:rPr>
      </w:pPr>
    </w:p>
    <w:p w14:paraId="628E0018" w14:textId="231F2442" w:rsidR="00390B28" w:rsidRPr="00A608EE" w:rsidRDefault="00390B28" w:rsidP="00EE208A">
      <w:pPr>
        <w:jc w:val="both"/>
        <w:rPr>
          <w:rFonts w:asciiTheme="majorHAnsi" w:hAnsiTheme="majorHAnsi"/>
          <w:sz w:val="20"/>
          <w:szCs w:val="20"/>
          <w:lang w:eastAsia="fr-FR"/>
        </w:rPr>
      </w:pPr>
      <w:r w:rsidRPr="00A608EE">
        <w:rPr>
          <w:rFonts w:asciiTheme="majorHAnsi" w:hAnsiTheme="majorHAnsi"/>
          <w:sz w:val="20"/>
          <w:szCs w:val="20"/>
          <w:lang w:eastAsia="fr-FR"/>
        </w:rPr>
        <w:t>Client satisfaction surveys also allow to determine whether products are used as expected. If there is a gap between how products are designed to be used, and how they are actually used, then there is at risk of client exit, repayment problems, and/or not meeting the social goals.</w:t>
      </w:r>
    </w:p>
    <w:p w14:paraId="38D3E227" w14:textId="77777777" w:rsidR="00BF72FA" w:rsidRPr="00A608EE" w:rsidRDefault="00BF72FA" w:rsidP="00EE208A">
      <w:pPr>
        <w:pStyle w:val="NormalWeb"/>
        <w:spacing w:before="0" w:beforeAutospacing="0" w:after="0" w:afterAutospacing="0"/>
        <w:jc w:val="both"/>
        <w:rPr>
          <w:rFonts w:asciiTheme="majorHAnsi" w:hAnsiTheme="majorHAnsi"/>
          <w:sz w:val="20"/>
          <w:szCs w:val="20"/>
        </w:rPr>
      </w:pPr>
    </w:p>
    <w:p w14:paraId="4F3F1882" w14:textId="77777777" w:rsidR="00390B28" w:rsidRPr="00A608EE" w:rsidRDefault="00390B28"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r w:rsidRPr="00A608EE">
        <w:rPr>
          <w:rFonts w:asciiTheme="majorHAnsi" w:eastAsiaTheme="minorHAnsi" w:hAnsiTheme="majorHAnsi" w:cstheme="minorBidi"/>
          <w:b/>
          <w:bCs/>
          <w:sz w:val="20"/>
          <w:szCs w:val="20"/>
          <w:lang w:eastAsia="en-US"/>
        </w:rPr>
        <w:t>Track client retention/exit</w:t>
      </w:r>
    </w:p>
    <w:p w14:paraId="429C05B9" w14:textId="6E566FEF" w:rsidR="00390B28" w:rsidRPr="00A608EE" w:rsidRDefault="00390B28" w:rsidP="00EE208A">
      <w:pPr>
        <w:pStyle w:val="NormalWeb"/>
        <w:shd w:val="clear" w:color="auto" w:fill="FFFFFF"/>
        <w:spacing w:before="0" w:beforeAutospacing="0" w:after="0" w:afterAutospacing="0"/>
        <w:jc w:val="both"/>
        <w:rPr>
          <w:rFonts w:ascii="Work Sans" w:hAnsi="Work Sans"/>
          <w:sz w:val="20"/>
          <w:szCs w:val="20"/>
        </w:rPr>
      </w:pPr>
      <w:r w:rsidRPr="00A608EE">
        <w:rPr>
          <w:rFonts w:ascii="Work Sans" w:hAnsi="Work Sans"/>
          <w:sz w:val="20"/>
          <w:szCs w:val="20"/>
        </w:rPr>
        <w:t>Client dormancy, cancellation, and exit are also good indicators of product appropriateness. Track client retention on a regular basis (at least annually) and by different segments (at least: client characteristics, products, branches/areas). Choose a retention formula, and use it consistently over time. Information to calculate client retention rates are usually available in the MIS if the MIS has a unique client identification system that allows to distinguish between exit clients and clients who are simply resting between loans (and who eventually re-join), as well as clients who have graduated to other institutions that offer larger loans. These important distinctions can affect retention rates significantly.</w:t>
      </w:r>
    </w:p>
    <w:p w14:paraId="3B4A1C97" w14:textId="77777777" w:rsidR="00390B28" w:rsidRPr="00A608EE" w:rsidRDefault="00390B28" w:rsidP="00EE208A">
      <w:pPr>
        <w:pStyle w:val="NormalWeb"/>
        <w:shd w:val="clear" w:color="auto" w:fill="FFFFFF"/>
        <w:spacing w:before="0" w:beforeAutospacing="0" w:after="0" w:afterAutospacing="0"/>
        <w:jc w:val="both"/>
        <w:rPr>
          <w:rFonts w:ascii="Work Sans" w:hAnsi="Work Sans"/>
          <w:sz w:val="20"/>
          <w:szCs w:val="20"/>
        </w:rPr>
      </w:pPr>
    </w:p>
    <w:p w14:paraId="76946385" w14:textId="5356B2C1" w:rsidR="00390B28" w:rsidRPr="00A608EE" w:rsidRDefault="00390B28" w:rsidP="00EE208A">
      <w:pPr>
        <w:pStyle w:val="NormalWeb"/>
        <w:shd w:val="clear" w:color="auto" w:fill="FFFFFF"/>
        <w:spacing w:before="0" w:beforeAutospacing="0" w:after="0" w:afterAutospacing="0"/>
        <w:jc w:val="both"/>
        <w:rPr>
          <w:rFonts w:ascii="Work Sans" w:hAnsi="Work Sans"/>
          <w:sz w:val="20"/>
          <w:szCs w:val="20"/>
        </w:rPr>
      </w:pPr>
      <w:r w:rsidRPr="00A608EE">
        <w:rPr>
          <w:rFonts w:ascii="Work Sans" w:hAnsi="Work Sans"/>
          <w:sz w:val="20"/>
          <w:szCs w:val="20"/>
        </w:rPr>
        <w:lastRenderedPageBreak/>
        <w:t>It is important to calculate client retention rates regularly with reporting to the board and senior management. A high exit rate across branches and certain client segments can be evidence of a product design failure. Segmenting the data by branch, and even by loan officer, helps management focus their attention more precisely on problem areas. In addition to monitoring the rate for potential client and portfolio problems, the board and senior management should determine a level of client retention that they consider “unacceptable”: a level that prompts further action (e.g., interviews with clients to inquire about the problem; placing particular branches/managers on probation; offering emergency loans after a natural disaster).</w:t>
      </w:r>
    </w:p>
    <w:p w14:paraId="63088C13" w14:textId="77777777" w:rsidR="00390B28" w:rsidRPr="00A608EE" w:rsidRDefault="00390B28" w:rsidP="00EE208A">
      <w:pPr>
        <w:pStyle w:val="NormalWeb"/>
        <w:shd w:val="clear" w:color="auto" w:fill="FFFFFF"/>
        <w:spacing w:before="0" w:beforeAutospacing="0" w:after="0" w:afterAutospacing="0"/>
        <w:jc w:val="both"/>
        <w:rPr>
          <w:rFonts w:ascii="Work Sans" w:hAnsi="Work Sans"/>
          <w:sz w:val="20"/>
          <w:szCs w:val="20"/>
        </w:rPr>
      </w:pPr>
    </w:p>
    <w:p w14:paraId="35BAD2F0" w14:textId="77777777" w:rsidR="00390B28" w:rsidRPr="00A608EE" w:rsidRDefault="00390B28"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r w:rsidRPr="00A608EE">
        <w:rPr>
          <w:rFonts w:asciiTheme="majorHAnsi" w:eastAsiaTheme="minorHAnsi" w:hAnsiTheme="majorHAnsi" w:cstheme="minorBidi"/>
          <w:b/>
          <w:bCs/>
          <w:sz w:val="20"/>
          <w:szCs w:val="20"/>
          <w:lang w:eastAsia="en-US"/>
        </w:rPr>
        <w:t>Understanding client exit and dormancy</w:t>
      </w:r>
    </w:p>
    <w:p w14:paraId="5B3B1122" w14:textId="77777777" w:rsidR="00390B28" w:rsidRPr="00A608EE" w:rsidRDefault="00390B28" w:rsidP="00EE208A">
      <w:pPr>
        <w:pStyle w:val="NormalWeb"/>
        <w:shd w:val="clear" w:color="auto" w:fill="FFFFFF"/>
        <w:spacing w:before="0" w:beforeAutospacing="0" w:after="0" w:afterAutospacing="0"/>
        <w:jc w:val="both"/>
        <w:rPr>
          <w:rFonts w:ascii="Work Sans" w:hAnsi="Work Sans"/>
          <w:sz w:val="20"/>
          <w:szCs w:val="20"/>
        </w:rPr>
      </w:pPr>
      <w:r w:rsidRPr="00A608EE">
        <w:rPr>
          <w:rFonts w:ascii="Work Sans" w:hAnsi="Work Sans"/>
          <w:sz w:val="20"/>
          <w:szCs w:val="20"/>
        </w:rPr>
        <w:t>Client survey questions should provide management with information to understand the reasons behind client exit and take corrective action. Sample client exit survey questions and examples of how exit data can be used to make operational and product adjustments are available. Some providers choose to conduct exit surveys on a regular basis. Others have found that exit survey responses tend to be similar over time, so they conduct exit surveys on an annual basis and when they wish to investigate specific problem areas (e.g., low client attendance at group meetings). Finally, look for ways to augment survey data with other client information including portfolio and demographic information from your institution’s MIS and additional market research gathered from focus groups, client interviews, and other methods. Exit data alone may not be sufficient to make conclusive decisions, but combining exit survey findings with other information provides a more complete picture of the client experience.</w:t>
      </w:r>
    </w:p>
    <w:p w14:paraId="4DCD2D7B" w14:textId="77777777" w:rsidR="00390B28" w:rsidRPr="00A608EE" w:rsidRDefault="00390B28" w:rsidP="00EE208A">
      <w:pPr>
        <w:pStyle w:val="NormalWeb"/>
        <w:shd w:val="clear" w:color="auto" w:fill="FFFFFF"/>
        <w:spacing w:before="0" w:beforeAutospacing="0" w:after="0" w:afterAutospacing="0"/>
        <w:jc w:val="both"/>
        <w:rPr>
          <w:rFonts w:ascii="Work Sans" w:hAnsi="Work Sans"/>
          <w:sz w:val="20"/>
          <w:szCs w:val="20"/>
        </w:rPr>
      </w:pPr>
    </w:p>
    <w:p w14:paraId="040D3E4A" w14:textId="58AFCB9C" w:rsidR="00390B28" w:rsidRPr="00A608EE" w:rsidRDefault="00390B28" w:rsidP="00EE208A">
      <w:pPr>
        <w:pStyle w:val="NormalWeb"/>
        <w:spacing w:before="0" w:beforeAutospacing="0" w:after="0" w:afterAutospacing="0"/>
        <w:jc w:val="both"/>
        <w:rPr>
          <w:rFonts w:asciiTheme="majorHAnsi" w:eastAsiaTheme="minorHAnsi" w:hAnsiTheme="majorHAnsi" w:cstheme="minorBidi"/>
          <w:b/>
          <w:bCs/>
          <w:sz w:val="20"/>
          <w:szCs w:val="20"/>
          <w:lang w:eastAsia="en-US"/>
        </w:rPr>
      </w:pPr>
      <w:r w:rsidRPr="00A608EE">
        <w:rPr>
          <w:rFonts w:asciiTheme="majorHAnsi" w:eastAsiaTheme="minorHAnsi" w:hAnsiTheme="majorHAnsi" w:cstheme="minorBidi"/>
          <w:b/>
          <w:bCs/>
          <w:sz w:val="20"/>
          <w:szCs w:val="20"/>
          <w:lang w:eastAsia="en-US"/>
        </w:rPr>
        <w:t>Field examples and guidance</w:t>
      </w:r>
    </w:p>
    <w:p w14:paraId="37826C89" w14:textId="77777777" w:rsidR="00FA29F7" w:rsidRPr="00A608EE" w:rsidRDefault="00FA29F7" w:rsidP="00A27AAA">
      <w:pPr>
        <w:numPr>
          <w:ilvl w:val="0"/>
          <w:numId w:val="62"/>
        </w:numPr>
        <w:jc w:val="both"/>
        <w:rPr>
          <w:rFonts w:asciiTheme="majorHAnsi" w:hAnsiTheme="majorHAnsi"/>
          <w:sz w:val="20"/>
          <w:szCs w:val="20"/>
        </w:rPr>
      </w:pPr>
      <w:hyperlink r:id="rId122" w:tgtFrame="_blank" w:history="1">
        <w:r w:rsidRPr="00A608EE">
          <w:rPr>
            <w:rStyle w:val="Hyperlink"/>
            <w:rFonts w:asciiTheme="majorHAnsi" w:hAnsiTheme="majorHAnsi"/>
            <w:sz w:val="20"/>
            <w:szCs w:val="20"/>
          </w:rPr>
          <w:t>Example Exit Survey Questions</w:t>
        </w:r>
      </w:hyperlink>
    </w:p>
    <w:p w14:paraId="218AA867" w14:textId="77777777" w:rsidR="00FA29F7" w:rsidRPr="00A608EE" w:rsidRDefault="00FA29F7" w:rsidP="00A27AAA">
      <w:pPr>
        <w:numPr>
          <w:ilvl w:val="0"/>
          <w:numId w:val="62"/>
        </w:numPr>
        <w:jc w:val="both"/>
        <w:rPr>
          <w:rFonts w:asciiTheme="majorHAnsi" w:hAnsiTheme="majorHAnsi"/>
          <w:sz w:val="20"/>
          <w:szCs w:val="20"/>
        </w:rPr>
      </w:pPr>
      <w:hyperlink r:id="rId123" w:tgtFrame="_blank" w:history="1">
        <w:r w:rsidRPr="00A608EE">
          <w:rPr>
            <w:rStyle w:val="Hyperlink"/>
            <w:rFonts w:asciiTheme="majorHAnsi" w:hAnsiTheme="majorHAnsi"/>
            <w:sz w:val="20"/>
            <w:szCs w:val="20"/>
          </w:rPr>
          <w:t>Using Exit Data to Inform Product Design and Improve Operations </w:t>
        </w:r>
      </w:hyperlink>
    </w:p>
    <w:p w14:paraId="5F6B28B8" w14:textId="77777777" w:rsidR="00FA29F7" w:rsidRPr="00A608EE" w:rsidRDefault="00FA29F7" w:rsidP="00A27AAA">
      <w:pPr>
        <w:numPr>
          <w:ilvl w:val="0"/>
          <w:numId w:val="62"/>
        </w:numPr>
        <w:jc w:val="both"/>
        <w:rPr>
          <w:rFonts w:asciiTheme="majorHAnsi" w:hAnsiTheme="majorHAnsi"/>
          <w:sz w:val="20"/>
          <w:szCs w:val="20"/>
        </w:rPr>
      </w:pPr>
      <w:hyperlink r:id="rId124" w:tgtFrame="_blank" w:history="1">
        <w:r w:rsidRPr="00A608EE">
          <w:rPr>
            <w:rStyle w:val="Hyperlink"/>
            <w:rFonts w:asciiTheme="majorHAnsi" w:hAnsiTheme="majorHAnsi"/>
            <w:sz w:val="20"/>
            <w:szCs w:val="20"/>
          </w:rPr>
          <w:t>Ujjivan Collects Satisfaction Data Face-To-Face</w:t>
        </w:r>
      </w:hyperlink>
    </w:p>
    <w:p w14:paraId="2D06089D" w14:textId="77777777" w:rsidR="00FA29F7" w:rsidRPr="00A608EE" w:rsidRDefault="00FA29F7" w:rsidP="00A27AAA">
      <w:pPr>
        <w:numPr>
          <w:ilvl w:val="0"/>
          <w:numId w:val="62"/>
        </w:numPr>
        <w:jc w:val="both"/>
        <w:rPr>
          <w:rFonts w:asciiTheme="majorHAnsi" w:hAnsiTheme="majorHAnsi"/>
          <w:sz w:val="20"/>
          <w:szCs w:val="20"/>
        </w:rPr>
      </w:pPr>
      <w:hyperlink r:id="rId125" w:tgtFrame="_blank" w:history="1">
        <w:r w:rsidRPr="00A608EE">
          <w:rPr>
            <w:rStyle w:val="Hyperlink"/>
            <w:rFonts w:asciiTheme="majorHAnsi" w:hAnsiTheme="majorHAnsi"/>
            <w:sz w:val="20"/>
            <w:szCs w:val="20"/>
          </w:rPr>
          <w:t>Deconstructing Drop-Out Uncovering the reasons behind attrition among village-banking microfinance clients</w:t>
        </w:r>
      </w:hyperlink>
    </w:p>
    <w:p w14:paraId="5B854CD8" w14:textId="77777777" w:rsidR="00FA29F7" w:rsidRPr="00A608EE" w:rsidRDefault="00FA29F7" w:rsidP="00A27AAA">
      <w:pPr>
        <w:numPr>
          <w:ilvl w:val="0"/>
          <w:numId w:val="62"/>
        </w:numPr>
        <w:jc w:val="both"/>
        <w:rPr>
          <w:rFonts w:asciiTheme="majorHAnsi" w:hAnsiTheme="majorHAnsi"/>
          <w:sz w:val="20"/>
          <w:szCs w:val="20"/>
        </w:rPr>
      </w:pPr>
      <w:hyperlink r:id="rId126" w:tgtFrame="_blank" w:history="1">
        <w:r w:rsidRPr="00A608EE">
          <w:rPr>
            <w:rStyle w:val="Hyperlink"/>
            <w:rFonts w:asciiTheme="majorHAnsi" w:hAnsiTheme="majorHAnsi"/>
            <w:sz w:val="20"/>
            <w:szCs w:val="20"/>
          </w:rPr>
          <w:t>Al Majmoua Customer Satisfaction Survey</w:t>
        </w:r>
      </w:hyperlink>
    </w:p>
    <w:p w14:paraId="23E1E432" w14:textId="77777777" w:rsidR="00FA29F7" w:rsidRPr="00A608EE" w:rsidRDefault="00FA29F7" w:rsidP="00A27AAA">
      <w:pPr>
        <w:numPr>
          <w:ilvl w:val="0"/>
          <w:numId w:val="62"/>
        </w:numPr>
        <w:jc w:val="both"/>
        <w:rPr>
          <w:rFonts w:asciiTheme="majorHAnsi" w:hAnsiTheme="majorHAnsi"/>
          <w:sz w:val="20"/>
          <w:szCs w:val="20"/>
        </w:rPr>
      </w:pPr>
      <w:hyperlink r:id="rId127" w:tgtFrame="_blank" w:history="1">
        <w:r w:rsidRPr="00A608EE">
          <w:rPr>
            <w:rStyle w:val="Hyperlink"/>
            <w:rFonts w:asciiTheme="majorHAnsi" w:hAnsiTheme="majorHAnsi"/>
            <w:sz w:val="20"/>
            <w:szCs w:val="20"/>
          </w:rPr>
          <w:t>Al Majmoua Exit Survey</w:t>
        </w:r>
      </w:hyperlink>
    </w:p>
    <w:p w14:paraId="6F62E996" w14:textId="77777777" w:rsidR="00794B11" w:rsidRPr="00A608EE" w:rsidRDefault="00794B11" w:rsidP="00EE208A">
      <w:pPr>
        <w:jc w:val="both"/>
        <w:rPr>
          <w:rFonts w:asciiTheme="majorHAnsi" w:hAnsiTheme="majorHAnsi"/>
          <w:szCs w:val="20"/>
        </w:rPr>
      </w:pPr>
    </w:p>
    <w:p w14:paraId="6985F23D" w14:textId="77777777" w:rsidR="00BF72FA" w:rsidRPr="00A608EE" w:rsidRDefault="00BF72FA" w:rsidP="00EE208A">
      <w:pPr>
        <w:jc w:val="both"/>
        <w:rPr>
          <w:rFonts w:asciiTheme="majorHAnsi" w:hAnsiTheme="majorHAnsi"/>
          <w:szCs w:val="20"/>
        </w:rPr>
      </w:pPr>
    </w:p>
    <w:p w14:paraId="34E8963F" w14:textId="27B64A72" w:rsidR="009D1349" w:rsidRPr="00A608EE" w:rsidRDefault="009D1349" w:rsidP="00EE208A">
      <w:pPr>
        <w:pStyle w:val="Heading4"/>
        <w:spacing w:before="0" w:line="240" w:lineRule="auto"/>
        <w:jc w:val="both"/>
      </w:pPr>
      <w:r w:rsidRPr="00A608EE">
        <w:rPr>
          <w:rStyle w:val="text-primary"/>
        </w:rPr>
        <w:t>3.A.3.1</w:t>
      </w:r>
      <w:r w:rsidRPr="00A608EE">
        <w:t xml:space="preserve"> </w:t>
      </w:r>
      <w:r w:rsidR="00061F79" w:rsidRPr="00A608EE">
        <w:t>The provider conducts client satisfaction surveys. Minimum frequency: every other year.</w:t>
      </w:r>
    </w:p>
    <w:p w14:paraId="1941F7F8" w14:textId="77777777" w:rsidR="00752686" w:rsidRPr="00A608EE" w:rsidRDefault="00752686" w:rsidP="00EE208A">
      <w:pPr>
        <w:pStyle w:val="NormalWeb"/>
        <w:spacing w:before="0" w:beforeAutospacing="0" w:after="0" w:afterAutospacing="0"/>
        <w:jc w:val="both"/>
        <w:rPr>
          <w:rFonts w:asciiTheme="majorHAnsi" w:hAnsiTheme="majorHAnsi"/>
          <w:sz w:val="20"/>
          <w:szCs w:val="20"/>
        </w:rPr>
      </w:pPr>
    </w:p>
    <w:p w14:paraId="7C7C684B" w14:textId="32149E0A" w:rsidR="00BF72FA" w:rsidRPr="00A608EE" w:rsidRDefault="004F5FC3" w:rsidP="00EE208A">
      <w:pPr>
        <w:jc w:val="both"/>
        <w:rPr>
          <w:rFonts w:asciiTheme="majorHAnsi" w:hAnsiTheme="majorHAnsi"/>
          <w:b/>
          <w:bCs/>
          <w:color w:val="2145CC" w:themeColor="accent5" w:themeShade="BF"/>
          <w:sz w:val="20"/>
          <w:szCs w:val="20"/>
          <w:lang w:eastAsia="fr-FR"/>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BF72FA" w:rsidRPr="00A608EE">
        <w:rPr>
          <w:rFonts w:asciiTheme="majorHAnsi" w:hAnsiTheme="majorHAnsi"/>
          <w:b/>
          <w:bCs/>
          <w:color w:val="2145CC" w:themeColor="accent5" w:themeShade="BF"/>
          <w:sz w:val="20"/>
          <w:szCs w:val="20"/>
          <w:lang w:eastAsia="fr-FR"/>
        </w:rPr>
        <w:t>ALINUS</w:t>
      </w:r>
      <w:r w:rsidR="00440024" w:rsidRPr="00A608EE">
        <w:rPr>
          <w:rFonts w:asciiTheme="majorHAnsi" w:hAnsiTheme="majorHAnsi" w:cs="Calibri Light"/>
          <w:b/>
          <w:bCs/>
          <w:color w:val="2145CC" w:themeColor="accent5" w:themeShade="BF"/>
          <w:sz w:val="20"/>
          <w:szCs w:val="20"/>
        </w:rPr>
        <w:t xml:space="preserve"> </w:t>
      </w:r>
      <w:r w:rsidR="00440024" w:rsidRPr="00A608EE">
        <w:rPr>
          <w:rFonts w:asciiTheme="majorHAnsi" w:hAnsiTheme="majorHAnsi"/>
          <w:b/>
          <w:bCs/>
          <w:color w:val="2145CC" w:themeColor="accent5" w:themeShade="BF"/>
          <w:sz w:val="20"/>
          <w:szCs w:val="20"/>
        </w:rPr>
        <w:t xml:space="preserve">| </w:t>
      </w:r>
      <w:r w:rsidR="00BF72FA" w:rsidRPr="00A608EE">
        <w:rPr>
          <w:rFonts w:asciiTheme="majorHAnsi" w:hAnsiTheme="majorHAnsi"/>
          <w:b/>
          <w:bCs/>
          <w:color w:val="2145CC" w:themeColor="accent5" w:themeShade="BF"/>
          <w:sz w:val="20"/>
          <w:szCs w:val="20"/>
          <w:lang w:eastAsia="fr-FR"/>
        </w:rPr>
        <w:t xml:space="preserve">SPI5 Entry </w:t>
      </w:r>
      <w:r w:rsidR="003452E4" w:rsidRPr="00A608EE">
        <w:rPr>
          <w:rFonts w:asciiTheme="majorHAnsi" w:hAnsiTheme="majorHAnsi"/>
          <w:b/>
          <w:bCs/>
          <w:color w:val="2145CC" w:themeColor="accent5" w:themeShade="BF"/>
          <w:sz w:val="20"/>
          <w:szCs w:val="20"/>
          <w:lang w:eastAsia="fr-FR"/>
        </w:rPr>
        <w:t>|</w:t>
      </w:r>
      <w:r w:rsidR="00BF72FA" w:rsidRPr="00A608EE">
        <w:rPr>
          <w:rFonts w:asciiTheme="majorHAnsi" w:hAnsiTheme="majorHAnsi"/>
          <w:b/>
          <w:bCs/>
          <w:color w:val="2145CC" w:themeColor="accent5" w:themeShade="BF"/>
          <w:sz w:val="20"/>
          <w:szCs w:val="20"/>
          <w:lang w:eastAsia="fr-FR"/>
        </w:rPr>
        <w:t xml:space="preserve"> SPI5 Full</w:t>
      </w:r>
      <w:r w:rsidR="003452E4" w:rsidRPr="00A608EE">
        <w:rPr>
          <w:rFonts w:asciiTheme="majorHAnsi" w:hAnsiTheme="majorHAnsi"/>
          <w:b/>
          <w:bCs/>
          <w:color w:val="2145CC" w:themeColor="accent5" w:themeShade="BF"/>
          <w:sz w:val="20"/>
          <w:szCs w:val="20"/>
          <w:lang w:eastAsia="fr-FR"/>
        </w:rPr>
        <w:t xml:space="preserve"> |</w:t>
      </w:r>
      <w:r w:rsidR="00BF72FA" w:rsidRPr="00A608EE">
        <w:rPr>
          <w:rFonts w:asciiTheme="majorHAnsi" w:hAnsiTheme="majorHAnsi"/>
          <w:b/>
          <w:bCs/>
          <w:color w:val="2145CC" w:themeColor="accent5" w:themeShade="BF"/>
          <w:sz w:val="20"/>
          <w:szCs w:val="20"/>
          <w:lang w:eastAsia="fr-FR"/>
        </w:rPr>
        <w:t xml:space="preserve"> CP </w:t>
      </w:r>
      <w:r w:rsidR="003452E4" w:rsidRPr="00A608EE">
        <w:rPr>
          <w:rFonts w:asciiTheme="majorHAnsi" w:hAnsiTheme="majorHAnsi"/>
          <w:b/>
          <w:bCs/>
          <w:color w:val="2145CC" w:themeColor="accent5" w:themeShade="BF"/>
          <w:sz w:val="20"/>
          <w:szCs w:val="20"/>
          <w:lang w:eastAsia="fr-FR"/>
        </w:rPr>
        <w:t>Commit</w:t>
      </w:r>
      <w:r w:rsidR="00BF72FA" w:rsidRPr="00A608EE">
        <w:rPr>
          <w:rFonts w:asciiTheme="majorHAnsi" w:hAnsiTheme="majorHAnsi"/>
          <w:b/>
          <w:bCs/>
          <w:color w:val="2145CC" w:themeColor="accent5" w:themeShade="BF"/>
          <w:sz w:val="20"/>
          <w:szCs w:val="20"/>
          <w:lang w:eastAsia="fr-FR"/>
        </w:rPr>
        <w:t xml:space="preserve"> </w:t>
      </w:r>
      <w:r w:rsidR="003452E4" w:rsidRPr="00A608EE">
        <w:rPr>
          <w:rFonts w:asciiTheme="majorHAnsi" w:hAnsiTheme="majorHAnsi"/>
          <w:b/>
          <w:bCs/>
          <w:color w:val="2145CC" w:themeColor="accent5" w:themeShade="BF"/>
          <w:sz w:val="20"/>
          <w:szCs w:val="20"/>
          <w:lang w:eastAsia="fr-FR"/>
        </w:rPr>
        <w:t xml:space="preserve">| </w:t>
      </w:r>
      <w:r w:rsidR="00BF72FA" w:rsidRPr="00A608EE">
        <w:rPr>
          <w:rFonts w:asciiTheme="majorHAnsi" w:hAnsiTheme="majorHAnsi"/>
          <w:b/>
          <w:bCs/>
          <w:color w:val="2145CC" w:themeColor="accent5" w:themeShade="BF"/>
          <w:sz w:val="20"/>
          <w:szCs w:val="20"/>
          <w:lang w:eastAsia="fr-FR"/>
        </w:rPr>
        <w:t xml:space="preserve">CP </w:t>
      </w:r>
      <w:r w:rsidR="003452E4" w:rsidRPr="00A608EE">
        <w:rPr>
          <w:rFonts w:asciiTheme="majorHAnsi" w:hAnsiTheme="majorHAnsi"/>
          <w:b/>
          <w:bCs/>
          <w:color w:val="2145CC" w:themeColor="accent5" w:themeShade="BF"/>
          <w:sz w:val="20"/>
          <w:szCs w:val="20"/>
          <w:lang w:eastAsia="fr-FR"/>
        </w:rPr>
        <w:t xml:space="preserve">Full – </w:t>
      </w:r>
      <w:r w:rsidR="00BF72FA" w:rsidRPr="00A608EE">
        <w:rPr>
          <w:rFonts w:asciiTheme="majorHAnsi" w:hAnsiTheme="majorHAnsi"/>
          <w:b/>
          <w:bCs/>
          <w:color w:val="2145CC" w:themeColor="accent5" w:themeShade="BF"/>
          <w:sz w:val="20"/>
          <w:szCs w:val="20"/>
          <w:lang w:eastAsia="fr-FR"/>
        </w:rPr>
        <w:t>Progress CP</w:t>
      </w:r>
      <w:r w:rsidR="004A48FF" w:rsidRPr="00A608EE">
        <w:rPr>
          <w:rFonts w:asciiTheme="majorHAnsi" w:hAnsiTheme="majorHAnsi"/>
          <w:b/>
          <w:bCs/>
          <w:color w:val="2145CC" w:themeColor="accent5" w:themeShade="BF"/>
          <w:sz w:val="20"/>
          <w:szCs w:val="20"/>
          <w:lang w:eastAsia="fr-FR"/>
        </w:rPr>
        <w:t xml:space="preserve"> </w:t>
      </w:r>
      <w:r w:rsidR="004A48FF" w:rsidRPr="00A608EE">
        <w:rPr>
          <w:rFonts w:ascii="Work Sans" w:hAnsi="Work Sans"/>
          <w:b/>
          <w:bCs/>
          <w:color w:val="2145CC" w:themeColor="accent5" w:themeShade="BF"/>
          <w:sz w:val="20"/>
          <w:szCs w:val="20"/>
        </w:rPr>
        <w:t>| DI Focus</w:t>
      </w:r>
    </w:p>
    <w:p w14:paraId="27270E01" w14:textId="4E98E89C" w:rsidR="00440024" w:rsidRPr="00A608EE" w:rsidRDefault="00BF1F42"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2E8D2BBB" w14:textId="77777777" w:rsidR="004133B9" w:rsidRPr="00A608EE" w:rsidRDefault="004133B9" w:rsidP="00EE208A">
      <w:pPr>
        <w:jc w:val="both"/>
        <w:rPr>
          <w:rFonts w:asciiTheme="majorHAnsi" w:hAnsiTheme="majorHAnsi"/>
          <w:sz w:val="20"/>
          <w:szCs w:val="20"/>
          <w:lang w:eastAsia="fr-FR"/>
        </w:rPr>
      </w:pPr>
      <w:r w:rsidRPr="00A608EE">
        <w:rPr>
          <w:rFonts w:asciiTheme="majorHAnsi" w:hAnsiTheme="majorHAnsi"/>
          <w:sz w:val="20"/>
          <w:szCs w:val="20"/>
          <w:lang w:eastAsia="fr-FR"/>
        </w:rPr>
        <w:t>Regular client feedback is essential for making sure products meet client needs. Complaints reports are not sufficient. Satisfaction surveys or other systematic ways of collecting feedback provide insight into how products are actually used, perceived and appreciated by clients. These insights serve to design appropriate products. Examples of other systematic means of gathering feedback include client focus group discussions, or meetings between clients and employees to discuss client satisfaction.</w:t>
      </w:r>
    </w:p>
    <w:p w14:paraId="029CB482" w14:textId="7EE65FFB" w:rsidR="00BF1F42" w:rsidRPr="00A608EE" w:rsidRDefault="004133B9" w:rsidP="00EE208A">
      <w:pPr>
        <w:jc w:val="both"/>
        <w:rPr>
          <w:rFonts w:asciiTheme="majorHAnsi" w:hAnsiTheme="majorHAnsi"/>
          <w:sz w:val="20"/>
          <w:szCs w:val="20"/>
          <w:lang w:eastAsia="fr-FR"/>
        </w:rPr>
      </w:pPr>
      <w:r w:rsidRPr="00A608EE">
        <w:rPr>
          <w:rFonts w:asciiTheme="majorHAnsi" w:hAnsiTheme="majorHAnsi"/>
          <w:sz w:val="20"/>
          <w:szCs w:val="20"/>
          <w:lang w:eastAsia="fr-FR"/>
        </w:rPr>
        <w:t>If the survey focuses on specific products, the sample may be focused only on the users of these products. For general satisfaction surveys, a representative sample should be used.</w:t>
      </w:r>
    </w:p>
    <w:p w14:paraId="09963684" w14:textId="77777777" w:rsidR="00672763" w:rsidRPr="00A608EE" w:rsidRDefault="00672763" w:rsidP="00EE208A">
      <w:pPr>
        <w:jc w:val="both"/>
        <w:rPr>
          <w:rFonts w:asciiTheme="majorHAnsi" w:hAnsiTheme="majorHAnsi"/>
          <w:sz w:val="20"/>
          <w:szCs w:val="20"/>
          <w:lang w:eastAsia="fr-FR"/>
        </w:rPr>
      </w:pPr>
    </w:p>
    <w:p w14:paraId="5676B0E0"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26176" behindDoc="1" locked="0" layoutInCell="1" allowOverlap="1" wp14:anchorId="226C59CB" wp14:editId="619355CD">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14138845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19544A2" w14:textId="77777777" w:rsidR="00672763" w:rsidRPr="00A608EE" w:rsidRDefault="00672763" w:rsidP="00EE208A">
      <w:pPr>
        <w:jc w:val="both"/>
        <w:rPr>
          <w:rFonts w:asciiTheme="majorHAnsi" w:hAnsiTheme="majorHAnsi"/>
          <w:sz w:val="20"/>
          <w:szCs w:val="20"/>
          <w:lang w:eastAsia="fr-FR"/>
        </w:rPr>
      </w:pPr>
    </w:p>
    <w:p w14:paraId="003D6A70" w14:textId="3BE4A174" w:rsidR="004A1E7D" w:rsidRPr="00A608EE" w:rsidRDefault="004A1E7D" w:rsidP="004A1E7D">
      <w:pPr>
        <w:rPr>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Pr="00A608EE">
        <w:rPr>
          <w:rFonts w:asciiTheme="majorHAnsi" w:hAnsiTheme="majorHAnsi"/>
          <w:sz w:val="20"/>
          <w:szCs w:val="20"/>
          <w:lang w:eastAsia="fr-FR"/>
        </w:rPr>
        <w:t>The provider conducts client satisfaction surveys with clients with disabilities using accessible channels. Minimum frequency: every other year.</w:t>
      </w:r>
    </w:p>
    <w:p w14:paraId="5BC6651C" w14:textId="3628F62A" w:rsidR="005F4278" w:rsidRPr="00A608EE" w:rsidRDefault="00E55C95" w:rsidP="004A1E7D">
      <w:pPr>
        <w:pStyle w:val="paragraph"/>
        <w:spacing w:before="120" w:beforeAutospacing="0" w:after="120" w:afterAutospacing="0"/>
        <w:jc w:val="both"/>
        <w:textAlignment w:val="baseline"/>
        <w:rPr>
          <w:rFonts w:asciiTheme="majorHAnsi" w:hAnsiTheme="majorHAnsi"/>
          <w:sz w:val="20"/>
          <w:szCs w:val="20"/>
        </w:rPr>
      </w:pPr>
      <w:r w:rsidRPr="00A608EE">
        <w:rPr>
          <w:noProof/>
        </w:rPr>
        <w:lastRenderedPageBreak/>
        <mc:AlternateContent>
          <mc:Choice Requires="wps">
            <w:drawing>
              <wp:inline distT="0" distB="0" distL="0" distR="0" wp14:anchorId="4FB9F94A" wp14:editId="1174C78C">
                <wp:extent cx="1828800" cy="2794000"/>
                <wp:effectExtent l="0" t="0" r="11430" b="12700"/>
                <wp:docPr id="144679412" name="Cuadro de texto 1"/>
                <wp:cNvGraphicFramePr/>
                <a:graphic xmlns:a="http://schemas.openxmlformats.org/drawingml/2006/main">
                  <a:graphicData uri="http://schemas.microsoft.com/office/word/2010/wordprocessingShape">
                    <wps:wsp>
                      <wps:cNvSpPr txBox="1"/>
                      <wps:spPr>
                        <a:xfrm>
                          <a:off x="0" y="0"/>
                          <a:ext cx="1828800" cy="2794000"/>
                        </a:xfrm>
                        <a:prstGeom prst="rect">
                          <a:avLst/>
                        </a:prstGeom>
                        <a:noFill/>
                        <a:ln w="6350">
                          <a:solidFill>
                            <a:prstClr val="black"/>
                          </a:solidFill>
                        </a:ln>
                      </wps:spPr>
                      <wps:txbx>
                        <w:txbxContent>
                          <w:p w14:paraId="2F28A1F1" w14:textId="5653D595" w:rsidR="00BF1F42" w:rsidRPr="00820B09" w:rsidRDefault="00EB123D" w:rsidP="00BF1F42">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BF1F42" w:rsidRPr="00820B09">
                              <w:rPr>
                                <w:rFonts w:asciiTheme="majorHAnsi" w:hAnsiTheme="majorHAnsi"/>
                                <w:b/>
                                <w:bCs/>
                                <w:sz w:val="20"/>
                                <w:szCs w:val="20"/>
                                <w:lang w:eastAsia="fr-FR"/>
                              </w:rPr>
                              <w:t xml:space="preserve">. 3.A.3.1 </w:t>
                            </w:r>
                          </w:p>
                          <w:p w14:paraId="54BBAC5F" w14:textId="77777777" w:rsidR="00BF1F42" w:rsidRPr="00820B09" w:rsidRDefault="00BF1F42" w:rsidP="00BF1F42">
                            <w:pPr>
                              <w:jc w:val="both"/>
                              <w:rPr>
                                <w:rFonts w:asciiTheme="majorHAnsi" w:hAnsiTheme="majorHAnsi"/>
                                <w:sz w:val="20"/>
                                <w:szCs w:val="20"/>
                                <w:lang w:eastAsia="fr-FR"/>
                              </w:rPr>
                            </w:pPr>
                          </w:p>
                          <w:p w14:paraId="5AC766AD" w14:textId="77777777" w:rsidR="0000528A" w:rsidRPr="00820B09" w:rsidRDefault="00A55504" w:rsidP="00BF1F42">
                            <w:pPr>
                              <w:jc w:val="both"/>
                              <w:rPr>
                                <w:rFonts w:asciiTheme="majorHAnsi" w:hAnsiTheme="majorHAnsi"/>
                                <w:sz w:val="20"/>
                                <w:szCs w:val="20"/>
                                <w:lang w:eastAsia="fr-FR"/>
                              </w:rPr>
                            </w:pPr>
                            <w:r w:rsidRPr="00820B09">
                              <w:rPr>
                                <w:rFonts w:asciiTheme="majorHAnsi" w:hAnsiTheme="majorHAnsi"/>
                                <w:sz w:val="20"/>
                                <w:szCs w:val="20"/>
                                <w:lang w:eastAsia="fr-FR"/>
                              </w:rPr>
                              <w:t xml:space="preserve">The provider’s client satisfaction surveys should include clients with disabilities </w:t>
                            </w:r>
                            <w:r w:rsidR="0000528A" w:rsidRPr="00820B09">
                              <w:rPr>
                                <w:rFonts w:asciiTheme="majorHAnsi" w:hAnsiTheme="majorHAnsi"/>
                                <w:sz w:val="20"/>
                                <w:szCs w:val="20"/>
                                <w:lang w:eastAsia="fr-FR"/>
                              </w:rPr>
                              <w:t>with</w:t>
                            </w:r>
                            <w:r w:rsidRPr="00820B09">
                              <w:rPr>
                                <w:rFonts w:asciiTheme="majorHAnsi" w:hAnsiTheme="majorHAnsi"/>
                                <w:sz w:val="20"/>
                                <w:szCs w:val="20"/>
                                <w:lang w:eastAsia="fr-FR"/>
                              </w:rPr>
                              <w:t xml:space="preserve">in the sample population. Ensure data collection methods are accessible </w:t>
                            </w:r>
                            <w:r w:rsidR="0000528A" w:rsidRPr="00820B09">
                              <w:rPr>
                                <w:rFonts w:asciiTheme="majorHAnsi" w:hAnsiTheme="majorHAnsi"/>
                                <w:sz w:val="20"/>
                                <w:szCs w:val="20"/>
                                <w:lang w:eastAsia="fr-FR"/>
                              </w:rPr>
                              <w:t xml:space="preserve">for clients with disabilities, and that staff carrying out surveys receive training on communication with persons with different types of impairments. </w:t>
                            </w:r>
                            <w:r w:rsidRPr="00820B09">
                              <w:rPr>
                                <w:rFonts w:asciiTheme="majorHAnsi" w:hAnsiTheme="majorHAnsi"/>
                                <w:sz w:val="20"/>
                                <w:szCs w:val="20"/>
                                <w:lang w:eastAsia="fr-FR"/>
                              </w:rPr>
                              <w:t xml:space="preserve">with disabilities. </w:t>
                            </w:r>
                          </w:p>
                          <w:p w14:paraId="5C6146C0" w14:textId="77777777" w:rsidR="0000528A" w:rsidRPr="00820B09" w:rsidRDefault="0000528A" w:rsidP="00BF1F42">
                            <w:pPr>
                              <w:jc w:val="both"/>
                              <w:rPr>
                                <w:rFonts w:asciiTheme="majorHAnsi" w:hAnsiTheme="majorHAnsi"/>
                                <w:sz w:val="20"/>
                                <w:szCs w:val="20"/>
                                <w:lang w:eastAsia="fr-FR"/>
                              </w:rPr>
                            </w:pPr>
                          </w:p>
                          <w:p w14:paraId="6F2C27B3" w14:textId="4E73F604" w:rsidR="00A55504" w:rsidRPr="00820B09" w:rsidRDefault="0000528A" w:rsidP="00BF1F42">
                            <w:pPr>
                              <w:jc w:val="both"/>
                              <w:rPr>
                                <w:rFonts w:asciiTheme="majorHAnsi" w:hAnsiTheme="majorHAnsi"/>
                                <w:sz w:val="20"/>
                                <w:szCs w:val="20"/>
                                <w:lang w:eastAsia="fr-FR"/>
                              </w:rPr>
                            </w:pPr>
                            <w:r w:rsidRPr="00820B09">
                              <w:rPr>
                                <w:rFonts w:asciiTheme="majorHAnsi" w:hAnsiTheme="majorHAnsi"/>
                                <w:sz w:val="20"/>
                                <w:szCs w:val="20"/>
                                <w:lang w:eastAsia="fr-FR"/>
                              </w:rPr>
                              <w:t>In the survey, collect data on disability status from clients on a voluntary and confidential basis. Carry out disability-d</w:t>
                            </w:r>
                            <w:r w:rsidR="00A55504" w:rsidRPr="00820B09">
                              <w:rPr>
                                <w:rFonts w:asciiTheme="majorHAnsi" w:hAnsiTheme="majorHAnsi"/>
                                <w:sz w:val="20"/>
                                <w:szCs w:val="20"/>
                                <w:lang w:eastAsia="fr-FR"/>
                              </w:rPr>
                              <w:t>isaggregate</w:t>
                            </w:r>
                            <w:r w:rsidRPr="00820B09">
                              <w:rPr>
                                <w:rFonts w:asciiTheme="majorHAnsi" w:hAnsiTheme="majorHAnsi"/>
                                <w:sz w:val="20"/>
                                <w:szCs w:val="20"/>
                                <w:lang w:eastAsia="fr-FR"/>
                              </w:rPr>
                              <w:t>d data analysis</w:t>
                            </w:r>
                            <w:r w:rsidR="00A55504"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of </w:t>
                            </w:r>
                            <w:r w:rsidR="00A55504" w:rsidRPr="00820B09">
                              <w:rPr>
                                <w:rFonts w:asciiTheme="majorHAnsi" w:hAnsiTheme="majorHAnsi"/>
                                <w:sz w:val="20"/>
                                <w:szCs w:val="20"/>
                                <w:lang w:eastAsia="fr-FR"/>
                              </w:rPr>
                              <w:t xml:space="preserve">responses </w:t>
                            </w:r>
                            <w:r w:rsidRPr="00820B09">
                              <w:rPr>
                                <w:rFonts w:asciiTheme="majorHAnsi" w:hAnsiTheme="majorHAnsi"/>
                                <w:sz w:val="20"/>
                                <w:szCs w:val="20"/>
                                <w:lang w:eastAsia="fr-FR"/>
                              </w:rPr>
                              <w:t xml:space="preserve">to identify specific insights on how </w:t>
                            </w:r>
                            <w:r w:rsidR="00A55504" w:rsidRPr="00820B09">
                              <w:rPr>
                                <w:rFonts w:asciiTheme="majorHAnsi" w:hAnsiTheme="majorHAnsi"/>
                                <w:sz w:val="20"/>
                                <w:szCs w:val="20"/>
                                <w:lang w:eastAsia="fr-FR"/>
                              </w:rPr>
                              <w:t>clients with disabilities</w:t>
                            </w:r>
                            <w:r w:rsidRPr="00820B09">
                              <w:rPr>
                                <w:rFonts w:asciiTheme="majorHAnsi" w:hAnsiTheme="majorHAnsi"/>
                                <w:sz w:val="20"/>
                                <w:szCs w:val="20"/>
                                <w:lang w:eastAsia="fr-FR"/>
                              </w:rPr>
                              <w:t xml:space="preserve"> use and perceive products and services, as well as barriers or unmet needs, to identify ways to better serve their needs. Carry out disaggregated data analysis by gender, age and disability to identify intersectional factors. Analyze data by types of functional impairments, where possible, to </w:t>
                            </w:r>
                            <w:r w:rsidR="00E55C95" w:rsidRPr="00820B09">
                              <w:rPr>
                                <w:rFonts w:asciiTheme="majorHAnsi" w:hAnsiTheme="majorHAnsi"/>
                                <w:sz w:val="20"/>
                                <w:szCs w:val="20"/>
                                <w:lang w:eastAsia="fr-FR"/>
                              </w:rPr>
                              <w:t>identify factors that impact particular groups</w:t>
                            </w:r>
                            <w:r w:rsidR="00A7331B" w:rsidRPr="00820B09">
                              <w:rPr>
                                <w:rFonts w:asciiTheme="majorHAnsi" w:hAnsiTheme="majorHAnsi"/>
                                <w:sz w:val="20"/>
                                <w:szCs w:val="20"/>
                                <w:lang w:eastAsia="fr-FR"/>
                              </w:rPr>
                              <w:t xml:space="preserve"> (see indicator 1.B.1.3)</w:t>
                            </w:r>
                            <w:r w:rsidR="00E55C95" w:rsidRPr="00820B09">
                              <w:rPr>
                                <w:rFonts w:asciiTheme="majorHAnsi" w:hAnsiTheme="majorHAnsi"/>
                                <w:sz w:val="20"/>
                                <w:szCs w:val="20"/>
                                <w:lang w:eastAsia="fr-FR"/>
                              </w:rPr>
                              <w:t>.</w:t>
                            </w:r>
                            <w:r w:rsidRPr="00820B09">
                              <w:rPr>
                                <w:rFonts w:asciiTheme="majorHAnsi" w:hAnsiTheme="majorHAnsi"/>
                                <w:sz w:val="20"/>
                                <w:szCs w:val="20"/>
                                <w:lang w:eastAsia="fr-FR"/>
                              </w:rPr>
                              <w:t xml:space="preserve"> </w:t>
                            </w:r>
                          </w:p>
                          <w:p w14:paraId="6F0F8008" w14:textId="77777777" w:rsidR="00A55504" w:rsidRPr="00820B09" w:rsidRDefault="00A55504" w:rsidP="00BF1F42">
                            <w:pPr>
                              <w:jc w:val="both"/>
                              <w:rPr>
                                <w:rFonts w:asciiTheme="majorHAnsi" w:hAnsiTheme="majorHAnsi"/>
                                <w:sz w:val="20"/>
                                <w:szCs w:val="20"/>
                                <w:lang w:eastAsia="fr-FR"/>
                              </w:rPr>
                            </w:pPr>
                          </w:p>
                          <w:p w14:paraId="66039067" w14:textId="0F091EAE" w:rsidR="00BF1F42" w:rsidRPr="00820B09" w:rsidRDefault="0000528A" w:rsidP="00BF1F42">
                            <w:pPr>
                              <w:jc w:val="both"/>
                              <w:rPr>
                                <w:rFonts w:asciiTheme="majorHAnsi" w:hAnsiTheme="majorHAnsi"/>
                                <w:sz w:val="20"/>
                                <w:szCs w:val="20"/>
                                <w:lang w:eastAsia="fr-FR"/>
                              </w:rPr>
                            </w:pPr>
                            <w:r w:rsidRPr="00820B09">
                              <w:rPr>
                                <w:rFonts w:asciiTheme="majorHAnsi" w:hAnsiTheme="majorHAnsi"/>
                                <w:sz w:val="20"/>
                                <w:szCs w:val="20"/>
                                <w:lang w:eastAsia="fr-FR"/>
                              </w:rPr>
                              <w:t xml:space="preserve">Surveys should include questions for all respondents on accessibility of products, services and delivery channels, and the extent to which clients can use products and services independently and safely.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FB9F94A" id="Cuadro de texto 1" o:spid="_x0000_s1040" type="#_x0000_t202" style="width:2in;height:220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" filled="f" strokeweight=".5pt">
                <v:textbox>
                  <w:txbxContent>
                    <w:p w14:paraId="2F28A1F1" w14:textId="5653D595" w:rsidR="00BF1F42" w:rsidRPr="00820B09" w:rsidRDefault="00EB123D" w:rsidP="00BF1F42">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BF1F42" w:rsidRPr="00820B09">
                        <w:rPr>
                          <w:rFonts w:asciiTheme="majorHAnsi" w:hAnsiTheme="majorHAnsi"/>
                          <w:b/>
                          <w:bCs/>
                          <w:sz w:val="20"/>
                          <w:szCs w:val="20"/>
                          <w:lang w:eastAsia="fr-FR"/>
                        </w:rPr>
                        <w:t xml:space="preserve">. 3.A.3.1 </w:t>
                      </w:r>
                    </w:p>
                    <w:p w14:paraId="54BBAC5F" w14:textId="77777777" w:rsidR="00BF1F42" w:rsidRPr="00820B09" w:rsidRDefault="00BF1F42" w:rsidP="00BF1F42">
                      <w:pPr>
                        <w:jc w:val="both"/>
                        <w:rPr>
                          <w:rFonts w:asciiTheme="majorHAnsi" w:hAnsiTheme="majorHAnsi"/>
                          <w:sz w:val="20"/>
                          <w:szCs w:val="20"/>
                          <w:lang w:eastAsia="fr-FR"/>
                        </w:rPr>
                      </w:pPr>
                    </w:p>
                    <w:p w14:paraId="5AC766AD" w14:textId="77777777" w:rsidR="0000528A" w:rsidRPr="00820B09" w:rsidRDefault="00A55504" w:rsidP="00BF1F42">
                      <w:pPr>
                        <w:jc w:val="both"/>
                        <w:rPr>
                          <w:rFonts w:asciiTheme="majorHAnsi" w:hAnsiTheme="majorHAnsi"/>
                          <w:sz w:val="20"/>
                          <w:szCs w:val="20"/>
                          <w:lang w:eastAsia="fr-FR"/>
                        </w:rPr>
                      </w:pPr>
                      <w:r w:rsidRPr="00820B09">
                        <w:rPr>
                          <w:rFonts w:asciiTheme="majorHAnsi" w:hAnsiTheme="majorHAnsi"/>
                          <w:sz w:val="20"/>
                          <w:szCs w:val="20"/>
                          <w:lang w:eastAsia="fr-FR"/>
                        </w:rPr>
                        <w:t xml:space="preserve">The provider’s client satisfaction surveys should include clients with disabilities </w:t>
                      </w:r>
                      <w:r w:rsidR="0000528A" w:rsidRPr="00820B09">
                        <w:rPr>
                          <w:rFonts w:asciiTheme="majorHAnsi" w:hAnsiTheme="majorHAnsi"/>
                          <w:sz w:val="20"/>
                          <w:szCs w:val="20"/>
                          <w:lang w:eastAsia="fr-FR"/>
                        </w:rPr>
                        <w:t>with</w:t>
                      </w:r>
                      <w:r w:rsidRPr="00820B09">
                        <w:rPr>
                          <w:rFonts w:asciiTheme="majorHAnsi" w:hAnsiTheme="majorHAnsi"/>
                          <w:sz w:val="20"/>
                          <w:szCs w:val="20"/>
                          <w:lang w:eastAsia="fr-FR"/>
                        </w:rPr>
                        <w:t xml:space="preserve">in the sample population. Ensure data collection methods are accessible </w:t>
                      </w:r>
                      <w:r w:rsidR="0000528A" w:rsidRPr="00820B09">
                        <w:rPr>
                          <w:rFonts w:asciiTheme="majorHAnsi" w:hAnsiTheme="majorHAnsi"/>
                          <w:sz w:val="20"/>
                          <w:szCs w:val="20"/>
                          <w:lang w:eastAsia="fr-FR"/>
                        </w:rPr>
                        <w:t xml:space="preserve">for clients with disabilities, and that staff carrying out surveys receive training on communication with persons with different types of impairments. </w:t>
                      </w:r>
                      <w:r w:rsidRPr="00820B09">
                        <w:rPr>
                          <w:rFonts w:asciiTheme="majorHAnsi" w:hAnsiTheme="majorHAnsi"/>
                          <w:sz w:val="20"/>
                          <w:szCs w:val="20"/>
                          <w:lang w:eastAsia="fr-FR"/>
                        </w:rPr>
                        <w:t xml:space="preserve">with disabilities. </w:t>
                      </w:r>
                    </w:p>
                    <w:p w14:paraId="5C6146C0" w14:textId="77777777" w:rsidR="0000528A" w:rsidRPr="00820B09" w:rsidRDefault="0000528A" w:rsidP="00BF1F42">
                      <w:pPr>
                        <w:jc w:val="both"/>
                        <w:rPr>
                          <w:rFonts w:asciiTheme="majorHAnsi" w:hAnsiTheme="majorHAnsi"/>
                          <w:sz w:val="20"/>
                          <w:szCs w:val="20"/>
                          <w:lang w:eastAsia="fr-FR"/>
                        </w:rPr>
                      </w:pPr>
                    </w:p>
                    <w:p w14:paraId="6F2C27B3" w14:textId="4E73F604" w:rsidR="00A55504" w:rsidRPr="00820B09" w:rsidRDefault="0000528A" w:rsidP="00BF1F42">
                      <w:pPr>
                        <w:jc w:val="both"/>
                        <w:rPr>
                          <w:rFonts w:asciiTheme="majorHAnsi" w:hAnsiTheme="majorHAnsi"/>
                          <w:sz w:val="20"/>
                          <w:szCs w:val="20"/>
                          <w:lang w:eastAsia="fr-FR"/>
                        </w:rPr>
                      </w:pPr>
                      <w:r w:rsidRPr="00820B09">
                        <w:rPr>
                          <w:rFonts w:asciiTheme="majorHAnsi" w:hAnsiTheme="majorHAnsi"/>
                          <w:sz w:val="20"/>
                          <w:szCs w:val="20"/>
                          <w:lang w:eastAsia="fr-FR"/>
                        </w:rPr>
                        <w:t>In the survey, collect data on disability status from clients on a voluntary and confidential basis. Carry out disability-d</w:t>
                      </w:r>
                      <w:r w:rsidR="00A55504" w:rsidRPr="00820B09">
                        <w:rPr>
                          <w:rFonts w:asciiTheme="majorHAnsi" w:hAnsiTheme="majorHAnsi"/>
                          <w:sz w:val="20"/>
                          <w:szCs w:val="20"/>
                          <w:lang w:eastAsia="fr-FR"/>
                        </w:rPr>
                        <w:t>isaggregate</w:t>
                      </w:r>
                      <w:r w:rsidRPr="00820B09">
                        <w:rPr>
                          <w:rFonts w:asciiTheme="majorHAnsi" w:hAnsiTheme="majorHAnsi"/>
                          <w:sz w:val="20"/>
                          <w:szCs w:val="20"/>
                          <w:lang w:eastAsia="fr-FR"/>
                        </w:rPr>
                        <w:t>d data analysis</w:t>
                      </w:r>
                      <w:r w:rsidR="00A55504"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of </w:t>
                      </w:r>
                      <w:r w:rsidR="00A55504" w:rsidRPr="00820B09">
                        <w:rPr>
                          <w:rFonts w:asciiTheme="majorHAnsi" w:hAnsiTheme="majorHAnsi"/>
                          <w:sz w:val="20"/>
                          <w:szCs w:val="20"/>
                          <w:lang w:eastAsia="fr-FR"/>
                        </w:rPr>
                        <w:t xml:space="preserve">responses </w:t>
                      </w:r>
                      <w:r w:rsidRPr="00820B09">
                        <w:rPr>
                          <w:rFonts w:asciiTheme="majorHAnsi" w:hAnsiTheme="majorHAnsi"/>
                          <w:sz w:val="20"/>
                          <w:szCs w:val="20"/>
                          <w:lang w:eastAsia="fr-FR"/>
                        </w:rPr>
                        <w:t xml:space="preserve">to identify specific insights on how </w:t>
                      </w:r>
                      <w:r w:rsidR="00A55504" w:rsidRPr="00820B09">
                        <w:rPr>
                          <w:rFonts w:asciiTheme="majorHAnsi" w:hAnsiTheme="majorHAnsi"/>
                          <w:sz w:val="20"/>
                          <w:szCs w:val="20"/>
                          <w:lang w:eastAsia="fr-FR"/>
                        </w:rPr>
                        <w:t>clients with disabilities</w:t>
                      </w:r>
                      <w:r w:rsidRPr="00820B09">
                        <w:rPr>
                          <w:rFonts w:asciiTheme="majorHAnsi" w:hAnsiTheme="majorHAnsi"/>
                          <w:sz w:val="20"/>
                          <w:szCs w:val="20"/>
                          <w:lang w:eastAsia="fr-FR"/>
                        </w:rPr>
                        <w:t xml:space="preserve"> use and perceive products and services, as well as barriers or unmet needs, to identify ways to better serve their needs. Carry out disaggregated data analysis by gender, age and disability to identify intersectional factors. Analyze data by types of functional impairments, where possible, to </w:t>
                      </w:r>
                      <w:r w:rsidR="00E55C95" w:rsidRPr="00820B09">
                        <w:rPr>
                          <w:rFonts w:asciiTheme="majorHAnsi" w:hAnsiTheme="majorHAnsi"/>
                          <w:sz w:val="20"/>
                          <w:szCs w:val="20"/>
                          <w:lang w:eastAsia="fr-FR"/>
                        </w:rPr>
                        <w:t>identify factors that impact particular groups</w:t>
                      </w:r>
                      <w:r w:rsidR="00A7331B" w:rsidRPr="00820B09">
                        <w:rPr>
                          <w:rFonts w:asciiTheme="majorHAnsi" w:hAnsiTheme="majorHAnsi"/>
                          <w:sz w:val="20"/>
                          <w:szCs w:val="20"/>
                          <w:lang w:eastAsia="fr-FR"/>
                        </w:rPr>
                        <w:t xml:space="preserve"> (see indicator 1.B.1.3)</w:t>
                      </w:r>
                      <w:r w:rsidR="00E55C95" w:rsidRPr="00820B09">
                        <w:rPr>
                          <w:rFonts w:asciiTheme="majorHAnsi" w:hAnsiTheme="majorHAnsi"/>
                          <w:sz w:val="20"/>
                          <w:szCs w:val="20"/>
                          <w:lang w:eastAsia="fr-FR"/>
                        </w:rPr>
                        <w:t>.</w:t>
                      </w:r>
                      <w:r w:rsidRPr="00820B09">
                        <w:rPr>
                          <w:rFonts w:asciiTheme="majorHAnsi" w:hAnsiTheme="majorHAnsi"/>
                          <w:sz w:val="20"/>
                          <w:szCs w:val="20"/>
                          <w:lang w:eastAsia="fr-FR"/>
                        </w:rPr>
                        <w:t xml:space="preserve"> </w:t>
                      </w:r>
                    </w:p>
                    <w:p w14:paraId="6F0F8008" w14:textId="77777777" w:rsidR="00A55504" w:rsidRPr="00820B09" w:rsidRDefault="00A55504" w:rsidP="00BF1F42">
                      <w:pPr>
                        <w:jc w:val="both"/>
                        <w:rPr>
                          <w:rFonts w:asciiTheme="majorHAnsi" w:hAnsiTheme="majorHAnsi"/>
                          <w:sz w:val="20"/>
                          <w:szCs w:val="20"/>
                          <w:lang w:eastAsia="fr-FR"/>
                        </w:rPr>
                      </w:pPr>
                    </w:p>
                    <w:p w14:paraId="66039067" w14:textId="0F091EAE" w:rsidR="00BF1F42" w:rsidRPr="00820B09" w:rsidRDefault="0000528A" w:rsidP="00BF1F42">
                      <w:pPr>
                        <w:jc w:val="both"/>
                        <w:rPr>
                          <w:rFonts w:asciiTheme="majorHAnsi" w:hAnsiTheme="majorHAnsi"/>
                          <w:sz w:val="20"/>
                          <w:szCs w:val="20"/>
                          <w:lang w:eastAsia="fr-FR"/>
                        </w:rPr>
                      </w:pPr>
                      <w:r w:rsidRPr="00820B09">
                        <w:rPr>
                          <w:rFonts w:asciiTheme="majorHAnsi" w:hAnsiTheme="majorHAnsi"/>
                          <w:sz w:val="20"/>
                          <w:szCs w:val="20"/>
                          <w:lang w:eastAsia="fr-FR"/>
                        </w:rPr>
                        <w:t xml:space="preserve">Surveys should include questions for all respondents on accessibility of products, services and delivery channels, and the extent to which clients can use products and services independently and safely. </w:t>
                      </w:r>
                    </w:p>
                  </w:txbxContent>
                </v:textbox>
                <w10:anchorlock/>
              </v:shape>
            </w:pict>
          </mc:Fallback>
        </mc:AlternateContent>
      </w:r>
    </w:p>
    <w:p w14:paraId="3A31EF5E" w14:textId="1286CB54" w:rsidR="004133B9" w:rsidRPr="00A608EE" w:rsidRDefault="004133B9" w:rsidP="00EE208A">
      <w:pPr>
        <w:jc w:val="both"/>
        <w:rPr>
          <w:rFonts w:asciiTheme="majorHAnsi" w:hAnsiTheme="majorHAnsi"/>
          <w:szCs w:val="20"/>
          <w:lang w:eastAsia="fr-FR"/>
        </w:rPr>
      </w:pPr>
    </w:p>
    <w:p w14:paraId="6385712E" w14:textId="16404208"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1153D5E5" w14:textId="77777777" w:rsidR="004133B9" w:rsidRPr="00A608EE" w:rsidRDefault="004133B9" w:rsidP="00A27AAA">
      <w:pPr>
        <w:numPr>
          <w:ilvl w:val="0"/>
          <w:numId w:val="163"/>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w:t>
      </w:r>
    </w:p>
    <w:p w14:paraId="5841600C" w14:textId="77777777" w:rsidR="004133B9" w:rsidRPr="00A608EE" w:rsidRDefault="004133B9" w:rsidP="00A27AAA">
      <w:pPr>
        <w:numPr>
          <w:ilvl w:val="1"/>
          <w:numId w:val="163"/>
        </w:numPr>
        <w:jc w:val="both"/>
        <w:rPr>
          <w:rFonts w:asciiTheme="majorHAnsi" w:hAnsiTheme="majorHAnsi"/>
          <w:sz w:val="20"/>
          <w:szCs w:val="20"/>
          <w:lang w:eastAsia="fr-FR"/>
        </w:rPr>
      </w:pPr>
      <w:r w:rsidRPr="00A608EE">
        <w:rPr>
          <w:rFonts w:asciiTheme="majorHAnsi" w:hAnsiTheme="majorHAnsi"/>
          <w:sz w:val="20"/>
          <w:szCs w:val="20"/>
          <w:lang w:eastAsia="fr-FR"/>
        </w:rPr>
        <w:t>has conducted a general client satisfaction survey in the past 24 months</w:t>
      </w:r>
    </w:p>
    <w:p w14:paraId="5F0E8C7E" w14:textId="77777777" w:rsidR="004133B9" w:rsidRPr="00A608EE" w:rsidRDefault="004133B9" w:rsidP="00A27AAA">
      <w:pPr>
        <w:numPr>
          <w:ilvl w:val="1"/>
          <w:numId w:val="163"/>
        </w:numPr>
        <w:jc w:val="both"/>
        <w:rPr>
          <w:rFonts w:asciiTheme="majorHAnsi" w:hAnsiTheme="majorHAnsi"/>
          <w:sz w:val="20"/>
          <w:szCs w:val="20"/>
          <w:lang w:eastAsia="fr-FR"/>
        </w:rPr>
      </w:pPr>
      <w:r w:rsidRPr="00A608EE">
        <w:rPr>
          <w:rFonts w:asciiTheme="majorHAnsi" w:hAnsiTheme="majorHAnsi"/>
          <w:sz w:val="20"/>
          <w:szCs w:val="20"/>
          <w:lang w:eastAsia="fr-FR"/>
        </w:rPr>
        <w:t>based on a representative sample of clients.</w:t>
      </w:r>
    </w:p>
    <w:p w14:paraId="4C309956" w14:textId="77777777" w:rsidR="004133B9" w:rsidRPr="00A608EE" w:rsidRDefault="004133B9" w:rsidP="00A27AAA">
      <w:pPr>
        <w:numPr>
          <w:ilvl w:val="0"/>
          <w:numId w:val="163"/>
        </w:numPr>
        <w:jc w:val="both"/>
        <w:rPr>
          <w:rFonts w:asciiTheme="majorHAnsi" w:hAnsiTheme="majorHAnsi"/>
          <w:sz w:val="20"/>
          <w:szCs w:val="20"/>
          <w:lang w:eastAsia="fr-FR"/>
        </w:rPr>
      </w:pPr>
      <w:r w:rsidRPr="00A608EE">
        <w:rPr>
          <w:rFonts w:asciiTheme="majorHAnsi" w:hAnsiTheme="majorHAnsi"/>
          <w:sz w:val="20"/>
          <w:szCs w:val="20"/>
          <w:lang w:eastAsia="fr-FR"/>
        </w:rPr>
        <w:t>Score ‘partially’ if one of the above two conditions are not met. For instance, the provider has conducted a client satisfaction survey in the past 24 months, but it was not based on a representative client sample.</w:t>
      </w:r>
    </w:p>
    <w:p w14:paraId="7F7750BB" w14:textId="77777777" w:rsidR="004133B9" w:rsidRPr="00A608EE" w:rsidRDefault="004133B9" w:rsidP="00A27AAA">
      <w:pPr>
        <w:numPr>
          <w:ilvl w:val="0"/>
          <w:numId w:val="163"/>
        </w:numPr>
        <w:jc w:val="both"/>
        <w:rPr>
          <w:rFonts w:asciiTheme="majorHAnsi" w:hAnsiTheme="majorHAnsi"/>
          <w:sz w:val="20"/>
          <w:szCs w:val="20"/>
          <w:lang w:eastAsia="fr-FR"/>
        </w:rPr>
      </w:pPr>
      <w:r w:rsidRPr="00A608EE">
        <w:rPr>
          <w:rFonts w:asciiTheme="majorHAnsi" w:hAnsiTheme="majorHAnsi"/>
          <w:sz w:val="20"/>
          <w:szCs w:val="20"/>
          <w:lang w:eastAsia="fr-FR"/>
        </w:rPr>
        <w:t>Score ‘no’ if both above conditions are not met.</w:t>
      </w:r>
    </w:p>
    <w:p w14:paraId="5CF3F664" w14:textId="77777777" w:rsidR="004133B9" w:rsidRPr="00A608EE" w:rsidRDefault="004133B9" w:rsidP="00EE208A">
      <w:pPr>
        <w:jc w:val="both"/>
        <w:rPr>
          <w:rFonts w:asciiTheme="majorHAnsi" w:hAnsiTheme="majorHAnsi"/>
          <w:sz w:val="20"/>
          <w:szCs w:val="20"/>
          <w:lang w:eastAsia="fr-FR"/>
        </w:rPr>
      </w:pPr>
    </w:p>
    <w:p w14:paraId="1F6103A2" w14:textId="46EBBE65"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67D50E54" w14:textId="77777777" w:rsidR="004133B9" w:rsidRPr="00A608EE" w:rsidRDefault="004133B9" w:rsidP="00A27AAA">
      <w:pPr>
        <w:numPr>
          <w:ilvl w:val="0"/>
          <w:numId w:val="164"/>
        </w:numPr>
        <w:jc w:val="both"/>
        <w:rPr>
          <w:rFonts w:asciiTheme="majorHAnsi" w:hAnsiTheme="majorHAnsi"/>
          <w:sz w:val="20"/>
          <w:szCs w:val="20"/>
          <w:lang w:eastAsia="fr-FR"/>
        </w:rPr>
      </w:pPr>
      <w:r w:rsidRPr="00A608EE">
        <w:rPr>
          <w:rFonts w:asciiTheme="majorHAnsi" w:hAnsiTheme="majorHAnsi"/>
          <w:sz w:val="20"/>
          <w:szCs w:val="20"/>
          <w:lang w:eastAsia="fr-FR"/>
        </w:rPr>
        <w:t>Client satisfaction survey methodology, questionnaires, and reports on the findings</w:t>
      </w:r>
    </w:p>
    <w:p w14:paraId="73939A5C" w14:textId="77777777" w:rsidR="004133B9" w:rsidRPr="00A608EE" w:rsidRDefault="004133B9" w:rsidP="00A27AAA">
      <w:pPr>
        <w:numPr>
          <w:ilvl w:val="0"/>
          <w:numId w:val="164"/>
        </w:numPr>
        <w:jc w:val="both"/>
        <w:rPr>
          <w:rFonts w:asciiTheme="majorHAnsi" w:hAnsiTheme="majorHAnsi"/>
          <w:sz w:val="20"/>
          <w:szCs w:val="20"/>
          <w:lang w:eastAsia="fr-FR"/>
        </w:rPr>
      </w:pPr>
      <w:r w:rsidRPr="00A608EE">
        <w:rPr>
          <w:rFonts w:asciiTheme="majorHAnsi" w:hAnsiTheme="majorHAnsi"/>
          <w:sz w:val="20"/>
          <w:szCs w:val="20"/>
          <w:lang w:eastAsia="fr-FR"/>
        </w:rPr>
        <w:t>Interviews with marketing/ product development</w:t>
      </w:r>
    </w:p>
    <w:p w14:paraId="0095A034" w14:textId="77777777" w:rsidR="004133B9" w:rsidRPr="00A608EE" w:rsidRDefault="004133B9" w:rsidP="00A27AAA">
      <w:pPr>
        <w:numPr>
          <w:ilvl w:val="0"/>
          <w:numId w:val="164"/>
        </w:numPr>
        <w:jc w:val="both"/>
        <w:rPr>
          <w:rFonts w:asciiTheme="majorHAnsi" w:hAnsiTheme="majorHAnsi"/>
          <w:sz w:val="20"/>
          <w:szCs w:val="20"/>
          <w:lang w:eastAsia="fr-FR"/>
        </w:rPr>
      </w:pPr>
      <w:r w:rsidRPr="00A608EE">
        <w:rPr>
          <w:rFonts w:asciiTheme="majorHAnsi" w:hAnsiTheme="majorHAnsi"/>
          <w:sz w:val="20"/>
          <w:szCs w:val="20"/>
          <w:lang w:eastAsia="fr-FR"/>
        </w:rPr>
        <w:t>Interviews with operations</w:t>
      </w:r>
    </w:p>
    <w:p w14:paraId="072FAA35" w14:textId="77777777" w:rsidR="004133B9" w:rsidRPr="00A608EE" w:rsidRDefault="004133B9" w:rsidP="00A27AAA">
      <w:pPr>
        <w:numPr>
          <w:ilvl w:val="0"/>
          <w:numId w:val="164"/>
        </w:numPr>
        <w:jc w:val="both"/>
        <w:rPr>
          <w:rFonts w:asciiTheme="majorHAnsi" w:hAnsiTheme="majorHAnsi"/>
          <w:sz w:val="20"/>
          <w:szCs w:val="20"/>
          <w:lang w:eastAsia="fr-FR"/>
        </w:rPr>
      </w:pPr>
      <w:r w:rsidRPr="00A608EE">
        <w:rPr>
          <w:rFonts w:asciiTheme="majorHAnsi" w:hAnsiTheme="majorHAnsi"/>
          <w:sz w:val="20"/>
          <w:szCs w:val="20"/>
          <w:lang w:eastAsia="fr-FR"/>
        </w:rPr>
        <w:t>Interviews with clients and field staff</w:t>
      </w:r>
    </w:p>
    <w:p w14:paraId="0ABE706D" w14:textId="77777777" w:rsidR="004133B9" w:rsidRPr="00A608EE" w:rsidRDefault="004133B9" w:rsidP="00EE208A">
      <w:pPr>
        <w:jc w:val="both"/>
        <w:rPr>
          <w:rFonts w:asciiTheme="majorHAnsi" w:hAnsiTheme="majorHAnsi"/>
          <w:sz w:val="20"/>
          <w:szCs w:val="20"/>
          <w:lang w:eastAsia="fr-FR"/>
        </w:rPr>
      </w:pPr>
    </w:p>
    <w:p w14:paraId="4AA17963" w14:textId="156625A2"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2FBAB0E8" w14:textId="77777777" w:rsidR="004133B9" w:rsidRPr="00A608EE" w:rsidRDefault="004133B9" w:rsidP="00EE208A">
      <w:pPr>
        <w:jc w:val="both"/>
        <w:rPr>
          <w:rFonts w:asciiTheme="majorHAnsi" w:hAnsiTheme="majorHAnsi"/>
          <w:sz w:val="20"/>
          <w:szCs w:val="20"/>
          <w:lang w:eastAsia="fr-FR"/>
        </w:rPr>
      </w:pPr>
      <w:r w:rsidRPr="00A608EE">
        <w:rPr>
          <w:rFonts w:asciiTheme="majorHAnsi" w:hAnsiTheme="majorHAnsi"/>
          <w:sz w:val="20"/>
          <w:szCs w:val="20"/>
          <w:lang w:eastAsia="fr-FR"/>
        </w:rPr>
        <w:t>Specify the date of the most recent client satisfaction survey. If relevant, describe other forms of client feedback and its regularity. Specify the sample size of the most recent satisfaction survey. Provide a summary of the results.</w:t>
      </w:r>
    </w:p>
    <w:p w14:paraId="75428E9D" w14:textId="77777777" w:rsidR="004133B9" w:rsidRPr="00A608EE" w:rsidRDefault="004133B9" w:rsidP="00EE208A">
      <w:pPr>
        <w:jc w:val="both"/>
        <w:rPr>
          <w:rFonts w:asciiTheme="majorHAnsi" w:hAnsiTheme="majorHAnsi"/>
          <w:sz w:val="20"/>
          <w:szCs w:val="20"/>
          <w:lang w:eastAsia="fr-FR"/>
        </w:rPr>
      </w:pPr>
    </w:p>
    <w:p w14:paraId="28217FA9" w14:textId="77777777"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Field examples / Guidance for implementation</w:t>
      </w:r>
      <w:r w:rsidRPr="00A608EE">
        <w:rPr>
          <w:b/>
          <w:bCs/>
          <w:sz w:val="20"/>
          <w:szCs w:val="20"/>
          <w:lang w:eastAsia="fr-FR"/>
        </w:rPr>
        <w:t> </w:t>
      </w:r>
    </w:p>
    <w:p w14:paraId="282B45E5" w14:textId="60ECA8E6" w:rsidR="004133B9" w:rsidRPr="00A608EE" w:rsidRDefault="004133B9" w:rsidP="00EE208A">
      <w:pPr>
        <w:jc w:val="both"/>
        <w:rPr>
          <w:rFonts w:asciiTheme="majorHAnsi" w:hAnsiTheme="majorHAnsi"/>
          <w:sz w:val="20"/>
          <w:szCs w:val="20"/>
          <w:lang w:eastAsia="fr-FR"/>
        </w:rPr>
      </w:pPr>
      <w:r w:rsidRPr="00A608EE">
        <w:rPr>
          <w:rFonts w:asciiTheme="majorHAnsi" w:hAnsiTheme="majorHAnsi"/>
          <w:sz w:val="20"/>
          <w:szCs w:val="20"/>
          <w:lang w:eastAsia="fr-FR"/>
        </w:rPr>
        <w:t>In case of high</w:t>
      </w:r>
      <w:r w:rsidR="00C37E87" w:rsidRPr="00A608EE">
        <w:rPr>
          <w:rFonts w:asciiTheme="majorHAnsi" w:hAnsiTheme="majorHAnsi"/>
          <w:sz w:val="20"/>
          <w:szCs w:val="20"/>
          <w:lang w:eastAsia="fr-FR"/>
        </w:rPr>
        <w:t xml:space="preserve"> </w:t>
      </w:r>
      <w:r w:rsidRPr="00A608EE">
        <w:rPr>
          <w:rFonts w:asciiTheme="majorHAnsi" w:hAnsiTheme="majorHAnsi"/>
          <w:sz w:val="20"/>
          <w:szCs w:val="20"/>
          <w:lang w:eastAsia="fr-FR"/>
        </w:rPr>
        <w:t>risk areas (risks of over-indebtedness, higher levels of client complaints, etc.), client surveys may need to be conducted annually.</w:t>
      </w:r>
    </w:p>
    <w:p w14:paraId="13BA8520" w14:textId="77777777" w:rsidR="004133B9" w:rsidRPr="00A608EE" w:rsidRDefault="004133B9" w:rsidP="00EE208A">
      <w:pPr>
        <w:jc w:val="both"/>
        <w:rPr>
          <w:rFonts w:asciiTheme="majorHAnsi" w:hAnsiTheme="majorHAnsi"/>
          <w:sz w:val="20"/>
          <w:szCs w:val="20"/>
          <w:lang w:eastAsia="fr-FR"/>
        </w:rPr>
      </w:pPr>
    </w:p>
    <w:p w14:paraId="1F253151" w14:textId="4EB51384"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3.A.3.1</w:t>
      </w:r>
    </w:p>
    <w:p w14:paraId="70E1C312" w14:textId="77777777" w:rsidR="004133B9" w:rsidRPr="00A608EE" w:rsidRDefault="004133B9" w:rsidP="00A27AAA">
      <w:pPr>
        <w:numPr>
          <w:ilvl w:val="0"/>
          <w:numId w:val="165"/>
        </w:numPr>
        <w:jc w:val="both"/>
        <w:rPr>
          <w:rFonts w:asciiTheme="majorHAnsi" w:hAnsiTheme="majorHAnsi"/>
          <w:sz w:val="20"/>
          <w:szCs w:val="20"/>
          <w:lang w:eastAsia="fr-FR"/>
        </w:rPr>
      </w:pPr>
      <w:hyperlink r:id="rId128" w:history="1">
        <w:r w:rsidRPr="00A608EE">
          <w:rPr>
            <w:rStyle w:val="Hyperlink"/>
            <w:rFonts w:asciiTheme="majorHAnsi" w:hAnsiTheme="majorHAnsi"/>
            <w:sz w:val="20"/>
            <w:szCs w:val="20"/>
            <w:lang w:eastAsia="fr-FR"/>
          </w:rPr>
          <w:t>Ujjivan Collects Client Satisfaction Data Face-to-Face</w:t>
        </w:r>
      </w:hyperlink>
    </w:p>
    <w:p w14:paraId="200570CB" w14:textId="77777777" w:rsidR="004133B9" w:rsidRPr="00A608EE" w:rsidRDefault="004133B9" w:rsidP="00A27AAA">
      <w:pPr>
        <w:numPr>
          <w:ilvl w:val="0"/>
          <w:numId w:val="165"/>
        </w:numPr>
        <w:jc w:val="both"/>
        <w:rPr>
          <w:rFonts w:asciiTheme="majorHAnsi" w:hAnsiTheme="majorHAnsi"/>
          <w:sz w:val="20"/>
          <w:szCs w:val="20"/>
          <w:lang w:eastAsia="fr-FR"/>
        </w:rPr>
      </w:pPr>
      <w:hyperlink r:id="rId129" w:history="1">
        <w:r w:rsidRPr="00A608EE">
          <w:rPr>
            <w:rStyle w:val="Hyperlink"/>
            <w:rFonts w:asciiTheme="majorHAnsi" w:hAnsiTheme="majorHAnsi"/>
            <w:sz w:val="20"/>
            <w:szCs w:val="20"/>
            <w:lang w:eastAsia="fr-FR"/>
          </w:rPr>
          <w:t>Definition of a representative sample</w:t>
        </w:r>
      </w:hyperlink>
    </w:p>
    <w:p w14:paraId="0BC4DAEA" w14:textId="77777777" w:rsidR="004133B9" w:rsidRPr="00A608EE" w:rsidRDefault="004133B9" w:rsidP="00A27AAA">
      <w:pPr>
        <w:numPr>
          <w:ilvl w:val="0"/>
          <w:numId w:val="165"/>
        </w:numPr>
        <w:jc w:val="both"/>
        <w:rPr>
          <w:rFonts w:asciiTheme="majorHAnsi" w:hAnsiTheme="majorHAnsi"/>
          <w:sz w:val="20"/>
          <w:szCs w:val="20"/>
          <w:lang w:eastAsia="fr-FR"/>
        </w:rPr>
      </w:pPr>
      <w:hyperlink r:id="rId130" w:history="1">
        <w:r w:rsidRPr="00A608EE">
          <w:rPr>
            <w:rStyle w:val="Hyperlink"/>
            <w:rFonts w:asciiTheme="majorHAnsi" w:hAnsiTheme="majorHAnsi"/>
            <w:sz w:val="20"/>
            <w:szCs w:val="20"/>
            <w:lang w:eastAsia="fr-FR"/>
          </w:rPr>
          <w:t>Selecting a Sample Size</w:t>
        </w:r>
      </w:hyperlink>
    </w:p>
    <w:p w14:paraId="1A0EFB35" w14:textId="77777777" w:rsidR="004133B9" w:rsidRPr="00A608EE" w:rsidRDefault="004133B9" w:rsidP="00A27AAA">
      <w:pPr>
        <w:numPr>
          <w:ilvl w:val="0"/>
          <w:numId w:val="165"/>
        </w:numPr>
        <w:jc w:val="both"/>
        <w:rPr>
          <w:rFonts w:asciiTheme="majorHAnsi" w:hAnsiTheme="majorHAnsi"/>
          <w:sz w:val="20"/>
          <w:szCs w:val="20"/>
          <w:lang w:eastAsia="fr-FR"/>
        </w:rPr>
      </w:pPr>
      <w:hyperlink r:id="rId131" w:history="1">
        <w:r w:rsidRPr="00A608EE">
          <w:rPr>
            <w:rStyle w:val="Hyperlink"/>
            <w:rFonts w:asciiTheme="majorHAnsi" w:hAnsiTheme="majorHAnsi"/>
            <w:sz w:val="20"/>
            <w:szCs w:val="20"/>
            <w:lang w:eastAsia="fr-FR"/>
          </w:rPr>
          <w:t>CGAP’s Customer Experience Workbook</w:t>
        </w:r>
      </w:hyperlink>
      <w:r w:rsidRPr="00A608EE">
        <w:rPr>
          <w:rFonts w:asciiTheme="majorHAnsi" w:hAnsiTheme="majorHAnsi"/>
          <w:sz w:val="20"/>
          <w:szCs w:val="20"/>
          <w:lang w:eastAsia="fr-FR"/>
        </w:rPr>
        <w:t> offers a sample customer satisfaction survey that guides the FSP through important factors to consider when conducting client satisfaction surveys, and it provides example questions about customers’ experiences at service locations.</w:t>
      </w:r>
    </w:p>
    <w:p w14:paraId="4BC7DC92" w14:textId="77777777" w:rsidR="004133B9" w:rsidRPr="00A608EE" w:rsidRDefault="004133B9" w:rsidP="00A27AAA">
      <w:pPr>
        <w:numPr>
          <w:ilvl w:val="0"/>
          <w:numId w:val="165"/>
        </w:numPr>
        <w:jc w:val="both"/>
        <w:rPr>
          <w:rFonts w:asciiTheme="majorHAnsi" w:hAnsiTheme="majorHAnsi"/>
          <w:sz w:val="20"/>
          <w:szCs w:val="20"/>
          <w:lang w:eastAsia="fr-FR"/>
        </w:rPr>
      </w:pPr>
      <w:r w:rsidRPr="00A608EE">
        <w:rPr>
          <w:rFonts w:asciiTheme="majorHAnsi" w:hAnsiTheme="majorHAnsi"/>
          <w:sz w:val="20"/>
          <w:szCs w:val="20"/>
          <w:lang w:eastAsia="fr-FR"/>
        </w:rPr>
        <w:t>Al Majmoua uses </w:t>
      </w:r>
      <w:hyperlink r:id="rId132" w:tgtFrame="_blank" w:history="1">
        <w:r w:rsidRPr="00A608EE">
          <w:rPr>
            <w:rStyle w:val="Hyperlink"/>
            <w:rFonts w:asciiTheme="majorHAnsi" w:hAnsiTheme="majorHAnsi"/>
            <w:sz w:val="20"/>
            <w:szCs w:val="20"/>
            <w:lang w:eastAsia="fr-FR"/>
          </w:rPr>
          <w:t>client satisfaction</w:t>
        </w:r>
      </w:hyperlink>
      <w:r w:rsidRPr="00A608EE">
        <w:rPr>
          <w:rFonts w:asciiTheme="majorHAnsi" w:hAnsiTheme="majorHAnsi"/>
          <w:sz w:val="20"/>
          <w:szCs w:val="20"/>
          <w:lang w:eastAsia="fr-FR"/>
        </w:rPr>
        <w:t> and </w:t>
      </w:r>
      <w:hyperlink r:id="rId133" w:tgtFrame="_blank" w:history="1">
        <w:r w:rsidRPr="00A608EE">
          <w:rPr>
            <w:rStyle w:val="Hyperlink"/>
            <w:rFonts w:asciiTheme="majorHAnsi" w:hAnsiTheme="majorHAnsi"/>
            <w:sz w:val="20"/>
            <w:szCs w:val="20"/>
            <w:lang w:eastAsia="fr-FR"/>
          </w:rPr>
          <w:t>client exit </w:t>
        </w:r>
      </w:hyperlink>
      <w:r w:rsidRPr="00A608EE">
        <w:rPr>
          <w:rFonts w:asciiTheme="majorHAnsi" w:hAnsiTheme="majorHAnsi"/>
          <w:sz w:val="20"/>
          <w:szCs w:val="20"/>
          <w:lang w:eastAsia="fr-FR"/>
        </w:rPr>
        <w:t>surveys to understand the client experience and make adjustments to products and services. This case study examines the technical aspects of the surveys, including sampling, training staff on survey use, and creating the questionnaires.</w:t>
      </w:r>
    </w:p>
    <w:p w14:paraId="4D65AF58" w14:textId="77777777" w:rsidR="004133B9" w:rsidRPr="00A608EE" w:rsidRDefault="004133B9" w:rsidP="00A27AAA">
      <w:pPr>
        <w:numPr>
          <w:ilvl w:val="0"/>
          <w:numId w:val="165"/>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ASKI Philippines gathers client feedback on product features, non-financial services that complement microfinance, customer service, and how ASKI compares with key competitors.</w:t>
      </w:r>
    </w:p>
    <w:p w14:paraId="5104A8CC" w14:textId="77777777" w:rsidR="004133B9" w:rsidRPr="00A608EE" w:rsidRDefault="004133B9" w:rsidP="00A27AAA">
      <w:pPr>
        <w:numPr>
          <w:ilvl w:val="0"/>
          <w:numId w:val="165"/>
        </w:numPr>
        <w:jc w:val="both"/>
        <w:rPr>
          <w:rFonts w:asciiTheme="majorHAnsi" w:hAnsiTheme="majorHAnsi"/>
          <w:sz w:val="20"/>
          <w:szCs w:val="20"/>
          <w:lang w:val="es-ES" w:eastAsia="fr-FR"/>
        </w:rPr>
      </w:pPr>
      <w:hyperlink r:id="rId134" w:tgtFrame="_blank" w:history="1">
        <w:r w:rsidRPr="00A608EE">
          <w:rPr>
            <w:rStyle w:val="Hyperlink"/>
            <w:rFonts w:asciiTheme="majorHAnsi" w:hAnsiTheme="majorHAnsi"/>
            <w:sz w:val="20"/>
            <w:szCs w:val="20"/>
            <w:lang w:val="es-ES" w:eastAsia="fr-FR"/>
          </w:rPr>
          <w:t>Encuesta de satisfacción de la socias de Pro Mujer Argentina</w:t>
        </w:r>
      </w:hyperlink>
    </w:p>
    <w:p w14:paraId="3ACC6E2E" w14:textId="77777777" w:rsidR="004133B9" w:rsidRPr="00A608EE" w:rsidRDefault="004133B9" w:rsidP="00A27AAA">
      <w:pPr>
        <w:numPr>
          <w:ilvl w:val="0"/>
          <w:numId w:val="165"/>
        </w:numPr>
        <w:jc w:val="both"/>
        <w:rPr>
          <w:rFonts w:asciiTheme="majorHAnsi" w:hAnsiTheme="majorHAnsi"/>
          <w:sz w:val="20"/>
          <w:szCs w:val="20"/>
          <w:lang w:val="es-ES" w:eastAsia="fr-FR"/>
        </w:rPr>
      </w:pPr>
      <w:hyperlink r:id="rId135" w:tgtFrame="_blank" w:history="1">
        <w:r w:rsidRPr="00A608EE">
          <w:rPr>
            <w:rStyle w:val="Hyperlink"/>
            <w:rFonts w:asciiTheme="majorHAnsi" w:hAnsiTheme="majorHAnsi"/>
            <w:sz w:val="20"/>
            <w:szCs w:val="20"/>
            <w:lang w:val="es-ES" w:eastAsia="fr-FR"/>
          </w:rPr>
          <w:t>Encuesta de satisfacción de clientes : Movimiento Manuela Ramos CrediMujer</w:t>
        </w:r>
      </w:hyperlink>
    </w:p>
    <w:p w14:paraId="456B2901" w14:textId="77777777" w:rsidR="00794B11" w:rsidRPr="00A608EE" w:rsidRDefault="00794B11" w:rsidP="00EE208A">
      <w:pPr>
        <w:jc w:val="both"/>
        <w:rPr>
          <w:rFonts w:asciiTheme="majorHAnsi" w:hAnsiTheme="majorHAnsi"/>
          <w:szCs w:val="20"/>
          <w:lang w:val="es-ES"/>
        </w:rPr>
      </w:pPr>
    </w:p>
    <w:p w14:paraId="610DC3B7" w14:textId="568010C6" w:rsidR="009D1349" w:rsidRPr="00A608EE" w:rsidRDefault="009D1349" w:rsidP="00EE208A">
      <w:pPr>
        <w:pStyle w:val="Heading4"/>
        <w:spacing w:before="0" w:line="240" w:lineRule="auto"/>
        <w:jc w:val="both"/>
      </w:pPr>
      <w:r w:rsidRPr="00A608EE">
        <w:rPr>
          <w:rStyle w:val="text-primary"/>
        </w:rPr>
        <w:t>3.A.3.2</w:t>
      </w:r>
      <w:r w:rsidRPr="00A608EE">
        <w:t xml:space="preserve"> </w:t>
      </w:r>
      <w:r w:rsidR="004133B9" w:rsidRPr="00A608EE">
        <w:t>The provider conducts interviews with dormant and/or exiting clients to look for evidence of product design failures</w:t>
      </w:r>
      <w:r w:rsidR="00D73308" w:rsidRPr="00A608EE">
        <w:t>.</w:t>
      </w:r>
    </w:p>
    <w:p w14:paraId="7F98EF80" w14:textId="77777777" w:rsidR="009D1349" w:rsidRPr="00A608EE" w:rsidRDefault="009D1349" w:rsidP="00EE208A">
      <w:pPr>
        <w:jc w:val="both"/>
        <w:rPr>
          <w:rFonts w:asciiTheme="majorHAnsi" w:hAnsiTheme="majorHAnsi"/>
          <w:szCs w:val="20"/>
        </w:rPr>
      </w:pPr>
    </w:p>
    <w:p w14:paraId="585B45D7" w14:textId="285FE9EF" w:rsidR="00BF72FA"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BF72FA" w:rsidRPr="00A608EE">
        <w:rPr>
          <w:rFonts w:asciiTheme="majorHAnsi" w:hAnsiTheme="majorHAnsi"/>
          <w:b/>
          <w:bCs/>
          <w:color w:val="2145CC" w:themeColor="accent5" w:themeShade="BF"/>
          <w:sz w:val="20"/>
          <w:szCs w:val="20"/>
        </w:rPr>
        <w:t>ALINUS</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SPI Entry</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SPI5 Full</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CP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40932D0F" w14:textId="5B20837C" w:rsidR="00BF72FA" w:rsidRPr="00A608EE" w:rsidRDefault="00D05160"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142BA3BA" w14:textId="5E6D1E8A" w:rsidR="004133B9" w:rsidRPr="00A608EE" w:rsidRDefault="004133B9" w:rsidP="00EE208A">
      <w:pPr>
        <w:jc w:val="both"/>
        <w:rPr>
          <w:rFonts w:asciiTheme="majorHAnsi" w:hAnsiTheme="majorHAnsi"/>
          <w:sz w:val="20"/>
          <w:szCs w:val="20"/>
          <w:lang w:eastAsia="fr-FR"/>
        </w:rPr>
      </w:pPr>
      <w:r w:rsidRPr="00A608EE">
        <w:rPr>
          <w:rFonts w:asciiTheme="majorHAnsi" w:hAnsiTheme="majorHAnsi"/>
          <w:sz w:val="20"/>
          <w:szCs w:val="20"/>
          <w:lang w:eastAsia="fr-FR"/>
        </w:rPr>
        <w:t>Client drop-outs/dormancy represent lost investment for a provider and thus come at a cost. A high incidence of exits or inactive clients can indicate dissatisfaction, although it is natural for a certain percentage of clients to leave a provider when they no longer need services, when they move, or obtain access to a formal institution offering different services. Providers need to have an approximate idea of how many clients are leaving (or inactive) and why: are they dissatisfied or has financial access worsened their socio-economic situation? Or is it simply that they do not have an immediate financial service need, but may eventually come back?</w:t>
      </w:r>
    </w:p>
    <w:p w14:paraId="56554762" w14:textId="77777777" w:rsidR="00672763" w:rsidRPr="00A608EE" w:rsidRDefault="00672763" w:rsidP="00EE208A">
      <w:pPr>
        <w:jc w:val="both"/>
        <w:rPr>
          <w:rFonts w:asciiTheme="majorHAnsi" w:hAnsiTheme="majorHAnsi"/>
          <w:sz w:val="20"/>
          <w:szCs w:val="20"/>
          <w:lang w:eastAsia="fr-FR"/>
        </w:rPr>
      </w:pPr>
    </w:p>
    <w:p w14:paraId="3678056A"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28224" behindDoc="1" locked="0" layoutInCell="1" allowOverlap="1" wp14:anchorId="35747AD7" wp14:editId="6A372BAC">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77035736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2C5B9DC" w14:textId="77777777" w:rsidR="00672763" w:rsidRPr="00A608EE" w:rsidRDefault="00672763" w:rsidP="00EE208A">
      <w:pPr>
        <w:jc w:val="both"/>
        <w:rPr>
          <w:rFonts w:asciiTheme="majorHAnsi" w:hAnsiTheme="majorHAnsi"/>
          <w:sz w:val="20"/>
          <w:szCs w:val="20"/>
          <w:lang w:eastAsia="fr-FR"/>
        </w:rPr>
      </w:pPr>
    </w:p>
    <w:p w14:paraId="3A3BB55A" w14:textId="138F68B9" w:rsidR="00D05160"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rPr>
        <w:t>DI Indicator:</w:t>
      </w:r>
      <w:r w:rsidRPr="00A608EE">
        <w:rPr>
          <w:rFonts w:ascii="Work Sans" w:hAnsi="Work Sans"/>
          <w:sz w:val="20"/>
          <w:szCs w:val="20"/>
        </w:rPr>
        <w:t xml:space="preserve"> </w:t>
      </w:r>
      <w:r w:rsidR="005F4278" w:rsidRPr="00A608EE">
        <w:rPr>
          <w:rFonts w:asciiTheme="majorHAnsi" w:hAnsiTheme="majorHAnsi"/>
          <w:sz w:val="20"/>
          <w:szCs w:val="20"/>
        </w:rPr>
        <w:t>The provider conducts interviews with dormant and/or exiting clients with disabilities to look for evidence of product design failures.</w:t>
      </w:r>
      <w:r w:rsidR="00A7331B" w:rsidRPr="00A608EE">
        <w:rPr>
          <w:rFonts w:asciiTheme="majorHAnsi" w:hAnsiTheme="majorHAnsi"/>
          <w:sz w:val="20"/>
          <w:szCs w:val="20"/>
        </w:rPr>
        <w:t xml:space="preserve"> </w:t>
      </w:r>
      <w:r w:rsidR="00D05160" w:rsidRPr="00A608EE">
        <w:rPr>
          <w:rFonts w:asciiTheme="majorHAnsi" w:hAnsiTheme="majorHAnsi"/>
          <w:sz w:val="20"/>
          <w:szCs w:val="20"/>
          <w:lang w:eastAsia="fr-FR"/>
        </w:rPr>
        <w:t>Interview location, format and content should be accessible for persons with disabilities.</w:t>
      </w:r>
    </w:p>
    <w:p w14:paraId="65D9F251" w14:textId="77777777" w:rsidR="00A7331B" w:rsidRPr="00A608EE" w:rsidRDefault="00A7331B" w:rsidP="00EE208A">
      <w:pPr>
        <w:jc w:val="both"/>
        <w:rPr>
          <w:rFonts w:asciiTheme="majorHAnsi" w:hAnsiTheme="majorHAnsi"/>
          <w:sz w:val="20"/>
          <w:szCs w:val="20"/>
          <w:lang w:eastAsia="fr-FR"/>
        </w:rPr>
      </w:pPr>
    </w:p>
    <w:p w14:paraId="739588F9" w14:textId="16583CF3" w:rsidR="00A7331B" w:rsidRPr="00A608EE" w:rsidRDefault="00A7331B" w:rsidP="00EE208A">
      <w:pPr>
        <w:jc w:val="both"/>
        <w:rPr>
          <w:rFonts w:asciiTheme="majorHAnsi" w:hAnsiTheme="majorHAnsi"/>
          <w:sz w:val="20"/>
          <w:szCs w:val="20"/>
          <w:lang w:eastAsia="fr-FR"/>
        </w:rPr>
      </w:pPr>
      <w:r w:rsidRPr="00A608EE">
        <w:rPr>
          <w:rFonts w:asciiTheme="majorHAnsi" w:hAnsiTheme="majorHAnsi"/>
          <w:sz w:val="20"/>
          <w:szCs w:val="20"/>
          <w:lang w:eastAsia="fr-FR"/>
        </w:rPr>
        <w:t>[See indicator 3.A.3.1 for more information]</w:t>
      </w:r>
    </w:p>
    <w:p w14:paraId="10A711BC" w14:textId="77777777" w:rsidR="00D05160" w:rsidRPr="00A608EE" w:rsidRDefault="00D05160" w:rsidP="00EE208A">
      <w:pPr>
        <w:jc w:val="both"/>
        <w:rPr>
          <w:rFonts w:asciiTheme="majorHAnsi" w:hAnsiTheme="majorHAnsi"/>
          <w:sz w:val="20"/>
          <w:szCs w:val="20"/>
          <w:lang w:eastAsia="fr-FR"/>
        </w:rPr>
      </w:pPr>
    </w:p>
    <w:p w14:paraId="67DF2172" w14:textId="66A2F205"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7612FA09" w14:textId="77777777" w:rsidR="004133B9" w:rsidRPr="00A608EE" w:rsidRDefault="004133B9" w:rsidP="00A27AAA">
      <w:pPr>
        <w:numPr>
          <w:ilvl w:val="0"/>
          <w:numId w:val="166"/>
        </w:numPr>
        <w:jc w:val="both"/>
        <w:rPr>
          <w:rFonts w:asciiTheme="majorHAnsi" w:hAnsiTheme="majorHAnsi"/>
          <w:sz w:val="20"/>
          <w:szCs w:val="20"/>
          <w:lang w:eastAsia="fr-FR"/>
        </w:rPr>
      </w:pPr>
      <w:r w:rsidRPr="00A608EE">
        <w:rPr>
          <w:rFonts w:asciiTheme="majorHAnsi" w:hAnsiTheme="majorHAnsi"/>
          <w:sz w:val="20"/>
          <w:szCs w:val="20"/>
          <w:lang w:eastAsia="fr-FR"/>
        </w:rPr>
        <w:t>Score ‘yes’ if:</w:t>
      </w:r>
    </w:p>
    <w:p w14:paraId="510F337D" w14:textId="77777777" w:rsidR="004133B9" w:rsidRPr="00A608EE" w:rsidRDefault="004133B9" w:rsidP="00A27AAA">
      <w:pPr>
        <w:numPr>
          <w:ilvl w:val="1"/>
          <w:numId w:val="166"/>
        </w:numPr>
        <w:jc w:val="both"/>
        <w:rPr>
          <w:rFonts w:asciiTheme="majorHAnsi" w:hAnsiTheme="majorHAnsi"/>
          <w:sz w:val="20"/>
          <w:szCs w:val="20"/>
          <w:lang w:eastAsia="fr-FR"/>
        </w:rPr>
      </w:pPr>
      <w:r w:rsidRPr="00A608EE">
        <w:rPr>
          <w:rFonts w:asciiTheme="majorHAnsi" w:hAnsiTheme="majorHAnsi"/>
          <w:sz w:val="20"/>
          <w:szCs w:val="20"/>
          <w:lang w:eastAsia="fr-FR"/>
        </w:rPr>
        <w:t>the provider is conducting client drop-out or exit surveys and calculating client retention rates regularly as an established practice to identify product design failures and</w:t>
      </w:r>
    </w:p>
    <w:p w14:paraId="4F3724F1" w14:textId="77777777" w:rsidR="004133B9" w:rsidRPr="00A608EE" w:rsidRDefault="004133B9" w:rsidP="00A27AAA">
      <w:pPr>
        <w:numPr>
          <w:ilvl w:val="1"/>
          <w:numId w:val="166"/>
        </w:numPr>
        <w:jc w:val="both"/>
        <w:rPr>
          <w:rFonts w:asciiTheme="majorHAnsi" w:hAnsiTheme="majorHAnsi"/>
          <w:sz w:val="20"/>
          <w:szCs w:val="20"/>
          <w:lang w:eastAsia="fr-FR"/>
        </w:rPr>
      </w:pPr>
      <w:r w:rsidRPr="00A608EE">
        <w:rPr>
          <w:rFonts w:asciiTheme="majorHAnsi" w:hAnsiTheme="majorHAnsi"/>
          <w:sz w:val="20"/>
          <w:szCs w:val="20"/>
          <w:lang w:eastAsia="fr-FR"/>
        </w:rPr>
        <w:t>has used the results for corrective action to improve its current products/services and their distribution channels and to design new products/services more client-centric.</w:t>
      </w:r>
    </w:p>
    <w:p w14:paraId="119105EC" w14:textId="77777777" w:rsidR="004133B9" w:rsidRPr="00A608EE" w:rsidRDefault="004133B9" w:rsidP="00A27AAA">
      <w:pPr>
        <w:numPr>
          <w:ilvl w:val="0"/>
          <w:numId w:val="166"/>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is conducting client drop-out or exit surveys and calculating client retention rates regularly to identify product design failures, but has not used the results to improve its products/services and their distribution channels.</w:t>
      </w:r>
    </w:p>
    <w:p w14:paraId="039CF672" w14:textId="77777777" w:rsidR="004133B9" w:rsidRPr="00A608EE" w:rsidRDefault="004133B9" w:rsidP="00A27AAA">
      <w:pPr>
        <w:numPr>
          <w:ilvl w:val="0"/>
          <w:numId w:val="166"/>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is not conducting client drop-out or exit surveys to identify product design failures.</w:t>
      </w:r>
    </w:p>
    <w:p w14:paraId="56ED3F51" w14:textId="77777777" w:rsidR="004133B9" w:rsidRPr="00A608EE" w:rsidRDefault="004133B9" w:rsidP="00EE208A">
      <w:pPr>
        <w:jc w:val="both"/>
        <w:rPr>
          <w:rFonts w:asciiTheme="majorHAnsi" w:hAnsiTheme="majorHAnsi"/>
          <w:sz w:val="20"/>
          <w:szCs w:val="20"/>
          <w:lang w:eastAsia="fr-FR"/>
        </w:rPr>
      </w:pPr>
    </w:p>
    <w:p w14:paraId="37A7205F" w14:textId="4A4512C0"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2191B5C1" w14:textId="77777777" w:rsidR="004133B9" w:rsidRPr="00A608EE" w:rsidRDefault="004133B9" w:rsidP="00A27AAA">
      <w:pPr>
        <w:numPr>
          <w:ilvl w:val="0"/>
          <w:numId w:val="167"/>
        </w:numPr>
        <w:jc w:val="both"/>
        <w:rPr>
          <w:rFonts w:asciiTheme="majorHAnsi" w:hAnsiTheme="majorHAnsi"/>
          <w:sz w:val="20"/>
          <w:szCs w:val="20"/>
          <w:lang w:eastAsia="fr-FR"/>
        </w:rPr>
      </w:pPr>
      <w:r w:rsidRPr="00A608EE">
        <w:rPr>
          <w:rFonts w:asciiTheme="majorHAnsi" w:hAnsiTheme="majorHAnsi"/>
          <w:sz w:val="20"/>
          <w:szCs w:val="20"/>
          <w:lang w:eastAsia="fr-FR"/>
        </w:rPr>
        <w:t>Client drop-out survey methodology, questionnaires, and reports on the findings</w:t>
      </w:r>
    </w:p>
    <w:p w14:paraId="6DF66D66" w14:textId="77777777" w:rsidR="004133B9" w:rsidRPr="00A608EE" w:rsidRDefault="004133B9" w:rsidP="00A27AAA">
      <w:pPr>
        <w:numPr>
          <w:ilvl w:val="0"/>
          <w:numId w:val="167"/>
        </w:numPr>
        <w:jc w:val="both"/>
        <w:rPr>
          <w:rFonts w:asciiTheme="majorHAnsi" w:hAnsiTheme="majorHAnsi"/>
          <w:sz w:val="20"/>
          <w:szCs w:val="20"/>
          <w:lang w:eastAsia="fr-FR"/>
        </w:rPr>
      </w:pPr>
      <w:r w:rsidRPr="00A608EE">
        <w:rPr>
          <w:rFonts w:asciiTheme="majorHAnsi" w:hAnsiTheme="majorHAnsi"/>
          <w:sz w:val="20"/>
          <w:szCs w:val="20"/>
          <w:lang w:eastAsia="fr-FR"/>
        </w:rPr>
        <w:t>Client complaint reports</w:t>
      </w:r>
    </w:p>
    <w:p w14:paraId="21CFDC6A" w14:textId="77777777" w:rsidR="004133B9" w:rsidRPr="00A608EE" w:rsidRDefault="004133B9" w:rsidP="00A27AAA">
      <w:pPr>
        <w:numPr>
          <w:ilvl w:val="0"/>
          <w:numId w:val="167"/>
        </w:numPr>
        <w:jc w:val="both"/>
        <w:rPr>
          <w:rFonts w:asciiTheme="majorHAnsi" w:hAnsiTheme="majorHAnsi"/>
          <w:sz w:val="20"/>
          <w:szCs w:val="20"/>
          <w:lang w:eastAsia="fr-FR"/>
        </w:rPr>
      </w:pPr>
      <w:r w:rsidRPr="00A608EE">
        <w:rPr>
          <w:rFonts w:asciiTheme="majorHAnsi" w:hAnsiTheme="majorHAnsi"/>
          <w:sz w:val="20"/>
          <w:szCs w:val="20"/>
          <w:lang w:eastAsia="fr-FR"/>
        </w:rPr>
        <w:t>Client satisfaction and / or exit survey methodology, questionnaires, and reports on the findings</w:t>
      </w:r>
    </w:p>
    <w:p w14:paraId="3E4799D0" w14:textId="77777777" w:rsidR="004133B9" w:rsidRPr="00A608EE" w:rsidRDefault="004133B9" w:rsidP="00A27AAA">
      <w:pPr>
        <w:numPr>
          <w:ilvl w:val="0"/>
          <w:numId w:val="167"/>
        </w:numPr>
        <w:jc w:val="both"/>
        <w:rPr>
          <w:rFonts w:asciiTheme="majorHAnsi" w:hAnsiTheme="majorHAnsi"/>
          <w:sz w:val="20"/>
          <w:szCs w:val="20"/>
          <w:lang w:eastAsia="fr-FR"/>
        </w:rPr>
      </w:pPr>
      <w:r w:rsidRPr="00A608EE">
        <w:rPr>
          <w:rFonts w:asciiTheme="majorHAnsi" w:hAnsiTheme="majorHAnsi"/>
          <w:sz w:val="20"/>
          <w:szCs w:val="20"/>
          <w:lang w:eastAsia="fr-FR"/>
        </w:rPr>
        <w:t>Interviews with marketing/ product development</w:t>
      </w:r>
    </w:p>
    <w:p w14:paraId="5BE48917" w14:textId="77777777" w:rsidR="004133B9" w:rsidRPr="00A608EE" w:rsidRDefault="004133B9" w:rsidP="00A27AAA">
      <w:pPr>
        <w:numPr>
          <w:ilvl w:val="0"/>
          <w:numId w:val="167"/>
        </w:numPr>
        <w:jc w:val="both"/>
        <w:rPr>
          <w:rFonts w:asciiTheme="majorHAnsi" w:hAnsiTheme="majorHAnsi"/>
          <w:sz w:val="20"/>
          <w:szCs w:val="20"/>
          <w:lang w:eastAsia="fr-FR"/>
        </w:rPr>
      </w:pPr>
      <w:r w:rsidRPr="00A608EE">
        <w:rPr>
          <w:rFonts w:asciiTheme="majorHAnsi" w:hAnsiTheme="majorHAnsi"/>
          <w:sz w:val="20"/>
          <w:szCs w:val="20"/>
          <w:lang w:eastAsia="fr-FR"/>
        </w:rPr>
        <w:t>Interviews with operations</w:t>
      </w:r>
    </w:p>
    <w:p w14:paraId="696C30F6" w14:textId="77777777" w:rsidR="004133B9" w:rsidRPr="00A608EE" w:rsidRDefault="004133B9" w:rsidP="00A27AAA">
      <w:pPr>
        <w:numPr>
          <w:ilvl w:val="0"/>
          <w:numId w:val="167"/>
        </w:numPr>
        <w:jc w:val="both"/>
        <w:rPr>
          <w:rFonts w:asciiTheme="majorHAnsi" w:hAnsiTheme="majorHAnsi"/>
          <w:sz w:val="20"/>
          <w:szCs w:val="20"/>
          <w:lang w:eastAsia="fr-FR"/>
        </w:rPr>
      </w:pPr>
      <w:r w:rsidRPr="00A608EE">
        <w:rPr>
          <w:rFonts w:asciiTheme="majorHAnsi" w:hAnsiTheme="majorHAnsi"/>
          <w:sz w:val="20"/>
          <w:szCs w:val="20"/>
          <w:lang w:eastAsia="fr-FR"/>
        </w:rPr>
        <w:t>Reports on interviews with exiting or dormant clients</w:t>
      </w:r>
    </w:p>
    <w:p w14:paraId="18172076" w14:textId="77777777" w:rsidR="004133B9" w:rsidRPr="00A608EE" w:rsidRDefault="004133B9" w:rsidP="00EE208A">
      <w:pPr>
        <w:jc w:val="both"/>
        <w:rPr>
          <w:rFonts w:asciiTheme="majorHAnsi" w:hAnsiTheme="majorHAnsi"/>
          <w:sz w:val="20"/>
          <w:szCs w:val="20"/>
          <w:lang w:eastAsia="fr-FR"/>
        </w:rPr>
      </w:pPr>
    </w:p>
    <w:p w14:paraId="769F4600" w14:textId="6266AD67"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574D58C6" w14:textId="77777777" w:rsidR="004133B9" w:rsidRPr="00A608EE" w:rsidRDefault="004133B9" w:rsidP="00A27AAA">
      <w:pPr>
        <w:numPr>
          <w:ilvl w:val="0"/>
          <w:numId w:val="168"/>
        </w:numPr>
        <w:jc w:val="both"/>
        <w:rPr>
          <w:rFonts w:asciiTheme="majorHAnsi" w:hAnsiTheme="majorHAnsi"/>
          <w:sz w:val="20"/>
          <w:szCs w:val="20"/>
          <w:lang w:eastAsia="fr-FR"/>
        </w:rPr>
      </w:pPr>
      <w:r w:rsidRPr="00A608EE">
        <w:rPr>
          <w:rFonts w:asciiTheme="majorHAnsi" w:hAnsiTheme="majorHAnsi"/>
          <w:sz w:val="20"/>
          <w:szCs w:val="20"/>
          <w:lang w:eastAsia="fr-FR"/>
        </w:rPr>
        <w:t>Reports on client exit interviews: Specify how dormancy/drop-outs data is collected, and with what frequency it is analyzed.</w:t>
      </w:r>
    </w:p>
    <w:p w14:paraId="4D5377A0" w14:textId="77777777" w:rsidR="004133B9" w:rsidRPr="00A608EE" w:rsidRDefault="004133B9" w:rsidP="00A27AAA">
      <w:pPr>
        <w:numPr>
          <w:ilvl w:val="0"/>
          <w:numId w:val="168"/>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Provide an example of how this information has been used to inform product design, operations and/or customer service.</w:t>
      </w:r>
    </w:p>
    <w:p w14:paraId="7FEDD739" w14:textId="77777777" w:rsidR="004133B9" w:rsidRPr="00A608EE" w:rsidRDefault="004133B9" w:rsidP="00EE208A">
      <w:pPr>
        <w:jc w:val="both"/>
        <w:rPr>
          <w:rFonts w:asciiTheme="majorHAnsi" w:hAnsiTheme="majorHAnsi"/>
          <w:sz w:val="20"/>
          <w:szCs w:val="20"/>
          <w:lang w:eastAsia="fr-FR"/>
        </w:rPr>
      </w:pPr>
    </w:p>
    <w:p w14:paraId="16210AD9" w14:textId="4851A9D9" w:rsidR="004133B9" w:rsidRPr="00A608EE" w:rsidRDefault="004133B9"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3.A.3.2</w:t>
      </w:r>
    </w:p>
    <w:p w14:paraId="0CA9D285" w14:textId="77777777" w:rsidR="004133B9" w:rsidRPr="00A608EE" w:rsidRDefault="004133B9" w:rsidP="00A27AAA">
      <w:pPr>
        <w:numPr>
          <w:ilvl w:val="0"/>
          <w:numId w:val="169"/>
        </w:numPr>
        <w:jc w:val="both"/>
        <w:rPr>
          <w:rFonts w:asciiTheme="majorHAnsi" w:hAnsiTheme="majorHAnsi"/>
          <w:sz w:val="20"/>
          <w:szCs w:val="20"/>
          <w:lang w:eastAsia="fr-FR"/>
        </w:rPr>
      </w:pPr>
      <w:r w:rsidRPr="00A608EE">
        <w:rPr>
          <w:rFonts w:asciiTheme="majorHAnsi" w:hAnsiTheme="majorHAnsi"/>
          <w:sz w:val="20"/>
          <w:szCs w:val="20"/>
          <w:lang w:eastAsia="fr-FR"/>
        </w:rPr>
        <w:t>The Smart Campaign tool </w:t>
      </w:r>
      <w:hyperlink r:id="rId136" w:tgtFrame="_blank" w:history="1">
        <w:r w:rsidRPr="00A608EE">
          <w:rPr>
            <w:rStyle w:val="Hyperlink"/>
            <w:rFonts w:asciiTheme="majorHAnsi" w:hAnsiTheme="majorHAnsi"/>
            <w:sz w:val="20"/>
            <w:szCs w:val="20"/>
            <w:lang w:eastAsia="fr-FR"/>
          </w:rPr>
          <w:t>Collecting and Using Client Exit Data</w:t>
        </w:r>
      </w:hyperlink>
      <w:r w:rsidRPr="00A608EE">
        <w:rPr>
          <w:rFonts w:asciiTheme="majorHAnsi" w:hAnsiTheme="majorHAnsi"/>
          <w:sz w:val="20"/>
          <w:szCs w:val="20"/>
          <w:lang w:eastAsia="fr-FR"/>
        </w:rPr>
        <w:t> provides detailed guidance on creating and using an exit survey instrument.</w:t>
      </w:r>
    </w:p>
    <w:p w14:paraId="69FDE7D2" w14:textId="77777777" w:rsidR="004133B9" w:rsidRPr="00A608EE" w:rsidRDefault="004133B9" w:rsidP="00A27AAA">
      <w:pPr>
        <w:numPr>
          <w:ilvl w:val="0"/>
          <w:numId w:val="169"/>
        </w:numPr>
        <w:jc w:val="both"/>
        <w:rPr>
          <w:rFonts w:asciiTheme="majorHAnsi" w:hAnsiTheme="majorHAnsi"/>
          <w:sz w:val="20"/>
          <w:szCs w:val="20"/>
          <w:lang w:eastAsia="fr-FR"/>
        </w:rPr>
      </w:pPr>
      <w:r w:rsidRPr="00A608EE">
        <w:rPr>
          <w:rFonts w:asciiTheme="majorHAnsi" w:hAnsiTheme="majorHAnsi"/>
          <w:sz w:val="20"/>
          <w:szCs w:val="20"/>
          <w:lang w:eastAsia="fr-FR"/>
        </w:rPr>
        <w:t>The SPTF's </w:t>
      </w:r>
      <w:hyperlink r:id="rId137" w:tgtFrame="_blank" w:history="1">
        <w:r w:rsidRPr="00A608EE">
          <w:rPr>
            <w:rStyle w:val="Hyperlink"/>
            <w:rFonts w:asciiTheme="majorHAnsi" w:hAnsiTheme="majorHAnsi"/>
            <w:sz w:val="20"/>
            <w:szCs w:val="20"/>
            <w:lang w:eastAsia="fr-FR"/>
          </w:rPr>
          <w:t>Learning from Exit Clients discusses how to collect and use exiting client data.</w:t>
        </w:r>
      </w:hyperlink>
    </w:p>
    <w:p w14:paraId="65C93371" w14:textId="77777777" w:rsidR="00794B11" w:rsidRPr="00A608EE" w:rsidRDefault="00794B11" w:rsidP="00EE208A">
      <w:pPr>
        <w:jc w:val="both"/>
        <w:rPr>
          <w:rFonts w:asciiTheme="majorHAnsi" w:hAnsiTheme="majorHAnsi"/>
          <w:sz w:val="20"/>
          <w:szCs w:val="20"/>
        </w:rPr>
      </w:pPr>
    </w:p>
    <w:p w14:paraId="70FA433B" w14:textId="77777777" w:rsidR="00BF72FA" w:rsidRPr="00A608EE" w:rsidRDefault="00BF72FA" w:rsidP="00EE208A">
      <w:pPr>
        <w:jc w:val="both"/>
        <w:rPr>
          <w:rFonts w:asciiTheme="majorHAnsi" w:hAnsiTheme="majorHAnsi"/>
          <w:sz w:val="20"/>
          <w:szCs w:val="20"/>
        </w:rPr>
      </w:pPr>
    </w:p>
    <w:p w14:paraId="531F72F7" w14:textId="28319FEA" w:rsidR="00162F17" w:rsidRPr="00A608EE" w:rsidRDefault="00162F17" w:rsidP="00EE208A">
      <w:pPr>
        <w:pStyle w:val="Heading4"/>
        <w:spacing w:before="0" w:line="240" w:lineRule="auto"/>
        <w:jc w:val="both"/>
        <w:rPr>
          <w:sz w:val="20"/>
          <w:szCs w:val="20"/>
        </w:rPr>
      </w:pPr>
      <w:r w:rsidRPr="00A608EE">
        <w:rPr>
          <w:rStyle w:val="text-primary"/>
          <w:sz w:val="20"/>
          <w:szCs w:val="20"/>
        </w:rPr>
        <w:t>3.A.3.3</w:t>
      </w:r>
      <w:r w:rsidRPr="00A608EE">
        <w:rPr>
          <w:sz w:val="20"/>
          <w:szCs w:val="20"/>
        </w:rPr>
        <w:t xml:space="preserve"> </w:t>
      </w:r>
      <w:r w:rsidR="004133B9" w:rsidRPr="00A608EE">
        <w:rPr>
          <w:sz w:val="20"/>
          <w:szCs w:val="20"/>
        </w:rPr>
        <w:t>The provider investigates whether stresses at the household level make it more difficult for clients to use its products and services</w:t>
      </w:r>
      <w:r w:rsidR="00D73308" w:rsidRPr="00A608EE">
        <w:rPr>
          <w:sz w:val="20"/>
          <w:szCs w:val="20"/>
        </w:rPr>
        <w:t>.</w:t>
      </w:r>
    </w:p>
    <w:p w14:paraId="70008ACE" w14:textId="77777777" w:rsidR="00162F17" w:rsidRPr="00A608EE" w:rsidRDefault="00162F17" w:rsidP="00EE208A">
      <w:pPr>
        <w:jc w:val="both"/>
        <w:rPr>
          <w:rFonts w:asciiTheme="majorHAnsi" w:hAnsiTheme="majorHAnsi"/>
          <w:sz w:val="20"/>
          <w:szCs w:val="20"/>
        </w:rPr>
      </w:pPr>
    </w:p>
    <w:p w14:paraId="4FA57E75" w14:textId="5EE908E6" w:rsidR="00BF72FA"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BF72FA"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1AF1219A" w14:textId="09610B96" w:rsidR="00BF72FA" w:rsidRPr="00A608EE" w:rsidRDefault="006B2E26" w:rsidP="008D472A">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76FE4623" w14:textId="77777777" w:rsidR="004133B9" w:rsidRPr="00A608EE" w:rsidRDefault="004133B9" w:rsidP="00EE208A">
      <w:pPr>
        <w:pStyle w:val="NormalWeb"/>
        <w:spacing w:before="0" w:beforeAutospacing="0" w:after="0" w:afterAutospacing="0"/>
        <w:jc w:val="both"/>
        <w:rPr>
          <w:rFonts w:asciiTheme="majorHAnsi" w:hAnsiTheme="majorHAnsi"/>
          <w:sz w:val="20"/>
          <w:szCs w:val="20"/>
        </w:rPr>
      </w:pPr>
      <w:bookmarkStart w:id="54" w:name="_Hlk202364227"/>
      <w:r w:rsidRPr="00A608EE">
        <w:rPr>
          <w:rFonts w:asciiTheme="majorHAnsi" w:hAnsiTheme="majorHAnsi"/>
          <w:sz w:val="20"/>
          <w:szCs w:val="20"/>
        </w:rPr>
        <w:t>Sometimes, there are factors at the household level that limit clients’ or potential clients’ ability to use products and services. This is particularly true of women who may face opposition from their spouse to set up their own bank account or borrow. Women may also face time constraints from balancing their caregiving and income earning roles that limit their participation in certain products.</w:t>
      </w:r>
    </w:p>
    <w:p w14:paraId="21ABC08C" w14:textId="77777777" w:rsidR="006A6994" w:rsidRPr="00A608EE" w:rsidRDefault="006A6994" w:rsidP="00EE208A">
      <w:pPr>
        <w:pStyle w:val="NormalWeb"/>
        <w:spacing w:before="0" w:beforeAutospacing="0" w:after="0" w:afterAutospacing="0"/>
        <w:jc w:val="both"/>
        <w:rPr>
          <w:rFonts w:asciiTheme="majorHAnsi" w:hAnsiTheme="majorHAnsi"/>
          <w:sz w:val="20"/>
          <w:szCs w:val="20"/>
        </w:rPr>
      </w:pPr>
    </w:p>
    <w:p w14:paraId="13D59A1D" w14:textId="77777777" w:rsidR="004133B9" w:rsidRPr="00A608EE" w:rsidRDefault="004133B9"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Financial stress can also place constraints on women’s time and mobility. The COVID-19 pandemic placed stress on households in several ways from closing off sources of income to limiting mobility to health crises. Providers should investigate these possible constraints and stresses in their client surveys and include this lens in their analysis.</w:t>
      </w:r>
    </w:p>
    <w:p w14:paraId="1F995870"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18BA36F3"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30272" behindDoc="1" locked="0" layoutInCell="1" allowOverlap="1" wp14:anchorId="3ADAB768" wp14:editId="755C1FA6">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55271614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7606974"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0454285" w14:textId="42173009" w:rsidR="005F4278" w:rsidRPr="00A608EE" w:rsidRDefault="00FC6779" w:rsidP="006B2E26">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5F4278" w:rsidRPr="00A608EE">
        <w:rPr>
          <w:rFonts w:asciiTheme="majorHAnsi" w:hAnsiTheme="majorHAnsi"/>
          <w:sz w:val="20"/>
          <w:szCs w:val="20"/>
        </w:rPr>
        <w:t>The provider investigates whether particular stresses for households which include members with disabilities make it more difficult for persons with disabilities and / or their families / support persons to use its products and services.</w:t>
      </w:r>
    </w:p>
    <w:p w14:paraId="027798FC" w14:textId="77777777" w:rsidR="00901DD5" w:rsidRPr="00A608EE" w:rsidRDefault="00901DD5" w:rsidP="006B2E26">
      <w:pPr>
        <w:pStyle w:val="paragraph"/>
        <w:spacing w:before="0" w:beforeAutospacing="0" w:after="0" w:afterAutospacing="0"/>
        <w:jc w:val="both"/>
        <w:textAlignment w:val="baseline"/>
        <w:rPr>
          <w:rFonts w:asciiTheme="majorHAnsi" w:hAnsiTheme="majorHAnsi"/>
          <w:sz w:val="20"/>
          <w:szCs w:val="20"/>
        </w:rPr>
      </w:pPr>
    </w:p>
    <w:p w14:paraId="114CA5EF" w14:textId="240F8DBC" w:rsidR="00901DD5" w:rsidRPr="00A608EE" w:rsidRDefault="00901DD5" w:rsidP="006B2E26">
      <w:pPr>
        <w:pStyle w:val="paragraph"/>
        <w:spacing w:before="0" w:beforeAutospacing="0" w:after="0" w:afterAutospacing="0"/>
        <w:jc w:val="both"/>
        <w:textAlignment w:val="baseline"/>
        <w:rPr>
          <w:rFonts w:asciiTheme="majorHAnsi" w:hAnsiTheme="majorHAnsi"/>
          <w:sz w:val="20"/>
          <w:szCs w:val="20"/>
        </w:rPr>
      </w:pPr>
      <w:r w:rsidRPr="00A608EE">
        <w:rPr>
          <w:noProof/>
        </w:rPr>
        <mc:AlternateContent>
          <mc:Choice Requires="wps">
            <w:drawing>
              <wp:anchor distT="0" distB="0" distL="114300" distR="114300" simplePos="0" relativeHeight="251749376" behindDoc="0" locked="0" layoutInCell="1" allowOverlap="1" wp14:anchorId="03BD2045" wp14:editId="098BA8AC">
                <wp:simplePos x="0" y="0"/>
                <wp:positionH relativeFrom="column">
                  <wp:posOffset>0</wp:posOffset>
                </wp:positionH>
                <wp:positionV relativeFrom="paragraph">
                  <wp:posOffset>151765</wp:posOffset>
                </wp:positionV>
                <wp:extent cx="1828800" cy="1828800"/>
                <wp:effectExtent l="0" t="0" r="0" b="0"/>
                <wp:wrapSquare wrapText="bothSides"/>
                <wp:docPr id="2038434102"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A5DE11F" w14:textId="2FC26768" w:rsidR="00901DD5" w:rsidRPr="00820B09" w:rsidRDefault="00EB123D" w:rsidP="00901DD5">
                            <w:pPr>
                              <w:jc w:val="both"/>
                              <w:rPr>
                                <w:rFonts w:asciiTheme="majorHAnsi" w:hAnsiTheme="majorHAnsi"/>
                                <w:b/>
                                <w:bCs/>
                                <w:sz w:val="20"/>
                                <w:szCs w:val="20"/>
                                <w:lang w:eastAsia="fr-FR"/>
                              </w:rPr>
                            </w:pPr>
                            <w:bookmarkStart w:id="55" w:name="_Hlk226920355"/>
                            <w:r w:rsidRPr="00820B09">
                              <w:rPr>
                                <w:rFonts w:asciiTheme="majorHAnsi" w:hAnsiTheme="majorHAnsi"/>
                                <w:b/>
                                <w:bCs/>
                                <w:sz w:val="20"/>
                                <w:szCs w:val="20"/>
                                <w:lang w:eastAsia="fr-FR"/>
                              </w:rPr>
                              <w:t>Disability Inclusion - Info Box:</w:t>
                            </w:r>
                            <w:r w:rsidR="00901DD5" w:rsidRPr="00820B09">
                              <w:rPr>
                                <w:rFonts w:asciiTheme="majorHAnsi" w:hAnsiTheme="majorHAnsi"/>
                                <w:b/>
                                <w:bCs/>
                                <w:sz w:val="20"/>
                                <w:szCs w:val="20"/>
                                <w:lang w:eastAsia="fr-FR"/>
                              </w:rPr>
                              <w:t>3.A.3.</w:t>
                            </w:r>
                            <w:r w:rsidR="008B408D" w:rsidRPr="00820B09">
                              <w:rPr>
                                <w:rFonts w:asciiTheme="majorHAnsi" w:hAnsiTheme="majorHAnsi"/>
                                <w:b/>
                                <w:bCs/>
                                <w:sz w:val="20"/>
                                <w:szCs w:val="20"/>
                                <w:lang w:eastAsia="fr-FR"/>
                              </w:rPr>
                              <w:t>3</w:t>
                            </w:r>
                            <w:r w:rsidR="00901DD5" w:rsidRPr="00820B09">
                              <w:rPr>
                                <w:rFonts w:asciiTheme="majorHAnsi" w:hAnsiTheme="majorHAnsi"/>
                                <w:b/>
                                <w:bCs/>
                                <w:sz w:val="20"/>
                                <w:szCs w:val="20"/>
                                <w:lang w:eastAsia="fr-FR"/>
                              </w:rPr>
                              <w:t xml:space="preserve"> </w:t>
                            </w:r>
                            <w:bookmarkEnd w:id="55"/>
                          </w:p>
                          <w:p w14:paraId="38EBE1FE"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p>
                          <w:p w14:paraId="770C3D38" w14:textId="7B2D3047" w:rsidR="00901DD5" w:rsidRPr="00820B09" w:rsidRDefault="008B408D" w:rsidP="00901DD5">
                            <w:pPr>
                              <w:pStyle w:val="NormalWeb"/>
                              <w:spacing w:before="0" w:beforeAutospacing="0" w:after="0" w:afterAutospacing="0"/>
                              <w:jc w:val="both"/>
                              <w:rPr>
                                <w:rFonts w:asciiTheme="majorHAnsi" w:hAnsiTheme="majorHAnsi"/>
                                <w:sz w:val="20"/>
                                <w:szCs w:val="20"/>
                              </w:rPr>
                            </w:pPr>
                            <w:r w:rsidRPr="00820B09">
                              <w:rPr>
                                <w:rFonts w:asciiTheme="majorHAnsi" w:hAnsiTheme="majorHAnsi"/>
                                <w:sz w:val="20"/>
                                <w:szCs w:val="20"/>
                              </w:rPr>
                              <w:t xml:space="preserve">Households which include members with disabilities </w:t>
                            </w:r>
                            <w:r w:rsidR="00901DD5" w:rsidRPr="00820B09">
                              <w:rPr>
                                <w:rFonts w:asciiTheme="majorHAnsi" w:hAnsiTheme="majorHAnsi"/>
                                <w:sz w:val="20"/>
                                <w:szCs w:val="20"/>
                              </w:rPr>
                              <w:t xml:space="preserve">often face </w:t>
                            </w:r>
                            <w:r w:rsidRPr="00820B09">
                              <w:rPr>
                                <w:rFonts w:asciiTheme="majorHAnsi" w:hAnsiTheme="majorHAnsi"/>
                                <w:sz w:val="20"/>
                                <w:szCs w:val="20"/>
                              </w:rPr>
                              <w:t xml:space="preserve">greater financial stress </w:t>
                            </w:r>
                            <w:r w:rsidR="00901DD5" w:rsidRPr="00820B09">
                              <w:rPr>
                                <w:rFonts w:asciiTheme="majorHAnsi" w:hAnsiTheme="majorHAnsi"/>
                                <w:sz w:val="20"/>
                                <w:szCs w:val="20"/>
                              </w:rPr>
                              <w:t>as a result of both lower and irregular income, and higher living costs.</w:t>
                            </w:r>
                          </w:p>
                          <w:p w14:paraId="7DDF3FA7"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p>
                          <w:p w14:paraId="42C537CD"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r w:rsidRPr="00820B09">
                              <w:rPr>
                                <w:rFonts w:asciiTheme="majorHAnsi" w:hAnsiTheme="majorHAnsi"/>
                                <w:sz w:val="20"/>
                                <w:szCs w:val="20"/>
                              </w:rPr>
                              <w:t xml:space="preserve">Persons with disabilities face systemic exclusion from education and employment, and are more likely to turn to informal or self-employment for livelihood opportunities, often resulting in lower and less stable income. Women with disabilities in particular are often expected to perform unpaid care and domestic work in the home, reducing opportunities for economic participation. Similarly, economic opportunities for caregivers of persons with disabilities are restricted due to unpaid care work, with social norms dictating that mothers or other female household members are the primary caregivers  </w:t>
                            </w:r>
                          </w:p>
                          <w:p w14:paraId="187B2583"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p>
                          <w:p w14:paraId="5E924863" w14:textId="7FFD816C" w:rsidR="00901DD5" w:rsidRPr="00820B09" w:rsidRDefault="008B408D" w:rsidP="00901DD5">
                            <w:pPr>
                              <w:jc w:val="both"/>
                              <w:rPr>
                                <w:rFonts w:asciiTheme="majorHAnsi" w:hAnsiTheme="majorHAnsi"/>
                                <w:sz w:val="20"/>
                                <w:szCs w:val="20"/>
                                <w:lang w:eastAsia="fr-FR"/>
                              </w:rPr>
                            </w:pPr>
                            <w:r w:rsidRPr="00820B09">
                              <w:rPr>
                                <w:rFonts w:asciiTheme="majorHAnsi" w:hAnsiTheme="majorHAnsi"/>
                                <w:sz w:val="20"/>
                                <w:szCs w:val="20"/>
                                <w:lang w:eastAsia="fr-FR"/>
                              </w:rPr>
                              <w:t>Furthermore, many persons with disabilities incur additional expenses related to assistive devices, healthcare, medication, personal assistance, transportation, and accessible housing or technology. These costs are rarely fully covered by social protection schemes, even where these exist.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3BD2045" id="_x0000_s1041" type="#_x0000_t202" style="position:absolute;left:0;text-align:left;margin-left:0;margin-top:11.95pt;width:2in;height:2in;z-index:2517493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" filled="f" strokeweight=".5pt">
                <v:textbox style="mso-fit-shape-to-text:t">
                  <w:txbxContent>
                    <w:p w14:paraId="5A5DE11F" w14:textId="2FC26768" w:rsidR="00901DD5" w:rsidRPr="00820B09" w:rsidRDefault="00EB123D" w:rsidP="00901DD5">
                      <w:pPr>
                        <w:jc w:val="both"/>
                        <w:rPr>
                          <w:rFonts w:asciiTheme="majorHAnsi" w:hAnsiTheme="majorHAnsi"/>
                          <w:b/>
                          <w:bCs/>
                          <w:sz w:val="20"/>
                          <w:szCs w:val="20"/>
                          <w:lang w:eastAsia="fr-FR"/>
                        </w:rPr>
                      </w:pPr>
                      <w:bookmarkStart w:id="56" w:name="_Hlk226920355"/>
                      <w:r w:rsidRPr="00820B09">
                        <w:rPr>
                          <w:rFonts w:asciiTheme="majorHAnsi" w:hAnsiTheme="majorHAnsi"/>
                          <w:b/>
                          <w:bCs/>
                          <w:sz w:val="20"/>
                          <w:szCs w:val="20"/>
                          <w:lang w:eastAsia="fr-FR"/>
                        </w:rPr>
                        <w:t>Disability Inclusion - Info Box:</w:t>
                      </w:r>
                      <w:r w:rsidR="00901DD5" w:rsidRPr="00820B09">
                        <w:rPr>
                          <w:rFonts w:asciiTheme="majorHAnsi" w:hAnsiTheme="majorHAnsi"/>
                          <w:b/>
                          <w:bCs/>
                          <w:sz w:val="20"/>
                          <w:szCs w:val="20"/>
                          <w:lang w:eastAsia="fr-FR"/>
                        </w:rPr>
                        <w:t>3.A.3.</w:t>
                      </w:r>
                      <w:r w:rsidR="008B408D" w:rsidRPr="00820B09">
                        <w:rPr>
                          <w:rFonts w:asciiTheme="majorHAnsi" w:hAnsiTheme="majorHAnsi"/>
                          <w:b/>
                          <w:bCs/>
                          <w:sz w:val="20"/>
                          <w:szCs w:val="20"/>
                          <w:lang w:eastAsia="fr-FR"/>
                        </w:rPr>
                        <w:t>3</w:t>
                      </w:r>
                      <w:r w:rsidR="00901DD5" w:rsidRPr="00820B09">
                        <w:rPr>
                          <w:rFonts w:asciiTheme="majorHAnsi" w:hAnsiTheme="majorHAnsi"/>
                          <w:b/>
                          <w:bCs/>
                          <w:sz w:val="20"/>
                          <w:szCs w:val="20"/>
                          <w:lang w:eastAsia="fr-FR"/>
                        </w:rPr>
                        <w:t xml:space="preserve"> </w:t>
                      </w:r>
                      <w:bookmarkEnd w:id="56"/>
                    </w:p>
                    <w:p w14:paraId="38EBE1FE"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p>
                    <w:p w14:paraId="770C3D38" w14:textId="7B2D3047" w:rsidR="00901DD5" w:rsidRPr="00820B09" w:rsidRDefault="008B408D" w:rsidP="00901DD5">
                      <w:pPr>
                        <w:pStyle w:val="NormalWeb"/>
                        <w:spacing w:before="0" w:beforeAutospacing="0" w:after="0" w:afterAutospacing="0"/>
                        <w:jc w:val="both"/>
                        <w:rPr>
                          <w:rFonts w:asciiTheme="majorHAnsi" w:hAnsiTheme="majorHAnsi"/>
                          <w:sz w:val="20"/>
                          <w:szCs w:val="20"/>
                        </w:rPr>
                      </w:pPr>
                      <w:r w:rsidRPr="00820B09">
                        <w:rPr>
                          <w:rFonts w:asciiTheme="majorHAnsi" w:hAnsiTheme="majorHAnsi"/>
                          <w:sz w:val="20"/>
                          <w:szCs w:val="20"/>
                        </w:rPr>
                        <w:t xml:space="preserve">Households which include members with disabilities </w:t>
                      </w:r>
                      <w:r w:rsidR="00901DD5" w:rsidRPr="00820B09">
                        <w:rPr>
                          <w:rFonts w:asciiTheme="majorHAnsi" w:hAnsiTheme="majorHAnsi"/>
                          <w:sz w:val="20"/>
                          <w:szCs w:val="20"/>
                        </w:rPr>
                        <w:t xml:space="preserve">often face </w:t>
                      </w:r>
                      <w:r w:rsidRPr="00820B09">
                        <w:rPr>
                          <w:rFonts w:asciiTheme="majorHAnsi" w:hAnsiTheme="majorHAnsi"/>
                          <w:sz w:val="20"/>
                          <w:szCs w:val="20"/>
                        </w:rPr>
                        <w:t xml:space="preserve">greater financial stress </w:t>
                      </w:r>
                      <w:r w:rsidR="00901DD5" w:rsidRPr="00820B09">
                        <w:rPr>
                          <w:rFonts w:asciiTheme="majorHAnsi" w:hAnsiTheme="majorHAnsi"/>
                          <w:sz w:val="20"/>
                          <w:szCs w:val="20"/>
                        </w:rPr>
                        <w:t>as a result of both lower and irregular income, and higher living costs.</w:t>
                      </w:r>
                    </w:p>
                    <w:p w14:paraId="7DDF3FA7"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p>
                    <w:p w14:paraId="42C537CD"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r w:rsidRPr="00820B09">
                        <w:rPr>
                          <w:rFonts w:asciiTheme="majorHAnsi" w:hAnsiTheme="majorHAnsi"/>
                          <w:sz w:val="20"/>
                          <w:szCs w:val="20"/>
                        </w:rPr>
                        <w:t xml:space="preserve">Persons with disabilities face systemic exclusion from education and employment, and are more likely to turn to informal or self-employment for livelihood opportunities, often resulting in lower and less stable income. Women with disabilities in particular are often expected to perform unpaid care and domestic work in the home, reducing opportunities for economic participation. Similarly, economic opportunities for caregivers of persons with disabilities are restricted due to unpaid care work, with social norms dictating that mothers or other female household members are the primary caregivers  </w:t>
                      </w:r>
                    </w:p>
                    <w:p w14:paraId="187B2583" w14:textId="77777777" w:rsidR="00901DD5" w:rsidRPr="00820B09" w:rsidRDefault="00901DD5" w:rsidP="00901DD5">
                      <w:pPr>
                        <w:pStyle w:val="NormalWeb"/>
                        <w:spacing w:before="0" w:beforeAutospacing="0" w:after="0" w:afterAutospacing="0"/>
                        <w:jc w:val="both"/>
                        <w:rPr>
                          <w:rFonts w:asciiTheme="majorHAnsi" w:hAnsiTheme="majorHAnsi"/>
                          <w:sz w:val="20"/>
                          <w:szCs w:val="20"/>
                        </w:rPr>
                      </w:pPr>
                    </w:p>
                    <w:p w14:paraId="5E924863" w14:textId="7FFD816C" w:rsidR="00901DD5" w:rsidRPr="00820B09" w:rsidRDefault="008B408D" w:rsidP="00901DD5">
                      <w:pPr>
                        <w:jc w:val="both"/>
                        <w:rPr>
                          <w:rFonts w:asciiTheme="majorHAnsi" w:hAnsiTheme="majorHAnsi"/>
                          <w:sz w:val="20"/>
                          <w:szCs w:val="20"/>
                          <w:lang w:eastAsia="fr-FR"/>
                        </w:rPr>
                      </w:pPr>
                      <w:r w:rsidRPr="00820B09">
                        <w:rPr>
                          <w:rFonts w:asciiTheme="majorHAnsi" w:hAnsiTheme="majorHAnsi"/>
                          <w:sz w:val="20"/>
                          <w:szCs w:val="20"/>
                          <w:lang w:eastAsia="fr-FR"/>
                        </w:rPr>
                        <w:t>Furthermore, many persons with disabilities incur additional expenses related to assistive devices, healthcare, medication, personal assistance, transportation, and accessible housing or technology. These costs are rarely fully covered by social protection schemes, even where these exist.</w:t>
                      </w:r>
                    </w:p>
                  </w:txbxContent>
                </v:textbox>
                <w10:wrap type="square"/>
              </v:shape>
            </w:pict>
          </mc:Fallback>
        </mc:AlternateContent>
      </w:r>
    </w:p>
    <w:p w14:paraId="0DB521C2" w14:textId="77777777" w:rsidR="005F4278" w:rsidRPr="00A608EE" w:rsidRDefault="005F4278" w:rsidP="006B2E26">
      <w:pPr>
        <w:pStyle w:val="paragraph"/>
        <w:spacing w:before="0" w:beforeAutospacing="0" w:after="0" w:afterAutospacing="0"/>
        <w:jc w:val="both"/>
        <w:textAlignment w:val="baseline"/>
        <w:rPr>
          <w:sz w:val="20"/>
          <w:szCs w:val="20"/>
        </w:rPr>
      </w:pPr>
    </w:p>
    <w:p w14:paraId="50359E90" w14:textId="77777777" w:rsidR="004133B9" w:rsidRPr="00A608EE" w:rsidRDefault="004133B9" w:rsidP="00EE208A">
      <w:pPr>
        <w:pStyle w:val="NormalWeb"/>
        <w:spacing w:before="0" w:beforeAutospacing="0" w:after="0" w:afterAutospacing="0"/>
        <w:jc w:val="both"/>
        <w:rPr>
          <w:rFonts w:asciiTheme="majorHAnsi" w:hAnsiTheme="majorHAnsi"/>
          <w:sz w:val="20"/>
          <w:szCs w:val="20"/>
        </w:rPr>
      </w:pPr>
    </w:p>
    <w:p w14:paraId="04860582" w14:textId="71FE9F63" w:rsidR="004133B9" w:rsidRPr="00A608EE" w:rsidRDefault="004133B9"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248DFDD5" w14:textId="77777777" w:rsidR="004133B9" w:rsidRPr="00A608EE" w:rsidRDefault="004133B9" w:rsidP="00A27AAA">
      <w:pPr>
        <w:pStyle w:val="NormalWeb"/>
        <w:numPr>
          <w:ilvl w:val="0"/>
          <w:numId w:val="17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w:t>
      </w:r>
    </w:p>
    <w:p w14:paraId="764F914B" w14:textId="77777777" w:rsidR="004133B9" w:rsidRPr="00A608EE" w:rsidRDefault="004133B9" w:rsidP="00A27AAA">
      <w:pPr>
        <w:pStyle w:val="NormalWeb"/>
        <w:numPr>
          <w:ilvl w:val="1"/>
          <w:numId w:val="17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includes questions in client interviews and surveys about factors in the household context that may affect product usage and</w:t>
      </w:r>
    </w:p>
    <w:p w14:paraId="6585DDEF" w14:textId="77777777" w:rsidR="004133B9" w:rsidRPr="00A608EE" w:rsidRDefault="004133B9" w:rsidP="00A27AAA">
      <w:pPr>
        <w:pStyle w:val="NormalWeb"/>
        <w:numPr>
          <w:ilvl w:val="1"/>
          <w:numId w:val="17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use this information to review its products/services and their distribution channels.</w:t>
      </w:r>
    </w:p>
    <w:p w14:paraId="5BA0050C" w14:textId="77777777" w:rsidR="004133B9" w:rsidRPr="00A608EE" w:rsidRDefault="004133B9" w:rsidP="00A27AAA">
      <w:pPr>
        <w:pStyle w:val="NormalWeb"/>
        <w:numPr>
          <w:ilvl w:val="0"/>
          <w:numId w:val="17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includes questions in client interviews and surveys about factors in the household context that may affect product usage, but does not use this information to review its products/services and their distribution channels .</w:t>
      </w:r>
    </w:p>
    <w:p w14:paraId="24EE746E" w14:textId="77777777" w:rsidR="004133B9" w:rsidRPr="00A608EE" w:rsidRDefault="004133B9" w:rsidP="00A27AAA">
      <w:pPr>
        <w:pStyle w:val="NormalWeb"/>
        <w:numPr>
          <w:ilvl w:val="0"/>
          <w:numId w:val="17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includes questions in client interviews and surveys about factors in the household context that may affect product usage.</w:t>
      </w:r>
    </w:p>
    <w:p w14:paraId="03E436A3" w14:textId="77777777" w:rsidR="004133B9" w:rsidRPr="00A608EE" w:rsidRDefault="004133B9" w:rsidP="00EE208A">
      <w:pPr>
        <w:pStyle w:val="NormalWeb"/>
        <w:spacing w:before="0" w:beforeAutospacing="0" w:after="0" w:afterAutospacing="0"/>
        <w:jc w:val="both"/>
        <w:rPr>
          <w:rFonts w:asciiTheme="majorHAnsi" w:hAnsiTheme="majorHAnsi"/>
          <w:b/>
          <w:bCs/>
          <w:sz w:val="20"/>
          <w:szCs w:val="20"/>
        </w:rPr>
      </w:pPr>
    </w:p>
    <w:p w14:paraId="6AF555FB" w14:textId="3410CF0F" w:rsidR="004133B9" w:rsidRPr="00A608EE" w:rsidRDefault="004133B9"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60F07CF6" w14:textId="77777777" w:rsidR="004133B9" w:rsidRPr="00A608EE" w:rsidRDefault="004133B9" w:rsidP="00A27AAA">
      <w:pPr>
        <w:pStyle w:val="NormalWeb"/>
        <w:numPr>
          <w:ilvl w:val="0"/>
          <w:numId w:val="17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marketing / product development</w:t>
      </w:r>
    </w:p>
    <w:p w14:paraId="04F6D019" w14:textId="77777777" w:rsidR="004133B9" w:rsidRPr="00A608EE" w:rsidRDefault="004133B9" w:rsidP="00A27AAA">
      <w:pPr>
        <w:pStyle w:val="NormalWeb"/>
        <w:numPr>
          <w:ilvl w:val="0"/>
          <w:numId w:val="17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operations</w:t>
      </w:r>
    </w:p>
    <w:p w14:paraId="0B9A03AF" w14:textId="77777777" w:rsidR="004133B9" w:rsidRPr="00A608EE" w:rsidRDefault="004133B9" w:rsidP="00A27AAA">
      <w:pPr>
        <w:pStyle w:val="NormalWeb"/>
        <w:numPr>
          <w:ilvl w:val="0"/>
          <w:numId w:val="17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field staff</w:t>
      </w:r>
    </w:p>
    <w:p w14:paraId="2E8C17AF" w14:textId="77777777" w:rsidR="004133B9" w:rsidRPr="00A608EE" w:rsidRDefault="004133B9" w:rsidP="00A27AAA">
      <w:pPr>
        <w:pStyle w:val="NormalWeb"/>
        <w:numPr>
          <w:ilvl w:val="0"/>
          <w:numId w:val="17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Client interviews and survey methodology, questionnaires and reports on the findings</w:t>
      </w:r>
    </w:p>
    <w:p w14:paraId="501F8A93" w14:textId="77777777" w:rsidR="004133B9" w:rsidRPr="00A608EE" w:rsidRDefault="004133B9" w:rsidP="00EE208A">
      <w:pPr>
        <w:pStyle w:val="NormalWeb"/>
        <w:spacing w:before="0" w:beforeAutospacing="0" w:after="0" w:afterAutospacing="0"/>
        <w:jc w:val="both"/>
        <w:rPr>
          <w:rFonts w:asciiTheme="majorHAnsi" w:hAnsiTheme="majorHAnsi"/>
          <w:b/>
          <w:bCs/>
          <w:sz w:val="20"/>
          <w:szCs w:val="20"/>
        </w:rPr>
      </w:pPr>
    </w:p>
    <w:p w14:paraId="686B0A89" w14:textId="77777777" w:rsidR="006A6994" w:rsidRPr="00A608EE" w:rsidRDefault="006A6994" w:rsidP="00EE208A">
      <w:pPr>
        <w:pStyle w:val="NormalWeb"/>
        <w:spacing w:before="0" w:beforeAutospacing="0" w:after="0"/>
        <w:jc w:val="both"/>
        <w:rPr>
          <w:rFonts w:asciiTheme="majorHAnsi" w:hAnsiTheme="majorHAnsi"/>
          <w:b/>
          <w:bCs/>
          <w:sz w:val="20"/>
          <w:szCs w:val="20"/>
        </w:rPr>
      </w:pPr>
      <w:r w:rsidRPr="00A608EE">
        <w:rPr>
          <w:rFonts w:asciiTheme="majorHAnsi" w:hAnsiTheme="majorHAnsi"/>
          <w:b/>
          <w:bCs/>
          <w:sz w:val="20"/>
          <w:szCs w:val="20"/>
        </w:rPr>
        <w:t>Evidence to provide</w:t>
      </w:r>
    </w:p>
    <w:p w14:paraId="26AF4FCF" w14:textId="6D8023D3" w:rsidR="006A6994" w:rsidRPr="00A608EE" w:rsidRDefault="006A69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type of study conducted, the main findings regarding customer stress, and the measures envisaged.</w:t>
      </w:r>
    </w:p>
    <w:p w14:paraId="49AB6B58" w14:textId="77777777" w:rsidR="006A6994" w:rsidRPr="00A608EE" w:rsidRDefault="006A6994" w:rsidP="00EE208A">
      <w:pPr>
        <w:pStyle w:val="NormalWeb"/>
        <w:spacing w:before="0" w:beforeAutospacing="0" w:after="0" w:afterAutospacing="0"/>
        <w:jc w:val="both"/>
        <w:rPr>
          <w:rFonts w:asciiTheme="majorHAnsi" w:hAnsiTheme="majorHAnsi"/>
          <w:b/>
          <w:bCs/>
          <w:sz w:val="20"/>
          <w:szCs w:val="20"/>
        </w:rPr>
      </w:pPr>
    </w:p>
    <w:p w14:paraId="4F755683" w14:textId="6510C9EE" w:rsidR="004133B9" w:rsidRPr="00A608EE" w:rsidRDefault="004133B9"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3.A.3.3</w:t>
      </w:r>
    </w:p>
    <w:p w14:paraId="5B9D0E40" w14:textId="77777777" w:rsidR="00FA29F7" w:rsidRPr="00A608EE" w:rsidRDefault="00FA29F7" w:rsidP="00A27AAA">
      <w:pPr>
        <w:numPr>
          <w:ilvl w:val="0"/>
          <w:numId w:val="63"/>
        </w:numPr>
        <w:jc w:val="both"/>
        <w:rPr>
          <w:rFonts w:asciiTheme="majorHAnsi" w:hAnsiTheme="majorHAnsi"/>
          <w:sz w:val="20"/>
          <w:szCs w:val="20"/>
        </w:rPr>
      </w:pPr>
      <w:hyperlink r:id="rId138" w:history="1">
        <w:r w:rsidRPr="00A608EE">
          <w:rPr>
            <w:rStyle w:val="Hyperlink"/>
            <w:rFonts w:asciiTheme="majorHAnsi" w:hAnsiTheme="majorHAnsi"/>
            <w:sz w:val="20"/>
            <w:szCs w:val="20"/>
          </w:rPr>
          <w:t>COVID-19 Client Interview Tool Data Insights and Recommendations for Funders, FSPs, and Regulators</w:t>
        </w:r>
      </w:hyperlink>
    </w:p>
    <w:p w14:paraId="33389F97" w14:textId="77777777" w:rsidR="00FA29F7" w:rsidRPr="00A608EE" w:rsidRDefault="00FA29F7" w:rsidP="00A27AAA">
      <w:pPr>
        <w:numPr>
          <w:ilvl w:val="0"/>
          <w:numId w:val="63"/>
        </w:numPr>
        <w:jc w:val="both"/>
        <w:rPr>
          <w:rFonts w:asciiTheme="majorHAnsi" w:hAnsiTheme="majorHAnsi"/>
          <w:sz w:val="20"/>
          <w:szCs w:val="20"/>
          <w:lang w:val="es-ES"/>
        </w:rPr>
      </w:pPr>
      <w:hyperlink r:id="rId139" w:history="1">
        <w:r w:rsidRPr="00A608EE">
          <w:rPr>
            <w:rStyle w:val="Hyperlink"/>
            <w:rFonts w:asciiTheme="majorHAnsi" w:hAnsiTheme="majorHAnsi"/>
            <w:sz w:val="20"/>
            <w:szCs w:val="20"/>
            <w:lang w:val="es-ES"/>
          </w:rPr>
          <w:t>Caso de toma de decisiones impulsada por los datos del COVID-19 en Perú COOPAC MF Prisma</w:t>
        </w:r>
      </w:hyperlink>
    </w:p>
    <w:p w14:paraId="1E4F44BD" w14:textId="77777777" w:rsidR="00FA29F7" w:rsidRPr="00A608EE" w:rsidRDefault="00FA29F7" w:rsidP="00A27AAA">
      <w:pPr>
        <w:numPr>
          <w:ilvl w:val="0"/>
          <w:numId w:val="63"/>
        </w:numPr>
        <w:jc w:val="both"/>
        <w:rPr>
          <w:rFonts w:asciiTheme="majorHAnsi" w:hAnsiTheme="majorHAnsi"/>
          <w:sz w:val="20"/>
          <w:szCs w:val="20"/>
        </w:rPr>
      </w:pPr>
      <w:hyperlink r:id="rId140" w:history="1">
        <w:r w:rsidRPr="00A608EE">
          <w:rPr>
            <w:rStyle w:val="Hyperlink"/>
            <w:rFonts w:asciiTheme="majorHAnsi" w:hAnsiTheme="majorHAnsi"/>
            <w:sz w:val="20"/>
            <w:szCs w:val="20"/>
          </w:rPr>
          <w:t>RICHES Toolkit, Phase 1: Social Performance Management Guide</w:t>
        </w:r>
      </w:hyperlink>
    </w:p>
    <w:p w14:paraId="620CDB2D" w14:textId="77777777" w:rsidR="00FA29F7" w:rsidRPr="00A608EE" w:rsidRDefault="00FA29F7" w:rsidP="00A27AAA">
      <w:pPr>
        <w:numPr>
          <w:ilvl w:val="0"/>
          <w:numId w:val="63"/>
        </w:numPr>
        <w:jc w:val="both"/>
        <w:rPr>
          <w:rFonts w:asciiTheme="majorHAnsi" w:hAnsiTheme="majorHAnsi"/>
          <w:sz w:val="20"/>
          <w:szCs w:val="20"/>
        </w:rPr>
      </w:pPr>
      <w:hyperlink r:id="rId141" w:history="1">
        <w:r w:rsidRPr="00A608EE">
          <w:rPr>
            <w:rStyle w:val="Hyperlink"/>
            <w:rFonts w:asciiTheme="majorHAnsi" w:hAnsiTheme="majorHAnsi"/>
            <w:sz w:val="20"/>
            <w:szCs w:val="20"/>
          </w:rPr>
          <w:t>RICHES Toolkit, Phase 1: Risk Assessments - Evaluating Your Organization’s Risks of Harmful Work for Children and Adults</w:t>
        </w:r>
      </w:hyperlink>
    </w:p>
    <w:p w14:paraId="2241495B" w14:textId="0855B7BB" w:rsidR="00FA29F7" w:rsidRPr="00A608EE" w:rsidRDefault="00FA29F7" w:rsidP="00A27AAA">
      <w:pPr>
        <w:numPr>
          <w:ilvl w:val="0"/>
          <w:numId w:val="63"/>
        </w:numPr>
        <w:jc w:val="both"/>
        <w:rPr>
          <w:rFonts w:asciiTheme="majorHAnsi" w:hAnsiTheme="majorHAnsi"/>
          <w:sz w:val="20"/>
          <w:szCs w:val="20"/>
        </w:rPr>
      </w:pPr>
      <w:hyperlink r:id="rId142" w:history="1">
        <w:r w:rsidRPr="00A608EE">
          <w:rPr>
            <w:rStyle w:val="Hyperlink"/>
            <w:rFonts w:asciiTheme="majorHAnsi" w:hAnsiTheme="majorHAnsi"/>
            <w:sz w:val="20"/>
            <w:szCs w:val="20"/>
          </w:rPr>
          <w:t>SPM Essentials Webinar #8: Barriers, Bias and Banking Webinar</w:t>
        </w:r>
      </w:hyperlink>
    </w:p>
    <w:bookmarkEnd w:id="54"/>
    <w:p w14:paraId="0C68E603" w14:textId="77777777" w:rsidR="00C6004A" w:rsidRPr="00A608EE" w:rsidRDefault="00C6004A" w:rsidP="00EE208A">
      <w:pPr>
        <w:jc w:val="both"/>
        <w:rPr>
          <w:rFonts w:asciiTheme="majorHAnsi" w:hAnsiTheme="majorHAnsi"/>
          <w:sz w:val="20"/>
          <w:szCs w:val="20"/>
        </w:rPr>
      </w:pPr>
    </w:p>
    <w:p w14:paraId="3A84F50E" w14:textId="5B49A9D7" w:rsidR="00520E0A" w:rsidRPr="00A608EE" w:rsidRDefault="00520E0A" w:rsidP="00EE208A">
      <w:pPr>
        <w:jc w:val="both"/>
        <w:rPr>
          <w:rFonts w:asciiTheme="majorHAnsi" w:hAnsiTheme="majorHAnsi"/>
          <w:sz w:val="20"/>
          <w:szCs w:val="20"/>
        </w:rPr>
      </w:pPr>
    </w:p>
    <w:p w14:paraId="096C2CFD" w14:textId="4AA12AB0" w:rsidR="001C3B16" w:rsidRPr="00A608EE" w:rsidRDefault="002304D2" w:rsidP="00EE208A">
      <w:pPr>
        <w:pStyle w:val="Heading2"/>
        <w:spacing w:before="0" w:line="240" w:lineRule="auto"/>
        <w:jc w:val="both"/>
        <w:rPr>
          <w:sz w:val="20"/>
          <w:szCs w:val="20"/>
        </w:rPr>
      </w:pPr>
      <w:bookmarkStart w:id="57" w:name="_Toc230938789"/>
      <w:r w:rsidRPr="00A608EE">
        <w:rPr>
          <w:rStyle w:val="text-primary"/>
        </w:rPr>
        <w:t>Standard</w:t>
      </w:r>
      <w:r w:rsidR="001C3B16" w:rsidRPr="00A608EE">
        <w:rPr>
          <w:rStyle w:val="text-primary"/>
        </w:rPr>
        <w:t xml:space="preserve"> 3B. </w:t>
      </w:r>
      <w:r w:rsidR="005E0C8D" w:rsidRPr="00A608EE">
        <w:rPr>
          <w:rStyle w:val="text-primary"/>
        </w:rPr>
        <w:t>The provider’s products, services, and channels benefit clients</w:t>
      </w:r>
      <w:r w:rsidR="00D73308" w:rsidRPr="00A608EE">
        <w:rPr>
          <w:rStyle w:val="text-primary"/>
        </w:rPr>
        <w:t>.</w:t>
      </w:r>
      <w:bookmarkEnd w:id="57"/>
    </w:p>
    <w:p w14:paraId="65785D21" w14:textId="77777777" w:rsidR="0021538B" w:rsidRPr="00A608EE" w:rsidRDefault="0021538B" w:rsidP="00EE208A">
      <w:pPr>
        <w:jc w:val="both"/>
        <w:rPr>
          <w:rFonts w:asciiTheme="majorHAnsi" w:hAnsiTheme="majorHAnsi"/>
          <w:sz w:val="20"/>
          <w:szCs w:val="20"/>
        </w:rPr>
      </w:pPr>
    </w:p>
    <w:p w14:paraId="0C1C6685" w14:textId="77777777" w:rsidR="005E0C8D" w:rsidRPr="00A608EE" w:rsidRDefault="005E0C8D" w:rsidP="00EE208A">
      <w:pPr>
        <w:jc w:val="both"/>
        <w:rPr>
          <w:rFonts w:asciiTheme="majorHAnsi" w:hAnsiTheme="majorHAnsi"/>
          <w:sz w:val="20"/>
          <w:szCs w:val="20"/>
        </w:rPr>
      </w:pPr>
      <w:r w:rsidRPr="00A608EE">
        <w:rPr>
          <w:rFonts w:asciiTheme="majorHAnsi" w:hAnsiTheme="majorHAnsi"/>
          <w:sz w:val="20"/>
          <w:szCs w:val="20"/>
        </w:rPr>
        <w:t>Collecting client feedback and data on client outcomes should serve the purpose of offering suitable and client-centric products and services through appropriate channels that create client benefits. Standard 3B focuses on using client data (market research, client transactional and usage data, client satisfaction, complaints and exit surveys, and outcomes) to make decisions regarding the design and improvement of products and services to benefit clients.</w:t>
      </w:r>
    </w:p>
    <w:p w14:paraId="4763CAB8" w14:textId="77777777" w:rsidR="005E0C8D" w:rsidRPr="00A608EE" w:rsidRDefault="005E0C8D" w:rsidP="00EE208A">
      <w:pPr>
        <w:jc w:val="both"/>
        <w:rPr>
          <w:rFonts w:asciiTheme="majorHAnsi" w:hAnsiTheme="majorHAnsi"/>
          <w:sz w:val="20"/>
          <w:szCs w:val="20"/>
        </w:rPr>
      </w:pPr>
    </w:p>
    <w:p w14:paraId="3895A8BE" w14:textId="7A0FB370" w:rsidR="005E0C8D" w:rsidRPr="00A608EE" w:rsidRDefault="005E0C8D" w:rsidP="00EE208A">
      <w:pPr>
        <w:jc w:val="both"/>
        <w:rPr>
          <w:rFonts w:asciiTheme="majorHAnsi" w:hAnsiTheme="majorHAnsi"/>
          <w:sz w:val="20"/>
          <w:szCs w:val="20"/>
        </w:rPr>
      </w:pPr>
      <w:r w:rsidRPr="00A608EE">
        <w:rPr>
          <w:rFonts w:asciiTheme="majorHAnsi" w:hAnsiTheme="majorHAnsi"/>
          <w:sz w:val="20"/>
          <w:szCs w:val="20"/>
        </w:rPr>
        <w:t>This standard has 5 essential practices:</w:t>
      </w:r>
    </w:p>
    <w:p w14:paraId="60774097" w14:textId="0BC2375D" w:rsidR="005E0C8D" w:rsidRPr="00A608EE" w:rsidRDefault="005E0C8D" w:rsidP="00A27AAA">
      <w:pPr>
        <w:numPr>
          <w:ilvl w:val="0"/>
          <w:numId w:val="172"/>
        </w:numPr>
        <w:jc w:val="both"/>
        <w:rPr>
          <w:rFonts w:asciiTheme="majorHAnsi" w:hAnsiTheme="majorHAnsi"/>
          <w:sz w:val="20"/>
          <w:szCs w:val="20"/>
        </w:rPr>
      </w:pPr>
      <w:r w:rsidRPr="00A608EE">
        <w:rPr>
          <w:rFonts w:asciiTheme="majorHAnsi" w:hAnsiTheme="majorHAnsi"/>
          <w:sz w:val="20"/>
          <w:szCs w:val="20"/>
        </w:rPr>
        <w:t>Essential Practice 3.B.1: The provider uses insights from client data to design products, services, and delivery channels.</w:t>
      </w:r>
    </w:p>
    <w:p w14:paraId="59F5C34F" w14:textId="72980C59" w:rsidR="005E0C8D" w:rsidRPr="00A608EE" w:rsidRDefault="005E0C8D" w:rsidP="00A27AAA">
      <w:pPr>
        <w:numPr>
          <w:ilvl w:val="0"/>
          <w:numId w:val="172"/>
        </w:numPr>
        <w:jc w:val="both"/>
        <w:rPr>
          <w:rFonts w:asciiTheme="majorHAnsi" w:hAnsiTheme="majorHAnsi"/>
          <w:sz w:val="20"/>
          <w:szCs w:val="20"/>
        </w:rPr>
      </w:pPr>
      <w:r w:rsidRPr="00A608EE">
        <w:rPr>
          <w:rFonts w:asciiTheme="majorHAnsi" w:hAnsiTheme="majorHAnsi"/>
          <w:sz w:val="20"/>
          <w:szCs w:val="20"/>
        </w:rPr>
        <w:t>Essential Practice 3.B.2 The provider removes barriers that prevent access to financial products and services.</w:t>
      </w:r>
    </w:p>
    <w:p w14:paraId="4452A177" w14:textId="532450AA" w:rsidR="005E0C8D" w:rsidRPr="00A608EE" w:rsidRDefault="005E0C8D" w:rsidP="00A27AAA">
      <w:pPr>
        <w:numPr>
          <w:ilvl w:val="0"/>
          <w:numId w:val="172"/>
        </w:numPr>
        <w:jc w:val="both"/>
        <w:rPr>
          <w:rFonts w:asciiTheme="majorHAnsi" w:hAnsiTheme="majorHAnsi"/>
          <w:sz w:val="20"/>
          <w:szCs w:val="20"/>
        </w:rPr>
      </w:pPr>
      <w:r w:rsidRPr="00A608EE">
        <w:rPr>
          <w:rFonts w:asciiTheme="majorHAnsi" w:hAnsiTheme="majorHAnsi"/>
          <w:sz w:val="20"/>
          <w:szCs w:val="20"/>
        </w:rPr>
        <w:t>Essential Practice 3.B.3: The provider's products, services, and channels protect clients from harm.</w:t>
      </w:r>
    </w:p>
    <w:p w14:paraId="31091E0F" w14:textId="1D3457C9" w:rsidR="005E0C8D" w:rsidRPr="00A608EE" w:rsidRDefault="005E0C8D" w:rsidP="00A27AAA">
      <w:pPr>
        <w:numPr>
          <w:ilvl w:val="0"/>
          <w:numId w:val="172"/>
        </w:numPr>
        <w:jc w:val="both"/>
        <w:rPr>
          <w:rFonts w:asciiTheme="majorHAnsi" w:hAnsiTheme="majorHAnsi"/>
          <w:sz w:val="20"/>
          <w:szCs w:val="20"/>
        </w:rPr>
      </w:pPr>
      <w:r w:rsidRPr="00A608EE">
        <w:rPr>
          <w:rFonts w:asciiTheme="majorHAnsi" w:hAnsiTheme="majorHAnsi"/>
          <w:sz w:val="20"/>
          <w:szCs w:val="20"/>
        </w:rPr>
        <w:t>Essential Practice 3.B.4: The provider's products and services help clients reduce their vulnerability to shock and smooth consumption.</w:t>
      </w:r>
    </w:p>
    <w:p w14:paraId="45D2F865" w14:textId="69D5502C" w:rsidR="005E0C8D" w:rsidRPr="00A608EE" w:rsidRDefault="005E0C8D" w:rsidP="00A27AAA">
      <w:pPr>
        <w:numPr>
          <w:ilvl w:val="0"/>
          <w:numId w:val="172"/>
        </w:numPr>
        <w:jc w:val="both"/>
        <w:rPr>
          <w:rFonts w:asciiTheme="majorHAnsi" w:hAnsiTheme="majorHAnsi"/>
          <w:sz w:val="20"/>
          <w:szCs w:val="20"/>
        </w:rPr>
      </w:pPr>
      <w:r w:rsidRPr="00A608EE">
        <w:rPr>
          <w:rFonts w:asciiTheme="majorHAnsi" w:hAnsiTheme="majorHAnsi"/>
          <w:sz w:val="20"/>
          <w:szCs w:val="20"/>
        </w:rPr>
        <w:t>Essential Practice 3.B.5: The provider's products and services help clients achieve their goals.</w:t>
      </w:r>
    </w:p>
    <w:p w14:paraId="107BD7BA" w14:textId="77777777" w:rsidR="005E0C8D" w:rsidRPr="00A608EE" w:rsidRDefault="005E0C8D" w:rsidP="00EE208A">
      <w:pPr>
        <w:jc w:val="both"/>
        <w:rPr>
          <w:rFonts w:asciiTheme="majorHAnsi" w:hAnsiTheme="majorHAnsi"/>
          <w:b/>
          <w:bCs/>
          <w:sz w:val="20"/>
          <w:szCs w:val="20"/>
        </w:rPr>
      </w:pPr>
    </w:p>
    <w:p w14:paraId="49901774" w14:textId="7AAE6C40" w:rsidR="005E0C8D" w:rsidRPr="00A608EE" w:rsidRDefault="005E0C8D" w:rsidP="00EE208A">
      <w:pPr>
        <w:jc w:val="both"/>
        <w:rPr>
          <w:rFonts w:asciiTheme="majorHAnsi" w:hAnsiTheme="majorHAnsi"/>
          <w:b/>
          <w:bCs/>
          <w:sz w:val="20"/>
          <w:szCs w:val="20"/>
        </w:rPr>
      </w:pPr>
      <w:r w:rsidRPr="00A608EE">
        <w:rPr>
          <w:rFonts w:asciiTheme="majorHAnsi" w:hAnsiTheme="majorHAnsi"/>
          <w:b/>
          <w:bCs/>
          <w:sz w:val="20"/>
          <w:szCs w:val="20"/>
        </w:rPr>
        <w:t>Resources for Standard 3B</w:t>
      </w:r>
    </w:p>
    <w:p w14:paraId="37E09209" w14:textId="77777777" w:rsidR="005E0C8D" w:rsidRPr="00A608EE" w:rsidRDefault="005E0C8D" w:rsidP="00A27AAA">
      <w:pPr>
        <w:numPr>
          <w:ilvl w:val="0"/>
          <w:numId w:val="173"/>
        </w:numPr>
        <w:jc w:val="both"/>
        <w:rPr>
          <w:rFonts w:asciiTheme="majorHAnsi" w:hAnsiTheme="majorHAnsi"/>
          <w:sz w:val="20"/>
          <w:szCs w:val="20"/>
        </w:rPr>
      </w:pPr>
      <w:hyperlink r:id="rId143" w:tgtFrame="_blank" w:history="1">
        <w:r w:rsidRPr="00A608EE">
          <w:rPr>
            <w:rStyle w:val="Hyperlink"/>
            <w:rFonts w:asciiTheme="majorHAnsi" w:hAnsiTheme="majorHAnsi"/>
            <w:sz w:val="20"/>
            <w:szCs w:val="20"/>
          </w:rPr>
          <w:t>SPM Essentials#3: Using Client Feedback to Inform Product Design</w:t>
        </w:r>
      </w:hyperlink>
    </w:p>
    <w:p w14:paraId="3D4F3564" w14:textId="77777777" w:rsidR="005E0C8D" w:rsidRPr="00A608EE" w:rsidRDefault="005E0C8D" w:rsidP="00A27AAA">
      <w:pPr>
        <w:numPr>
          <w:ilvl w:val="0"/>
          <w:numId w:val="173"/>
        </w:numPr>
        <w:jc w:val="both"/>
        <w:rPr>
          <w:rFonts w:asciiTheme="majorHAnsi" w:hAnsiTheme="majorHAnsi"/>
          <w:sz w:val="20"/>
          <w:szCs w:val="20"/>
        </w:rPr>
      </w:pPr>
      <w:hyperlink r:id="rId144" w:tgtFrame="_blank" w:history="1">
        <w:r w:rsidRPr="00A608EE">
          <w:rPr>
            <w:rStyle w:val="Hyperlink"/>
            <w:rFonts w:asciiTheme="majorHAnsi" w:hAnsiTheme="majorHAnsi"/>
            <w:sz w:val="20"/>
            <w:szCs w:val="20"/>
          </w:rPr>
          <w:t>Understanding and Measuring Women's Economic Empowerment</w:t>
        </w:r>
      </w:hyperlink>
    </w:p>
    <w:p w14:paraId="4BA1FE45" w14:textId="77777777" w:rsidR="0021538B" w:rsidRPr="00A608EE" w:rsidRDefault="0021538B" w:rsidP="00EE208A">
      <w:pPr>
        <w:jc w:val="both"/>
        <w:rPr>
          <w:rFonts w:asciiTheme="majorHAnsi" w:hAnsiTheme="majorHAnsi"/>
          <w:sz w:val="20"/>
          <w:szCs w:val="20"/>
        </w:rPr>
      </w:pPr>
    </w:p>
    <w:p w14:paraId="09ECA87D" w14:textId="77777777" w:rsidR="00627BCD" w:rsidRPr="00A608EE" w:rsidRDefault="00627BCD" w:rsidP="00EE208A">
      <w:pPr>
        <w:jc w:val="both"/>
        <w:rPr>
          <w:rFonts w:asciiTheme="majorHAnsi" w:hAnsiTheme="majorHAnsi"/>
          <w:sz w:val="20"/>
          <w:szCs w:val="20"/>
        </w:rPr>
      </w:pPr>
    </w:p>
    <w:p w14:paraId="7C04C5C7" w14:textId="77777777" w:rsidR="00627BCD" w:rsidRPr="00A608EE" w:rsidRDefault="00627BCD" w:rsidP="00EE208A">
      <w:pPr>
        <w:jc w:val="both"/>
        <w:rPr>
          <w:rFonts w:asciiTheme="majorHAnsi" w:hAnsiTheme="majorHAnsi"/>
          <w:sz w:val="20"/>
          <w:szCs w:val="20"/>
        </w:rPr>
      </w:pPr>
    </w:p>
    <w:p w14:paraId="3B2A600B" w14:textId="77777777" w:rsidR="00BF72FA" w:rsidRPr="00A608EE" w:rsidRDefault="00BF72FA" w:rsidP="00EE208A">
      <w:pPr>
        <w:jc w:val="both"/>
        <w:rPr>
          <w:rFonts w:asciiTheme="majorHAnsi" w:hAnsiTheme="majorHAnsi"/>
          <w:sz w:val="20"/>
          <w:szCs w:val="20"/>
        </w:rPr>
      </w:pPr>
    </w:p>
    <w:p w14:paraId="3DA12B29" w14:textId="53577576" w:rsidR="001C3B16" w:rsidRPr="00A608EE" w:rsidRDefault="001C3B16" w:rsidP="00EE208A">
      <w:pPr>
        <w:pStyle w:val="Heading3"/>
        <w:spacing w:before="0" w:line="240" w:lineRule="auto"/>
        <w:jc w:val="both"/>
        <w:rPr>
          <w:sz w:val="20"/>
          <w:szCs w:val="20"/>
        </w:rPr>
      </w:pPr>
      <w:bookmarkStart w:id="58" w:name="_Toc230938790"/>
      <w:r w:rsidRPr="00A608EE">
        <w:rPr>
          <w:rStyle w:val="text-primary"/>
          <w:sz w:val="20"/>
          <w:szCs w:val="20"/>
        </w:rPr>
        <w:t>3.B.1</w:t>
      </w:r>
      <w:r w:rsidRPr="00A608EE">
        <w:rPr>
          <w:sz w:val="20"/>
          <w:szCs w:val="20"/>
        </w:rPr>
        <w:t xml:space="preserve"> </w:t>
      </w:r>
      <w:r w:rsidR="00C47CB2" w:rsidRPr="00A608EE">
        <w:rPr>
          <w:sz w:val="20"/>
          <w:szCs w:val="20"/>
        </w:rPr>
        <w:t>The provider uses insights from client data to design products, services, and delivery channels</w:t>
      </w:r>
      <w:r w:rsidR="00113F7E" w:rsidRPr="00A608EE">
        <w:rPr>
          <w:sz w:val="20"/>
          <w:szCs w:val="20"/>
        </w:rPr>
        <w:t>.</w:t>
      </w:r>
      <w:bookmarkEnd w:id="58"/>
    </w:p>
    <w:p w14:paraId="7B7AE75D" w14:textId="77777777" w:rsidR="0021538B" w:rsidRPr="00A608EE" w:rsidRDefault="0021538B" w:rsidP="00EE208A">
      <w:pPr>
        <w:jc w:val="both"/>
        <w:rPr>
          <w:rFonts w:asciiTheme="majorHAnsi" w:hAnsiTheme="majorHAnsi"/>
          <w:sz w:val="20"/>
          <w:szCs w:val="20"/>
        </w:rPr>
      </w:pPr>
    </w:p>
    <w:p w14:paraId="2F847283" w14:textId="77777777" w:rsidR="00C47CB2" w:rsidRPr="00A608EE" w:rsidRDefault="00C47CB2" w:rsidP="00EE208A">
      <w:pPr>
        <w:jc w:val="both"/>
        <w:rPr>
          <w:rFonts w:asciiTheme="majorHAnsi" w:hAnsiTheme="majorHAnsi"/>
          <w:sz w:val="20"/>
          <w:szCs w:val="20"/>
          <w:lang w:eastAsia="fr-FR"/>
        </w:rPr>
      </w:pPr>
      <w:r w:rsidRPr="00A608EE">
        <w:rPr>
          <w:rFonts w:asciiTheme="majorHAnsi" w:hAnsiTheme="majorHAnsi"/>
          <w:sz w:val="20"/>
          <w:szCs w:val="20"/>
          <w:lang w:eastAsia="fr-FR"/>
        </w:rPr>
        <w:t>As discussed in the guidance for Standard 3A, providers should base product/ service/distribution channel decisions on market and client research. The example below demonstrates a distribution channel decision that was based on data collected through client surveys and MIS analysis.</w:t>
      </w:r>
    </w:p>
    <w:p w14:paraId="6DA2D6F6" w14:textId="77777777" w:rsidR="00C47CB2" w:rsidRPr="00A608EE" w:rsidRDefault="00C47CB2" w:rsidP="00EE208A">
      <w:pPr>
        <w:jc w:val="both"/>
        <w:rPr>
          <w:rFonts w:asciiTheme="majorHAnsi" w:hAnsiTheme="majorHAnsi"/>
          <w:sz w:val="20"/>
          <w:szCs w:val="20"/>
          <w:lang w:eastAsia="fr-FR"/>
        </w:rPr>
      </w:pPr>
    </w:p>
    <w:p w14:paraId="0AA45B17" w14:textId="1B1D8C96" w:rsidR="00C47CB2" w:rsidRPr="00A608EE" w:rsidRDefault="00C47CB2"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Delivery Channel Choice based on Client Needs: An Example</w:t>
      </w:r>
    </w:p>
    <w:p w14:paraId="6DDA988D" w14:textId="4B9412DC" w:rsidR="00C47CB2" w:rsidRPr="00A608EE" w:rsidRDefault="00C47CB2"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Segmented client data show:</w:t>
      </w:r>
    </w:p>
    <w:p w14:paraId="761B5719" w14:textId="77777777" w:rsidR="00C47CB2" w:rsidRPr="00A608EE" w:rsidRDefault="00C47CB2" w:rsidP="00A27AAA">
      <w:pPr>
        <w:numPr>
          <w:ilvl w:val="0"/>
          <w:numId w:val="174"/>
        </w:numPr>
        <w:jc w:val="both"/>
        <w:rPr>
          <w:rFonts w:asciiTheme="majorHAnsi" w:hAnsiTheme="majorHAnsi"/>
          <w:sz w:val="20"/>
          <w:szCs w:val="20"/>
          <w:lang w:eastAsia="fr-FR"/>
        </w:rPr>
      </w:pPr>
      <w:r w:rsidRPr="00A608EE">
        <w:rPr>
          <w:rFonts w:asciiTheme="majorHAnsi" w:hAnsiTheme="majorHAnsi"/>
          <w:sz w:val="20"/>
          <w:szCs w:val="20"/>
          <w:lang w:eastAsia="fr-FR"/>
        </w:rPr>
        <w:t>Clients living in the east? live within 2 km of their local branch office, and clients in the west? live within 10 km.</w:t>
      </w:r>
    </w:p>
    <w:p w14:paraId="11E96048" w14:textId="77777777" w:rsidR="00C47CB2" w:rsidRPr="00A608EE" w:rsidRDefault="00C47CB2" w:rsidP="00A27AAA">
      <w:pPr>
        <w:numPr>
          <w:ilvl w:val="0"/>
          <w:numId w:val="174"/>
        </w:numPr>
        <w:jc w:val="both"/>
        <w:rPr>
          <w:rFonts w:asciiTheme="majorHAnsi" w:hAnsiTheme="majorHAnsi"/>
          <w:sz w:val="20"/>
          <w:szCs w:val="20"/>
          <w:lang w:eastAsia="fr-FR"/>
        </w:rPr>
      </w:pPr>
      <w:r w:rsidRPr="00A608EE">
        <w:rPr>
          <w:rFonts w:asciiTheme="majorHAnsi" w:hAnsiTheme="majorHAnsi"/>
          <w:sz w:val="20"/>
          <w:szCs w:val="20"/>
          <w:lang w:eastAsia="fr-FR"/>
        </w:rPr>
        <w:t>Clients in the west spend three times more on transportation to branches than clients in the east.</w:t>
      </w:r>
    </w:p>
    <w:p w14:paraId="411F69EC" w14:textId="77777777" w:rsidR="00C47CB2" w:rsidRPr="00A608EE" w:rsidRDefault="00C47CB2" w:rsidP="00A27AAA">
      <w:pPr>
        <w:numPr>
          <w:ilvl w:val="0"/>
          <w:numId w:val="174"/>
        </w:numPr>
        <w:jc w:val="both"/>
        <w:rPr>
          <w:rFonts w:asciiTheme="majorHAnsi" w:hAnsiTheme="majorHAnsi"/>
          <w:sz w:val="20"/>
          <w:szCs w:val="20"/>
          <w:lang w:eastAsia="fr-FR"/>
        </w:rPr>
      </w:pPr>
      <w:r w:rsidRPr="00A608EE">
        <w:rPr>
          <w:rFonts w:asciiTheme="majorHAnsi" w:hAnsiTheme="majorHAnsi"/>
          <w:sz w:val="20"/>
          <w:szCs w:val="20"/>
          <w:lang w:eastAsia="fr-FR"/>
        </w:rPr>
        <w:t>Over 85% of clients living in both the east and west own mobile phones.</w:t>
      </w:r>
    </w:p>
    <w:p w14:paraId="6D2F4C50" w14:textId="77777777" w:rsidR="00C47CB2" w:rsidRPr="00A608EE" w:rsidRDefault="00C47CB2" w:rsidP="00A27AAA">
      <w:pPr>
        <w:numPr>
          <w:ilvl w:val="0"/>
          <w:numId w:val="174"/>
        </w:numPr>
        <w:jc w:val="both"/>
        <w:rPr>
          <w:rFonts w:asciiTheme="majorHAnsi" w:hAnsiTheme="majorHAnsi"/>
          <w:sz w:val="20"/>
          <w:szCs w:val="20"/>
          <w:lang w:eastAsia="fr-FR"/>
        </w:rPr>
      </w:pPr>
      <w:r w:rsidRPr="00A608EE">
        <w:rPr>
          <w:rFonts w:asciiTheme="majorHAnsi" w:hAnsiTheme="majorHAnsi"/>
          <w:sz w:val="20"/>
          <w:szCs w:val="20"/>
          <w:lang w:eastAsia="fr-FR"/>
        </w:rPr>
        <w:t>Clients in both regions prefer the convenience of mobile banking.</w:t>
      </w:r>
    </w:p>
    <w:p w14:paraId="266A0023" w14:textId="77777777" w:rsidR="00C47CB2" w:rsidRPr="00A608EE" w:rsidRDefault="00C47CB2" w:rsidP="00EE208A">
      <w:pPr>
        <w:jc w:val="both"/>
        <w:rPr>
          <w:rFonts w:asciiTheme="majorHAnsi" w:hAnsiTheme="majorHAnsi"/>
          <w:sz w:val="20"/>
          <w:szCs w:val="20"/>
          <w:u w:val="single"/>
          <w:lang w:eastAsia="fr-FR"/>
        </w:rPr>
      </w:pPr>
    </w:p>
    <w:p w14:paraId="4A8F8123" w14:textId="7C3F609A" w:rsidR="00C47CB2" w:rsidRPr="00A608EE" w:rsidRDefault="00C47CB2"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Distribution channel decision based on client needs:</w:t>
      </w:r>
    </w:p>
    <w:p w14:paraId="7E5A0117" w14:textId="77777777" w:rsidR="00C47CB2" w:rsidRPr="00A608EE" w:rsidRDefault="00C47CB2" w:rsidP="00EE208A">
      <w:pPr>
        <w:jc w:val="both"/>
        <w:rPr>
          <w:rFonts w:asciiTheme="majorHAnsi" w:hAnsiTheme="majorHAnsi"/>
          <w:sz w:val="20"/>
          <w:szCs w:val="20"/>
          <w:lang w:eastAsia="fr-FR"/>
        </w:rPr>
      </w:pPr>
      <w:r w:rsidRPr="00A608EE">
        <w:rPr>
          <w:rFonts w:asciiTheme="majorHAnsi" w:hAnsiTheme="majorHAnsi"/>
          <w:sz w:val="20"/>
          <w:szCs w:val="20"/>
          <w:lang w:eastAsia="fr-FR"/>
        </w:rPr>
        <w:t>The provider decides to pilot mobile banking, as a majority of its clients has expressed demand for it. It begins with five branches located in the west, as these clients live further from their local branch offices and spend more money on transportation to the branches.</w:t>
      </w:r>
    </w:p>
    <w:p w14:paraId="5DE8C657" w14:textId="77777777" w:rsidR="00C47CB2" w:rsidRPr="00A608EE" w:rsidRDefault="00C47CB2" w:rsidP="00EE208A">
      <w:pPr>
        <w:jc w:val="both"/>
        <w:rPr>
          <w:rFonts w:asciiTheme="majorHAnsi" w:hAnsiTheme="majorHAnsi"/>
          <w:sz w:val="20"/>
          <w:szCs w:val="20"/>
          <w:lang w:eastAsia="fr-FR"/>
        </w:rPr>
      </w:pPr>
      <w:r w:rsidRPr="00A608EE">
        <w:rPr>
          <w:rFonts w:asciiTheme="majorHAnsi" w:hAnsiTheme="majorHAnsi"/>
          <w:sz w:val="20"/>
          <w:szCs w:val="20"/>
          <w:lang w:eastAsia="fr-FR"/>
        </w:rPr>
        <w:t>Koperasi Mitra Dhuafa (KOMIDA) in Indonesia offers us another example of how an organization can turn client survey data into actionable insights that inform product innovation. Many other factors are key, like technological opportunities and business models (incl. potential partnerships with Mobile Network Operators - MNOs), relative size of investment for the FSP, regulation, level of digital literacy of clients, etc.</w:t>
      </w:r>
    </w:p>
    <w:p w14:paraId="460DE287" w14:textId="77777777" w:rsidR="00C47CB2" w:rsidRPr="00A608EE" w:rsidRDefault="00C47CB2" w:rsidP="00EE208A">
      <w:pPr>
        <w:jc w:val="both"/>
        <w:rPr>
          <w:rFonts w:asciiTheme="majorHAnsi" w:hAnsiTheme="majorHAnsi"/>
          <w:sz w:val="20"/>
          <w:szCs w:val="20"/>
          <w:lang w:eastAsia="fr-FR"/>
        </w:rPr>
      </w:pPr>
      <w:r w:rsidRPr="00A608EE">
        <w:rPr>
          <w:rFonts w:asciiTheme="majorHAnsi" w:hAnsiTheme="majorHAnsi"/>
          <w:sz w:val="20"/>
          <w:szCs w:val="20"/>
          <w:lang w:eastAsia="fr-FR"/>
        </w:rPr>
        <w:t>To complement or deepen their understanding of client needs and behaviors, some providers use the Human Centered Design (HCD) process to turn client insights into suitable and beneficial products, services and distribution channels. In addition to offering a suite of products and services designed to fit clients’ financial lives, it is essential that the employees understand product suitability by being trained in how to match clients with the right products/services. A provider can have perfectly designed products, but in order for clients to benefit from them, staff must be able to assist clients in choosing the appropriate products and options.</w:t>
      </w:r>
    </w:p>
    <w:p w14:paraId="150858B2" w14:textId="77777777" w:rsidR="00C47CB2" w:rsidRPr="00A608EE" w:rsidRDefault="00C47CB2" w:rsidP="00EE208A">
      <w:pPr>
        <w:jc w:val="both"/>
        <w:rPr>
          <w:rFonts w:asciiTheme="majorHAnsi" w:hAnsiTheme="majorHAnsi"/>
          <w:b/>
          <w:bCs/>
          <w:sz w:val="20"/>
          <w:szCs w:val="20"/>
          <w:lang w:eastAsia="fr-FR"/>
        </w:rPr>
      </w:pPr>
    </w:p>
    <w:p w14:paraId="1DB8369A" w14:textId="042B87E0" w:rsidR="00C47CB2" w:rsidRPr="00A608EE" w:rsidRDefault="00C47CB2"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Field Examples/Implementation Guidance:</w:t>
      </w:r>
    </w:p>
    <w:p w14:paraId="00B8055A" w14:textId="77777777" w:rsidR="00FA29F7" w:rsidRPr="00A608EE" w:rsidRDefault="00FA29F7" w:rsidP="00A27AAA">
      <w:pPr>
        <w:numPr>
          <w:ilvl w:val="0"/>
          <w:numId w:val="64"/>
        </w:numPr>
        <w:jc w:val="both"/>
        <w:rPr>
          <w:rFonts w:asciiTheme="majorHAnsi" w:hAnsiTheme="majorHAnsi"/>
          <w:sz w:val="20"/>
          <w:szCs w:val="20"/>
        </w:rPr>
      </w:pPr>
      <w:hyperlink r:id="rId145" w:tgtFrame="_blank" w:history="1">
        <w:r w:rsidRPr="00A608EE">
          <w:rPr>
            <w:rStyle w:val="Hyperlink"/>
            <w:rFonts w:asciiTheme="majorHAnsi" w:hAnsiTheme="majorHAnsi"/>
            <w:sz w:val="20"/>
            <w:szCs w:val="20"/>
          </w:rPr>
          <w:t>Komida Uses Data-Driven Product Design</w:t>
        </w:r>
      </w:hyperlink>
    </w:p>
    <w:p w14:paraId="2EB1F5B5" w14:textId="77777777" w:rsidR="00FA29F7" w:rsidRPr="00A608EE" w:rsidRDefault="00FA29F7" w:rsidP="00A27AAA">
      <w:pPr>
        <w:numPr>
          <w:ilvl w:val="0"/>
          <w:numId w:val="64"/>
        </w:numPr>
        <w:jc w:val="both"/>
        <w:rPr>
          <w:rFonts w:asciiTheme="majorHAnsi" w:hAnsiTheme="majorHAnsi"/>
          <w:sz w:val="20"/>
          <w:szCs w:val="20"/>
        </w:rPr>
      </w:pPr>
      <w:hyperlink r:id="rId146" w:tgtFrame="_blank" w:history="1">
        <w:r w:rsidRPr="00A608EE">
          <w:rPr>
            <w:rStyle w:val="Hyperlink"/>
            <w:rFonts w:asciiTheme="majorHAnsi" w:hAnsiTheme="majorHAnsi"/>
            <w:sz w:val="20"/>
            <w:szCs w:val="20"/>
          </w:rPr>
          <w:t>Human-Centered Design</w:t>
        </w:r>
      </w:hyperlink>
    </w:p>
    <w:p w14:paraId="7C2BFA71" w14:textId="77777777" w:rsidR="00FA29F7" w:rsidRPr="00A608EE" w:rsidRDefault="00FA29F7" w:rsidP="00A27AAA">
      <w:pPr>
        <w:numPr>
          <w:ilvl w:val="0"/>
          <w:numId w:val="64"/>
        </w:numPr>
        <w:jc w:val="both"/>
        <w:rPr>
          <w:rFonts w:asciiTheme="majorHAnsi" w:hAnsiTheme="majorHAnsi"/>
          <w:sz w:val="20"/>
          <w:szCs w:val="20"/>
        </w:rPr>
      </w:pPr>
      <w:hyperlink r:id="rId147" w:tgtFrame="_blank" w:history="1">
        <w:r w:rsidRPr="00A608EE">
          <w:rPr>
            <w:rStyle w:val="Hyperlink"/>
            <w:rFonts w:asciiTheme="majorHAnsi" w:hAnsiTheme="majorHAnsi"/>
            <w:sz w:val="20"/>
            <w:szCs w:val="20"/>
          </w:rPr>
          <w:t>Human Centered Design Toolkit - Product design &amp; development methodology to reflect on new products</w:t>
        </w:r>
      </w:hyperlink>
    </w:p>
    <w:p w14:paraId="3E33B6A7" w14:textId="77777777" w:rsidR="00FA29F7" w:rsidRPr="00A608EE" w:rsidRDefault="00FA29F7" w:rsidP="00A27AAA">
      <w:pPr>
        <w:numPr>
          <w:ilvl w:val="0"/>
          <w:numId w:val="64"/>
        </w:numPr>
        <w:jc w:val="both"/>
        <w:rPr>
          <w:rFonts w:asciiTheme="majorHAnsi" w:hAnsiTheme="majorHAnsi"/>
          <w:sz w:val="20"/>
          <w:szCs w:val="20"/>
        </w:rPr>
      </w:pPr>
      <w:hyperlink r:id="rId148" w:tgtFrame="_blank" w:history="1">
        <w:r w:rsidRPr="00A608EE">
          <w:rPr>
            <w:rStyle w:val="Hyperlink"/>
            <w:rFonts w:asciiTheme="majorHAnsi" w:hAnsiTheme="majorHAnsi"/>
            <w:sz w:val="20"/>
            <w:szCs w:val="20"/>
          </w:rPr>
          <w:t>Design Toolkit--Design for Mobile Money Smartphone App for Financial Inclusion in Pakistan</w:t>
        </w:r>
      </w:hyperlink>
    </w:p>
    <w:p w14:paraId="60F2EE9F" w14:textId="77777777" w:rsidR="00FA29F7" w:rsidRPr="00A608EE" w:rsidRDefault="00FA29F7" w:rsidP="00A27AAA">
      <w:pPr>
        <w:numPr>
          <w:ilvl w:val="0"/>
          <w:numId w:val="64"/>
        </w:numPr>
        <w:jc w:val="both"/>
        <w:rPr>
          <w:rFonts w:asciiTheme="majorHAnsi" w:hAnsiTheme="majorHAnsi"/>
          <w:sz w:val="20"/>
          <w:szCs w:val="20"/>
          <w:lang w:val="es-ES"/>
        </w:rPr>
      </w:pPr>
      <w:hyperlink r:id="rId149" w:tgtFrame="_blank" w:history="1">
        <w:r w:rsidRPr="00A608EE">
          <w:rPr>
            <w:rStyle w:val="Hyperlink"/>
            <w:rFonts w:asciiTheme="majorHAnsi" w:hAnsiTheme="majorHAnsi"/>
            <w:sz w:val="20"/>
            <w:szCs w:val="20"/>
            <w:lang w:val="es-ES"/>
          </w:rPr>
          <w:t>Estudio de Caso Mujeres Unidas Adaptación de productos y servicios por zonas</w:t>
        </w:r>
      </w:hyperlink>
    </w:p>
    <w:p w14:paraId="7481F019" w14:textId="77777777" w:rsidR="00794B11" w:rsidRPr="00A608EE" w:rsidRDefault="00794B11" w:rsidP="00EE208A">
      <w:pPr>
        <w:jc w:val="both"/>
        <w:rPr>
          <w:rFonts w:asciiTheme="majorHAnsi" w:hAnsiTheme="majorHAnsi"/>
          <w:sz w:val="20"/>
          <w:szCs w:val="20"/>
          <w:lang w:val="es-ES"/>
        </w:rPr>
      </w:pPr>
    </w:p>
    <w:p w14:paraId="2D6F7878" w14:textId="77777777" w:rsidR="00BF72FA" w:rsidRPr="00A608EE" w:rsidRDefault="00BF72FA" w:rsidP="00EE208A">
      <w:pPr>
        <w:jc w:val="both"/>
        <w:rPr>
          <w:rFonts w:asciiTheme="majorHAnsi" w:hAnsiTheme="majorHAnsi"/>
          <w:sz w:val="20"/>
          <w:szCs w:val="20"/>
          <w:lang w:val="es-ES"/>
        </w:rPr>
      </w:pPr>
    </w:p>
    <w:p w14:paraId="434F6FC9" w14:textId="009C5C92" w:rsidR="00AA464D" w:rsidRPr="00A608EE" w:rsidRDefault="00AA464D" w:rsidP="00EE208A">
      <w:pPr>
        <w:pStyle w:val="Heading4"/>
        <w:spacing w:before="0" w:line="240" w:lineRule="auto"/>
        <w:jc w:val="both"/>
        <w:rPr>
          <w:sz w:val="20"/>
          <w:szCs w:val="20"/>
        </w:rPr>
      </w:pPr>
      <w:r w:rsidRPr="00A608EE">
        <w:rPr>
          <w:rStyle w:val="text-primary"/>
          <w:sz w:val="20"/>
          <w:szCs w:val="20"/>
        </w:rPr>
        <w:t>3.B.1.1</w:t>
      </w:r>
      <w:r w:rsidRPr="00A608EE">
        <w:rPr>
          <w:sz w:val="20"/>
          <w:szCs w:val="20"/>
        </w:rPr>
        <w:t xml:space="preserve"> </w:t>
      </w:r>
      <w:r w:rsidR="00C47CB2" w:rsidRPr="00A608EE">
        <w:rPr>
          <w:sz w:val="20"/>
          <w:szCs w:val="20"/>
        </w:rPr>
        <w:t>The provider designs new products, services (financial and non-financial), and delivery channels using insights from market and pilot studies, client feedback, and client outcomes data</w:t>
      </w:r>
      <w:r w:rsidR="0051265B" w:rsidRPr="00A608EE">
        <w:rPr>
          <w:sz w:val="20"/>
          <w:szCs w:val="20"/>
        </w:rPr>
        <w:t>.</w:t>
      </w:r>
    </w:p>
    <w:p w14:paraId="26579D3E" w14:textId="77777777" w:rsidR="00D86DA3" w:rsidRPr="00A608EE" w:rsidRDefault="00D86DA3" w:rsidP="00EE208A">
      <w:pPr>
        <w:jc w:val="both"/>
        <w:rPr>
          <w:rFonts w:asciiTheme="majorHAnsi" w:hAnsiTheme="majorHAnsi"/>
          <w:szCs w:val="20"/>
        </w:rPr>
      </w:pPr>
    </w:p>
    <w:p w14:paraId="0CD4CA07" w14:textId="2604D1E9" w:rsidR="00BF72FA"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BF72FA" w:rsidRPr="00A608EE">
        <w:rPr>
          <w:rFonts w:asciiTheme="majorHAnsi" w:hAnsiTheme="majorHAnsi"/>
          <w:b/>
          <w:bCs/>
          <w:color w:val="2145CC" w:themeColor="accent5" w:themeShade="BF"/>
          <w:sz w:val="20"/>
          <w:szCs w:val="20"/>
        </w:rPr>
        <w:t>SPI5 Entry</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SPI5 Full</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CP Full</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Advanced CP</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5A57277D" w14:textId="6E61B138" w:rsidR="00BF72FA" w:rsidRPr="00A608EE" w:rsidRDefault="006B2E26" w:rsidP="001E2C57">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196481C6" w14:textId="5CFB3B9D" w:rsidR="006B2E26" w:rsidRPr="00A608EE" w:rsidRDefault="00C47CB2" w:rsidP="00EE208A">
      <w:pPr>
        <w:jc w:val="both"/>
        <w:rPr>
          <w:rFonts w:asciiTheme="majorHAnsi" w:hAnsiTheme="majorHAnsi"/>
          <w:sz w:val="20"/>
          <w:szCs w:val="15"/>
          <w:lang w:eastAsia="fr-FR"/>
        </w:rPr>
      </w:pPr>
      <w:r w:rsidRPr="00A608EE">
        <w:rPr>
          <w:rFonts w:asciiTheme="majorHAnsi" w:hAnsiTheme="majorHAnsi"/>
          <w:sz w:val="20"/>
          <w:szCs w:val="15"/>
          <w:lang w:eastAsia="fr-FR"/>
        </w:rPr>
        <w:t>Clients are the best source of information - gathered through market research, satisfaction surveys, client focus group discussions, complaints and any other client feedback system - to design client-centric products/services and their distribution channels.</w:t>
      </w:r>
    </w:p>
    <w:p w14:paraId="11DF9EE3" w14:textId="77777777" w:rsidR="00672763" w:rsidRPr="00A608EE" w:rsidRDefault="00672763" w:rsidP="00EE208A">
      <w:pPr>
        <w:jc w:val="both"/>
        <w:rPr>
          <w:rFonts w:asciiTheme="majorHAnsi" w:hAnsiTheme="majorHAnsi"/>
          <w:sz w:val="20"/>
          <w:szCs w:val="15"/>
          <w:lang w:eastAsia="fr-FR"/>
        </w:rPr>
      </w:pPr>
    </w:p>
    <w:p w14:paraId="0985469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32320" behindDoc="1" locked="0" layoutInCell="1" allowOverlap="1" wp14:anchorId="58F205EA" wp14:editId="1AA98B92">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55063287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B7884A3" w14:textId="77777777" w:rsidR="00672763" w:rsidRPr="00A608EE" w:rsidRDefault="00672763" w:rsidP="00EE208A">
      <w:pPr>
        <w:jc w:val="both"/>
        <w:rPr>
          <w:rFonts w:asciiTheme="majorHAnsi" w:hAnsiTheme="majorHAnsi"/>
          <w:sz w:val="20"/>
          <w:szCs w:val="15"/>
          <w:lang w:eastAsia="fr-FR"/>
        </w:rPr>
      </w:pPr>
    </w:p>
    <w:p w14:paraId="49D3896E" w14:textId="647C76C8" w:rsidR="005F4278" w:rsidRPr="00A608EE" w:rsidRDefault="00FC6779" w:rsidP="006B2E26">
      <w:pPr>
        <w:pStyle w:val="paragraph"/>
        <w:spacing w:before="0" w:beforeAutospacing="0" w:after="0" w:afterAutospacing="0"/>
        <w:jc w:val="both"/>
        <w:textAlignment w:val="baseline"/>
      </w:pPr>
      <w:r w:rsidRPr="00A608EE">
        <w:rPr>
          <w:rFonts w:ascii="Work Sans" w:hAnsi="Work Sans"/>
          <w:b/>
          <w:bCs/>
          <w:sz w:val="20"/>
          <w:szCs w:val="20"/>
        </w:rPr>
        <w:t>DI Indicator:</w:t>
      </w:r>
      <w:r w:rsidRPr="00A608EE">
        <w:rPr>
          <w:rFonts w:ascii="Work Sans" w:hAnsi="Work Sans"/>
          <w:sz w:val="20"/>
          <w:szCs w:val="20"/>
        </w:rPr>
        <w:t xml:space="preserve"> </w:t>
      </w:r>
      <w:r w:rsidR="00CF0B6E" w:rsidRPr="00A608EE">
        <w:rPr>
          <w:rFonts w:asciiTheme="majorHAnsi" w:hAnsiTheme="majorHAnsi"/>
          <w:sz w:val="20"/>
          <w:szCs w:val="20"/>
        </w:rPr>
        <w:t>The provider designs new products, services (financial and non-financial), and delivery channels using insights from market and pilot studies, including disability-inclusive research, client feedback mechanisms, and client outcomes data, including for clients with disabilities. The provider also dedicates resources (funds and employee time) to ensure accessibility and continuous improvement of these products, services, and delivery channels.</w:t>
      </w:r>
    </w:p>
    <w:p w14:paraId="2B6D67F9" w14:textId="7943DAE7" w:rsidR="005F4278" w:rsidRPr="00A608EE" w:rsidRDefault="00DF66DE" w:rsidP="006B2E26">
      <w:pPr>
        <w:pStyle w:val="paragraph"/>
        <w:spacing w:before="0" w:beforeAutospacing="0" w:after="0" w:afterAutospacing="0"/>
        <w:jc w:val="both"/>
        <w:textAlignment w:val="baseline"/>
        <w:rPr>
          <w:rStyle w:val="normaltextrun"/>
          <w:rFonts w:asciiTheme="majorHAnsi" w:hAnsiTheme="majorHAnsi"/>
          <w:sz w:val="20"/>
          <w:szCs w:val="20"/>
        </w:rPr>
      </w:pPr>
      <w:r w:rsidRPr="00A608EE">
        <w:rPr>
          <w:noProof/>
        </w:rPr>
        <mc:AlternateContent>
          <mc:Choice Requires="wps">
            <w:drawing>
              <wp:anchor distT="0" distB="0" distL="114300" distR="114300" simplePos="0" relativeHeight="251689984" behindDoc="0" locked="0" layoutInCell="1" allowOverlap="1" wp14:anchorId="1AF0471D" wp14:editId="2F019114">
                <wp:simplePos x="0" y="0"/>
                <wp:positionH relativeFrom="margin">
                  <wp:align>left</wp:align>
                </wp:positionH>
                <wp:positionV relativeFrom="paragraph">
                  <wp:posOffset>151130</wp:posOffset>
                </wp:positionV>
                <wp:extent cx="1828800" cy="2940050"/>
                <wp:effectExtent l="0" t="0" r="24130" b="12700"/>
                <wp:wrapSquare wrapText="bothSides"/>
                <wp:docPr id="1977390420" name="Cuadro de texto 1"/>
                <wp:cNvGraphicFramePr/>
                <a:graphic xmlns:a="http://schemas.openxmlformats.org/drawingml/2006/main">
                  <a:graphicData uri="http://schemas.microsoft.com/office/word/2010/wordprocessingShape">
                    <wps:wsp>
                      <wps:cNvSpPr txBox="1"/>
                      <wps:spPr>
                        <a:xfrm>
                          <a:off x="0" y="0"/>
                          <a:ext cx="1828800" cy="2940050"/>
                        </a:xfrm>
                        <a:prstGeom prst="rect">
                          <a:avLst/>
                        </a:prstGeom>
                        <a:noFill/>
                        <a:ln w="6350">
                          <a:solidFill>
                            <a:prstClr val="black"/>
                          </a:solidFill>
                        </a:ln>
                      </wps:spPr>
                      <wps:txbx>
                        <w:txbxContent>
                          <w:p w14:paraId="4DD27849" w14:textId="7EF624F2" w:rsidR="006B2E26" w:rsidRPr="00820B09" w:rsidRDefault="00EB123D" w:rsidP="006B2E26">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6B2E26" w:rsidRPr="00820B09">
                              <w:rPr>
                                <w:rFonts w:asciiTheme="majorHAnsi" w:hAnsiTheme="majorHAnsi"/>
                                <w:b/>
                                <w:bCs/>
                                <w:sz w:val="20"/>
                                <w:szCs w:val="20"/>
                                <w:lang w:eastAsia="fr-FR"/>
                              </w:rPr>
                              <w:t xml:space="preserve">. 3.B.1.1 </w:t>
                            </w:r>
                          </w:p>
                          <w:p w14:paraId="1E5D57DF" w14:textId="112CF9E8" w:rsidR="006B2E26" w:rsidRPr="00820B09" w:rsidRDefault="006B2E26" w:rsidP="006B2E26">
                            <w:pPr>
                              <w:jc w:val="both"/>
                              <w:rPr>
                                <w:rFonts w:asciiTheme="majorHAnsi" w:hAnsiTheme="majorHAnsi"/>
                                <w:sz w:val="20"/>
                                <w:szCs w:val="20"/>
                                <w:lang w:eastAsia="fr-FR"/>
                              </w:rPr>
                            </w:pPr>
                            <w:r w:rsidRPr="00820B09">
                              <w:rPr>
                                <w:rFonts w:asciiTheme="majorHAnsi" w:hAnsiTheme="majorHAnsi"/>
                                <w:sz w:val="20"/>
                                <w:szCs w:val="20"/>
                                <w:lang w:eastAsia="fr-FR"/>
                              </w:rPr>
                              <w:t xml:space="preserve">The provider should collaborate with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to ensure market and pilot studies, client feedback and outcome collection are accessible and include persons with disabilities (as noted in indicator</w:t>
                            </w:r>
                            <w:r w:rsidR="008B408D" w:rsidRPr="00820B09">
                              <w:rPr>
                                <w:rFonts w:asciiTheme="majorHAnsi" w:hAnsiTheme="majorHAnsi"/>
                                <w:sz w:val="20"/>
                                <w:szCs w:val="20"/>
                                <w:lang w:eastAsia="fr-FR"/>
                              </w:rPr>
                              <w:t xml:space="preserve"> 3.A.1.1</w:t>
                            </w:r>
                            <w:r w:rsidRPr="00820B09">
                              <w:rPr>
                                <w:rFonts w:asciiTheme="majorHAnsi" w:hAnsiTheme="majorHAnsi"/>
                                <w:sz w:val="20"/>
                                <w:szCs w:val="20"/>
                                <w:lang w:eastAsia="fr-FR"/>
                              </w:rPr>
                              <w:t>).</w:t>
                            </w:r>
                          </w:p>
                          <w:p w14:paraId="7E00C732" w14:textId="77777777" w:rsidR="006B2E26" w:rsidRPr="00820B09" w:rsidRDefault="006B2E26" w:rsidP="006B2E26">
                            <w:pPr>
                              <w:jc w:val="both"/>
                              <w:rPr>
                                <w:rFonts w:asciiTheme="majorHAnsi" w:hAnsiTheme="majorHAnsi"/>
                                <w:sz w:val="20"/>
                                <w:szCs w:val="20"/>
                                <w:lang w:eastAsia="fr-FR"/>
                              </w:rPr>
                            </w:pPr>
                          </w:p>
                          <w:p w14:paraId="1E18A4F8" w14:textId="2A065B9D" w:rsidR="00394535" w:rsidRPr="00820B09" w:rsidRDefault="006B2E26" w:rsidP="009C0100">
                            <w:pPr>
                              <w:jc w:val="both"/>
                              <w:rPr>
                                <w:rFonts w:asciiTheme="majorHAnsi" w:hAnsiTheme="majorHAnsi"/>
                                <w:sz w:val="20"/>
                                <w:szCs w:val="20"/>
                                <w:lang w:eastAsia="fr-FR"/>
                              </w:rPr>
                            </w:pPr>
                            <w:r w:rsidRPr="00820B09">
                              <w:rPr>
                                <w:rFonts w:asciiTheme="majorHAnsi" w:hAnsiTheme="majorHAnsi"/>
                                <w:sz w:val="20"/>
                                <w:szCs w:val="20"/>
                                <w:lang w:eastAsia="fr-FR"/>
                              </w:rPr>
                              <w:t>Integrate accessibility into the product design from the outset, as it is significantly more cost-effective to do so from the beginning</w:t>
                            </w:r>
                            <w:r w:rsidR="00157C36" w:rsidRPr="00820B09">
                              <w:rPr>
                                <w:rFonts w:asciiTheme="majorHAnsi" w:hAnsiTheme="majorHAnsi"/>
                                <w:sz w:val="20"/>
                                <w:szCs w:val="20"/>
                                <w:lang w:eastAsia="fr-FR"/>
                              </w:rPr>
                              <w:t>, and include accessibility testing in the design of all new products, services and channels, and upgrades to existing products, services and channels</w:t>
                            </w:r>
                            <w:r w:rsidR="00DF66DE" w:rsidRPr="00820B09">
                              <w:rPr>
                                <w:rFonts w:asciiTheme="majorHAnsi" w:hAnsiTheme="majorHAnsi"/>
                                <w:sz w:val="20"/>
                                <w:szCs w:val="20"/>
                                <w:lang w:eastAsia="fr-FR"/>
                              </w:rPr>
                              <w:t xml:space="preserve"> (see indicator 3.A.1.1)</w:t>
                            </w:r>
                          </w:p>
                          <w:p w14:paraId="4BF7B631" w14:textId="77777777" w:rsidR="00157C36" w:rsidRPr="00820B09" w:rsidRDefault="00157C36" w:rsidP="009C0100">
                            <w:pPr>
                              <w:jc w:val="both"/>
                              <w:rPr>
                                <w:rFonts w:asciiTheme="majorHAnsi" w:hAnsiTheme="majorHAnsi"/>
                                <w:sz w:val="20"/>
                                <w:szCs w:val="20"/>
                                <w:lang w:eastAsia="fr-FR"/>
                              </w:rPr>
                            </w:pPr>
                          </w:p>
                          <w:p w14:paraId="702B8C4E" w14:textId="54B53488" w:rsidR="00DF66DE" w:rsidRPr="00820B09" w:rsidRDefault="00157C36" w:rsidP="009C0100">
                            <w:pPr>
                              <w:jc w:val="both"/>
                              <w:rPr>
                                <w:rFonts w:asciiTheme="majorHAnsi" w:hAnsiTheme="majorHAnsi"/>
                                <w:sz w:val="20"/>
                                <w:szCs w:val="20"/>
                                <w:lang w:eastAsia="fr-FR"/>
                              </w:rPr>
                            </w:pPr>
                            <w:r w:rsidRPr="00820B09">
                              <w:rPr>
                                <w:rFonts w:asciiTheme="majorHAnsi" w:hAnsiTheme="majorHAnsi"/>
                                <w:sz w:val="20"/>
                                <w:szCs w:val="20"/>
                                <w:lang w:eastAsia="fr-FR"/>
                              </w:rPr>
                              <w:t xml:space="preserve">Carry out accessibility audits </w:t>
                            </w:r>
                            <w:r w:rsidR="00394535" w:rsidRPr="00820B09">
                              <w:rPr>
                                <w:rFonts w:asciiTheme="majorHAnsi" w:hAnsiTheme="majorHAnsi"/>
                                <w:sz w:val="20"/>
                                <w:szCs w:val="20"/>
                                <w:lang w:eastAsia="fr-FR"/>
                              </w:rPr>
                              <w:t xml:space="preserve">or assessments </w:t>
                            </w:r>
                            <w:r w:rsidRPr="00820B09">
                              <w:rPr>
                                <w:rFonts w:asciiTheme="majorHAnsi" w:hAnsiTheme="majorHAnsi"/>
                                <w:sz w:val="20"/>
                                <w:szCs w:val="20"/>
                                <w:lang w:eastAsia="fr-FR"/>
                              </w:rPr>
                              <w:t xml:space="preserve">of </w:t>
                            </w:r>
                            <w:r w:rsidR="00394535" w:rsidRPr="00820B09">
                              <w:rPr>
                                <w:rFonts w:asciiTheme="majorHAnsi" w:hAnsiTheme="majorHAnsi"/>
                                <w:sz w:val="20"/>
                                <w:szCs w:val="20"/>
                                <w:lang w:eastAsia="fr-FR"/>
                              </w:rPr>
                              <w:t xml:space="preserve">existing channels, both </w:t>
                            </w:r>
                            <w:r w:rsidRPr="00820B09">
                              <w:rPr>
                                <w:rFonts w:asciiTheme="majorHAnsi" w:hAnsiTheme="majorHAnsi"/>
                                <w:sz w:val="20"/>
                                <w:szCs w:val="20"/>
                                <w:lang w:eastAsia="fr-FR"/>
                              </w:rPr>
                              <w:t xml:space="preserve">physical </w:t>
                            </w:r>
                            <w:r w:rsidR="00394535" w:rsidRPr="00820B09">
                              <w:rPr>
                                <w:rFonts w:asciiTheme="majorHAnsi" w:hAnsiTheme="majorHAnsi"/>
                                <w:sz w:val="20"/>
                                <w:szCs w:val="20"/>
                                <w:lang w:eastAsia="fr-FR"/>
                              </w:rPr>
                              <w:t>(branches and ATMs), and digital (websites, online and mobile banking apps, social media), to identify barriers to access for persons with disabilities, and develop a plan to fix issues</w:t>
                            </w:r>
                            <w:r w:rsidR="00DF66DE" w:rsidRPr="00820B09">
                              <w:rPr>
                                <w:rFonts w:asciiTheme="majorHAnsi" w:hAnsiTheme="majorHAnsi"/>
                                <w:sz w:val="20"/>
                                <w:szCs w:val="20"/>
                                <w:lang w:eastAsia="fr-FR"/>
                              </w:rPr>
                              <w:t xml:space="preserve"> (see indicator 3.B.2.2). </w:t>
                            </w:r>
                            <w:r w:rsidR="00394535" w:rsidRPr="00820B09">
                              <w:rPr>
                                <w:rFonts w:asciiTheme="majorHAnsi" w:hAnsiTheme="majorHAnsi"/>
                                <w:sz w:val="20"/>
                                <w:szCs w:val="20"/>
                                <w:lang w:eastAsia="fr-FR"/>
                              </w:rPr>
                              <w:t xml:space="preserve">Seek feedback on accessibility from </w:t>
                            </w:r>
                            <w:r w:rsidR="00FE5465" w:rsidRPr="00820B09">
                              <w:rPr>
                                <w:rFonts w:asciiTheme="majorHAnsi" w:hAnsiTheme="majorHAnsi"/>
                                <w:sz w:val="20"/>
                                <w:szCs w:val="20"/>
                                <w:lang w:eastAsia="fr-FR"/>
                              </w:rPr>
                              <w:t>organizations of persons with disabilities (</w:t>
                            </w:r>
                            <w:r w:rsidR="00394535"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00394535" w:rsidRPr="00820B09">
                              <w:rPr>
                                <w:rFonts w:asciiTheme="majorHAnsi" w:hAnsiTheme="majorHAnsi"/>
                                <w:sz w:val="20"/>
                                <w:szCs w:val="20"/>
                                <w:lang w:eastAsia="fr-FR"/>
                              </w:rPr>
                              <w:t xml:space="preserve"> and clients with disabilities to make ongoing improvements to accessibility. </w:t>
                            </w:r>
                          </w:p>
                          <w:p w14:paraId="4414CF7C" w14:textId="77777777" w:rsidR="00DF66DE" w:rsidRPr="00820B09" w:rsidRDefault="00DF66DE" w:rsidP="009C0100">
                            <w:pPr>
                              <w:jc w:val="both"/>
                              <w:rPr>
                                <w:rFonts w:asciiTheme="majorHAnsi" w:hAnsiTheme="majorHAnsi"/>
                                <w:sz w:val="20"/>
                                <w:szCs w:val="20"/>
                                <w:lang w:eastAsia="fr-FR"/>
                              </w:rPr>
                            </w:pPr>
                          </w:p>
                          <w:p w14:paraId="7EE6CA69" w14:textId="097A9504" w:rsidR="006B2E26" w:rsidRPr="00820B09" w:rsidRDefault="00394535" w:rsidP="009C0100">
                            <w:pPr>
                              <w:jc w:val="both"/>
                              <w:rPr>
                                <w:rFonts w:asciiTheme="majorHAnsi" w:hAnsiTheme="majorHAnsi"/>
                                <w:sz w:val="20"/>
                                <w:szCs w:val="20"/>
                                <w:lang w:eastAsia="fr-FR"/>
                              </w:rPr>
                            </w:pPr>
                            <w:r w:rsidRPr="00820B09">
                              <w:rPr>
                                <w:rFonts w:asciiTheme="majorHAnsi" w:hAnsiTheme="majorHAnsi"/>
                                <w:sz w:val="20"/>
                                <w:szCs w:val="20"/>
                                <w:lang w:eastAsia="fr-FR"/>
                              </w:rPr>
                              <w:t xml:space="preserve">For more information about physical and digital accessibility and accessibility audits, see the BFFI Disability Inclusion Guide for FSPs.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F0471D" id="_x0000_s1042" type="#_x0000_t202" style="position:absolute;left:0;text-align:left;margin-left:0;margin-top:11.9pt;width:2in;height:231.5pt;z-index:251689984;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" filled="f" strokeweight=".5pt">
                <v:textbox>
                  <w:txbxContent>
                    <w:p w14:paraId="4DD27849" w14:textId="7EF624F2" w:rsidR="006B2E26" w:rsidRPr="00820B09" w:rsidRDefault="00EB123D" w:rsidP="006B2E26">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6B2E26" w:rsidRPr="00820B09">
                        <w:rPr>
                          <w:rFonts w:asciiTheme="majorHAnsi" w:hAnsiTheme="majorHAnsi"/>
                          <w:b/>
                          <w:bCs/>
                          <w:sz w:val="20"/>
                          <w:szCs w:val="20"/>
                          <w:lang w:eastAsia="fr-FR"/>
                        </w:rPr>
                        <w:t xml:space="preserve">. 3.B.1.1 </w:t>
                      </w:r>
                    </w:p>
                    <w:p w14:paraId="1E5D57DF" w14:textId="112CF9E8" w:rsidR="006B2E26" w:rsidRPr="00820B09" w:rsidRDefault="006B2E26" w:rsidP="006B2E26">
                      <w:pPr>
                        <w:jc w:val="both"/>
                        <w:rPr>
                          <w:rFonts w:asciiTheme="majorHAnsi" w:hAnsiTheme="majorHAnsi"/>
                          <w:sz w:val="20"/>
                          <w:szCs w:val="20"/>
                          <w:lang w:eastAsia="fr-FR"/>
                        </w:rPr>
                      </w:pPr>
                      <w:r w:rsidRPr="00820B09">
                        <w:rPr>
                          <w:rFonts w:asciiTheme="majorHAnsi" w:hAnsiTheme="majorHAnsi"/>
                          <w:sz w:val="20"/>
                          <w:szCs w:val="20"/>
                          <w:lang w:eastAsia="fr-FR"/>
                        </w:rPr>
                        <w:t xml:space="preserve">The provider should collaborate with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to ensure market and pilot studies, client feedback and outcome collection are accessible and include persons with disabilities (as noted in indicator</w:t>
                      </w:r>
                      <w:r w:rsidR="008B408D" w:rsidRPr="00820B09">
                        <w:rPr>
                          <w:rFonts w:asciiTheme="majorHAnsi" w:hAnsiTheme="majorHAnsi"/>
                          <w:sz w:val="20"/>
                          <w:szCs w:val="20"/>
                          <w:lang w:eastAsia="fr-FR"/>
                        </w:rPr>
                        <w:t xml:space="preserve"> 3.A.1.1</w:t>
                      </w:r>
                      <w:r w:rsidRPr="00820B09">
                        <w:rPr>
                          <w:rFonts w:asciiTheme="majorHAnsi" w:hAnsiTheme="majorHAnsi"/>
                          <w:sz w:val="20"/>
                          <w:szCs w:val="20"/>
                          <w:lang w:eastAsia="fr-FR"/>
                        </w:rPr>
                        <w:t>).</w:t>
                      </w:r>
                    </w:p>
                    <w:p w14:paraId="7E00C732" w14:textId="77777777" w:rsidR="006B2E26" w:rsidRPr="00820B09" w:rsidRDefault="006B2E26" w:rsidP="006B2E26">
                      <w:pPr>
                        <w:jc w:val="both"/>
                        <w:rPr>
                          <w:rFonts w:asciiTheme="majorHAnsi" w:hAnsiTheme="majorHAnsi"/>
                          <w:sz w:val="20"/>
                          <w:szCs w:val="20"/>
                          <w:lang w:eastAsia="fr-FR"/>
                        </w:rPr>
                      </w:pPr>
                    </w:p>
                    <w:p w14:paraId="1E18A4F8" w14:textId="2A065B9D" w:rsidR="00394535" w:rsidRPr="00820B09" w:rsidRDefault="006B2E26" w:rsidP="009C0100">
                      <w:pPr>
                        <w:jc w:val="both"/>
                        <w:rPr>
                          <w:rFonts w:asciiTheme="majorHAnsi" w:hAnsiTheme="majorHAnsi"/>
                          <w:sz w:val="20"/>
                          <w:szCs w:val="20"/>
                          <w:lang w:eastAsia="fr-FR"/>
                        </w:rPr>
                      </w:pPr>
                      <w:r w:rsidRPr="00820B09">
                        <w:rPr>
                          <w:rFonts w:asciiTheme="majorHAnsi" w:hAnsiTheme="majorHAnsi"/>
                          <w:sz w:val="20"/>
                          <w:szCs w:val="20"/>
                          <w:lang w:eastAsia="fr-FR"/>
                        </w:rPr>
                        <w:t>Integrate accessibility into the product design from the outset, as it is significantly more cost-effective to do so from the beginning</w:t>
                      </w:r>
                      <w:r w:rsidR="00157C36" w:rsidRPr="00820B09">
                        <w:rPr>
                          <w:rFonts w:asciiTheme="majorHAnsi" w:hAnsiTheme="majorHAnsi"/>
                          <w:sz w:val="20"/>
                          <w:szCs w:val="20"/>
                          <w:lang w:eastAsia="fr-FR"/>
                        </w:rPr>
                        <w:t>, and include accessibility testing in the design of all new products, services and channels, and upgrades to existing products, services and channels</w:t>
                      </w:r>
                      <w:r w:rsidR="00DF66DE" w:rsidRPr="00820B09">
                        <w:rPr>
                          <w:rFonts w:asciiTheme="majorHAnsi" w:hAnsiTheme="majorHAnsi"/>
                          <w:sz w:val="20"/>
                          <w:szCs w:val="20"/>
                          <w:lang w:eastAsia="fr-FR"/>
                        </w:rPr>
                        <w:t xml:space="preserve"> (see indicator 3.A.1.1)</w:t>
                      </w:r>
                    </w:p>
                    <w:p w14:paraId="4BF7B631" w14:textId="77777777" w:rsidR="00157C36" w:rsidRPr="00820B09" w:rsidRDefault="00157C36" w:rsidP="009C0100">
                      <w:pPr>
                        <w:jc w:val="both"/>
                        <w:rPr>
                          <w:rFonts w:asciiTheme="majorHAnsi" w:hAnsiTheme="majorHAnsi"/>
                          <w:sz w:val="20"/>
                          <w:szCs w:val="20"/>
                          <w:lang w:eastAsia="fr-FR"/>
                        </w:rPr>
                      </w:pPr>
                    </w:p>
                    <w:p w14:paraId="702B8C4E" w14:textId="54B53488" w:rsidR="00DF66DE" w:rsidRPr="00820B09" w:rsidRDefault="00157C36" w:rsidP="009C0100">
                      <w:pPr>
                        <w:jc w:val="both"/>
                        <w:rPr>
                          <w:rFonts w:asciiTheme="majorHAnsi" w:hAnsiTheme="majorHAnsi"/>
                          <w:sz w:val="20"/>
                          <w:szCs w:val="20"/>
                          <w:lang w:eastAsia="fr-FR"/>
                        </w:rPr>
                      </w:pPr>
                      <w:r w:rsidRPr="00820B09">
                        <w:rPr>
                          <w:rFonts w:asciiTheme="majorHAnsi" w:hAnsiTheme="majorHAnsi"/>
                          <w:sz w:val="20"/>
                          <w:szCs w:val="20"/>
                          <w:lang w:eastAsia="fr-FR"/>
                        </w:rPr>
                        <w:t xml:space="preserve">Carry out accessibility audits </w:t>
                      </w:r>
                      <w:r w:rsidR="00394535" w:rsidRPr="00820B09">
                        <w:rPr>
                          <w:rFonts w:asciiTheme="majorHAnsi" w:hAnsiTheme="majorHAnsi"/>
                          <w:sz w:val="20"/>
                          <w:szCs w:val="20"/>
                          <w:lang w:eastAsia="fr-FR"/>
                        </w:rPr>
                        <w:t xml:space="preserve">or assessments </w:t>
                      </w:r>
                      <w:r w:rsidRPr="00820B09">
                        <w:rPr>
                          <w:rFonts w:asciiTheme="majorHAnsi" w:hAnsiTheme="majorHAnsi"/>
                          <w:sz w:val="20"/>
                          <w:szCs w:val="20"/>
                          <w:lang w:eastAsia="fr-FR"/>
                        </w:rPr>
                        <w:t xml:space="preserve">of </w:t>
                      </w:r>
                      <w:r w:rsidR="00394535" w:rsidRPr="00820B09">
                        <w:rPr>
                          <w:rFonts w:asciiTheme="majorHAnsi" w:hAnsiTheme="majorHAnsi"/>
                          <w:sz w:val="20"/>
                          <w:szCs w:val="20"/>
                          <w:lang w:eastAsia="fr-FR"/>
                        </w:rPr>
                        <w:t xml:space="preserve">existing channels, both </w:t>
                      </w:r>
                      <w:r w:rsidRPr="00820B09">
                        <w:rPr>
                          <w:rFonts w:asciiTheme="majorHAnsi" w:hAnsiTheme="majorHAnsi"/>
                          <w:sz w:val="20"/>
                          <w:szCs w:val="20"/>
                          <w:lang w:eastAsia="fr-FR"/>
                        </w:rPr>
                        <w:t xml:space="preserve">physical </w:t>
                      </w:r>
                      <w:r w:rsidR="00394535" w:rsidRPr="00820B09">
                        <w:rPr>
                          <w:rFonts w:asciiTheme="majorHAnsi" w:hAnsiTheme="majorHAnsi"/>
                          <w:sz w:val="20"/>
                          <w:szCs w:val="20"/>
                          <w:lang w:eastAsia="fr-FR"/>
                        </w:rPr>
                        <w:t>(branches and ATMs), and digital (websites, online and mobile banking apps, social media), to identify barriers to access for persons with disabilities, and develop a plan to fix issues</w:t>
                      </w:r>
                      <w:r w:rsidR="00DF66DE" w:rsidRPr="00820B09">
                        <w:rPr>
                          <w:rFonts w:asciiTheme="majorHAnsi" w:hAnsiTheme="majorHAnsi"/>
                          <w:sz w:val="20"/>
                          <w:szCs w:val="20"/>
                          <w:lang w:eastAsia="fr-FR"/>
                        </w:rPr>
                        <w:t xml:space="preserve"> (see indicator 3.B.2.2). </w:t>
                      </w:r>
                      <w:r w:rsidR="00394535" w:rsidRPr="00820B09">
                        <w:rPr>
                          <w:rFonts w:asciiTheme="majorHAnsi" w:hAnsiTheme="majorHAnsi"/>
                          <w:sz w:val="20"/>
                          <w:szCs w:val="20"/>
                          <w:lang w:eastAsia="fr-FR"/>
                        </w:rPr>
                        <w:t xml:space="preserve">Seek feedback on accessibility from </w:t>
                      </w:r>
                      <w:r w:rsidR="00FE5465" w:rsidRPr="00820B09">
                        <w:rPr>
                          <w:rFonts w:asciiTheme="majorHAnsi" w:hAnsiTheme="majorHAnsi"/>
                          <w:sz w:val="20"/>
                          <w:szCs w:val="20"/>
                          <w:lang w:eastAsia="fr-FR"/>
                        </w:rPr>
                        <w:t>organizations of persons with disabilities (</w:t>
                      </w:r>
                      <w:r w:rsidR="00394535"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00394535" w:rsidRPr="00820B09">
                        <w:rPr>
                          <w:rFonts w:asciiTheme="majorHAnsi" w:hAnsiTheme="majorHAnsi"/>
                          <w:sz w:val="20"/>
                          <w:szCs w:val="20"/>
                          <w:lang w:eastAsia="fr-FR"/>
                        </w:rPr>
                        <w:t xml:space="preserve"> and clients with disabilities to make ongoing improvements to accessibility. </w:t>
                      </w:r>
                    </w:p>
                    <w:p w14:paraId="4414CF7C" w14:textId="77777777" w:rsidR="00DF66DE" w:rsidRPr="00820B09" w:rsidRDefault="00DF66DE" w:rsidP="009C0100">
                      <w:pPr>
                        <w:jc w:val="both"/>
                        <w:rPr>
                          <w:rFonts w:asciiTheme="majorHAnsi" w:hAnsiTheme="majorHAnsi"/>
                          <w:sz w:val="20"/>
                          <w:szCs w:val="20"/>
                          <w:lang w:eastAsia="fr-FR"/>
                        </w:rPr>
                      </w:pPr>
                    </w:p>
                    <w:p w14:paraId="7EE6CA69" w14:textId="097A9504" w:rsidR="006B2E26" w:rsidRPr="00820B09" w:rsidRDefault="00394535" w:rsidP="009C0100">
                      <w:pPr>
                        <w:jc w:val="both"/>
                        <w:rPr>
                          <w:rFonts w:asciiTheme="majorHAnsi" w:hAnsiTheme="majorHAnsi"/>
                          <w:sz w:val="20"/>
                          <w:szCs w:val="20"/>
                          <w:lang w:eastAsia="fr-FR"/>
                        </w:rPr>
                      </w:pPr>
                      <w:r w:rsidRPr="00820B09">
                        <w:rPr>
                          <w:rFonts w:asciiTheme="majorHAnsi" w:hAnsiTheme="majorHAnsi"/>
                          <w:sz w:val="20"/>
                          <w:szCs w:val="20"/>
                          <w:lang w:eastAsia="fr-FR"/>
                        </w:rPr>
                        <w:t xml:space="preserve">For more information about physical and digital accessibility and accessibility audits, see the BFFI Disability Inclusion Guide for FSPs.  </w:t>
                      </w:r>
                    </w:p>
                  </w:txbxContent>
                </v:textbox>
                <w10:wrap type="square" anchorx="margin"/>
              </v:shape>
            </w:pict>
          </mc:Fallback>
        </mc:AlternateContent>
      </w:r>
    </w:p>
    <w:p w14:paraId="18B93D6B" w14:textId="3B4FA398" w:rsidR="00C47CB2" w:rsidRPr="00A608EE" w:rsidRDefault="00C47CB2" w:rsidP="00EE208A">
      <w:pPr>
        <w:jc w:val="both"/>
        <w:rPr>
          <w:rFonts w:asciiTheme="majorHAnsi" w:hAnsiTheme="majorHAnsi"/>
          <w:szCs w:val="20"/>
          <w:lang w:eastAsia="fr-FR"/>
        </w:rPr>
      </w:pPr>
    </w:p>
    <w:p w14:paraId="133582F1" w14:textId="4D177A3C" w:rsidR="00C47CB2" w:rsidRPr="00A608EE" w:rsidRDefault="00C47CB2" w:rsidP="00EE208A">
      <w:pPr>
        <w:jc w:val="both"/>
        <w:rPr>
          <w:rFonts w:asciiTheme="majorHAnsi" w:hAnsiTheme="majorHAnsi"/>
          <w:b/>
          <w:bCs/>
          <w:sz w:val="20"/>
          <w:szCs w:val="15"/>
          <w:lang w:eastAsia="fr-FR"/>
        </w:rPr>
      </w:pPr>
      <w:r w:rsidRPr="00A608EE">
        <w:rPr>
          <w:rFonts w:asciiTheme="majorHAnsi" w:hAnsiTheme="majorHAnsi"/>
          <w:b/>
          <w:bCs/>
          <w:sz w:val="20"/>
          <w:szCs w:val="15"/>
          <w:lang w:eastAsia="fr-FR"/>
        </w:rPr>
        <w:t>Scoring guidance</w:t>
      </w:r>
    </w:p>
    <w:p w14:paraId="06ED13CC" w14:textId="77777777" w:rsidR="00C47CB2" w:rsidRPr="00A608EE" w:rsidRDefault="00C47CB2" w:rsidP="00A27AAA">
      <w:pPr>
        <w:numPr>
          <w:ilvl w:val="0"/>
          <w:numId w:val="175"/>
        </w:numPr>
        <w:jc w:val="both"/>
        <w:rPr>
          <w:rFonts w:asciiTheme="majorHAnsi" w:hAnsiTheme="majorHAnsi"/>
          <w:sz w:val="20"/>
          <w:szCs w:val="15"/>
          <w:lang w:eastAsia="fr-FR"/>
        </w:rPr>
      </w:pPr>
      <w:r w:rsidRPr="00A608EE">
        <w:rPr>
          <w:rFonts w:asciiTheme="majorHAnsi" w:hAnsiTheme="majorHAnsi"/>
          <w:sz w:val="20"/>
          <w:szCs w:val="15"/>
          <w:lang w:eastAsia="fr-FR"/>
        </w:rPr>
        <w:t>Score ’yes’ if the provider designs new products, services and distribution channels based systematically on representative client feedback gathered through different client feedback systems, like market and pilot studies, client satisfaction, client outcomes, complaints, etc.</w:t>
      </w:r>
    </w:p>
    <w:p w14:paraId="501D2E15" w14:textId="77777777" w:rsidR="00C47CB2" w:rsidRPr="00A608EE" w:rsidRDefault="00C47CB2" w:rsidP="00A27AAA">
      <w:pPr>
        <w:numPr>
          <w:ilvl w:val="0"/>
          <w:numId w:val="175"/>
        </w:numPr>
        <w:jc w:val="both"/>
        <w:rPr>
          <w:rFonts w:asciiTheme="majorHAnsi" w:hAnsiTheme="majorHAnsi"/>
          <w:sz w:val="20"/>
          <w:szCs w:val="15"/>
          <w:lang w:eastAsia="fr-FR"/>
        </w:rPr>
      </w:pPr>
      <w:r w:rsidRPr="00A608EE">
        <w:rPr>
          <w:rFonts w:asciiTheme="majorHAnsi" w:hAnsiTheme="majorHAnsi"/>
          <w:sz w:val="20"/>
          <w:szCs w:val="15"/>
          <w:lang w:eastAsia="fr-FR"/>
        </w:rPr>
        <w:t>Score ’partially’ if the provider designs new products, services and distribution channels which is not based systematically on representative client feedback. It may use pre-product-launch information (market research, pilot studies) or post-product-launch (client satisfaction surveys, outcomes data) or informal client feedback only.</w:t>
      </w:r>
    </w:p>
    <w:p w14:paraId="0A7DC595" w14:textId="77777777" w:rsidR="00C47CB2" w:rsidRPr="00A608EE" w:rsidRDefault="00C47CB2" w:rsidP="00A27AAA">
      <w:pPr>
        <w:numPr>
          <w:ilvl w:val="0"/>
          <w:numId w:val="175"/>
        </w:numPr>
        <w:jc w:val="both"/>
        <w:rPr>
          <w:rFonts w:asciiTheme="majorHAnsi" w:hAnsiTheme="majorHAnsi"/>
          <w:sz w:val="20"/>
          <w:szCs w:val="15"/>
          <w:lang w:eastAsia="fr-FR"/>
        </w:rPr>
      </w:pPr>
      <w:r w:rsidRPr="00A608EE">
        <w:rPr>
          <w:rFonts w:asciiTheme="majorHAnsi" w:hAnsiTheme="majorHAnsi"/>
          <w:sz w:val="20"/>
          <w:szCs w:val="15"/>
          <w:lang w:eastAsia="fr-FR"/>
        </w:rPr>
        <w:t>Score ‘no’ if the provider designs new products, services and their distribution channels without guidance from representative client feedback.</w:t>
      </w:r>
    </w:p>
    <w:p w14:paraId="0483BDDD" w14:textId="77777777" w:rsidR="00C47CB2" w:rsidRPr="00A608EE" w:rsidRDefault="00C47CB2" w:rsidP="00EE208A">
      <w:pPr>
        <w:jc w:val="both"/>
        <w:rPr>
          <w:rFonts w:asciiTheme="majorHAnsi" w:hAnsiTheme="majorHAnsi"/>
          <w:szCs w:val="20"/>
          <w:lang w:eastAsia="fr-FR"/>
        </w:rPr>
      </w:pPr>
    </w:p>
    <w:p w14:paraId="16119277" w14:textId="1BBB8901" w:rsidR="00C47CB2" w:rsidRPr="00A608EE" w:rsidRDefault="00C47CB2"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3B2C8E96" w14:textId="77777777" w:rsidR="00C47CB2" w:rsidRPr="00A608EE" w:rsidRDefault="00C47CB2" w:rsidP="00A27AAA">
      <w:pPr>
        <w:numPr>
          <w:ilvl w:val="0"/>
          <w:numId w:val="176"/>
        </w:numPr>
        <w:jc w:val="both"/>
        <w:rPr>
          <w:rFonts w:asciiTheme="majorHAnsi" w:hAnsiTheme="majorHAnsi"/>
          <w:sz w:val="20"/>
          <w:szCs w:val="20"/>
          <w:lang w:eastAsia="fr-FR"/>
        </w:rPr>
      </w:pPr>
      <w:r w:rsidRPr="00A608EE">
        <w:rPr>
          <w:rFonts w:asciiTheme="majorHAnsi" w:hAnsiTheme="majorHAnsi"/>
          <w:sz w:val="20"/>
          <w:szCs w:val="20"/>
          <w:lang w:eastAsia="fr-FR"/>
        </w:rPr>
        <w:t>Product term sheets</w:t>
      </w:r>
    </w:p>
    <w:p w14:paraId="3766E28A" w14:textId="77777777" w:rsidR="00C47CB2" w:rsidRPr="00A608EE" w:rsidRDefault="00C47CB2" w:rsidP="00A27AAA">
      <w:pPr>
        <w:numPr>
          <w:ilvl w:val="0"/>
          <w:numId w:val="176"/>
        </w:numPr>
        <w:jc w:val="both"/>
        <w:rPr>
          <w:rFonts w:asciiTheme="majorHAnsi" w:hAnsiTheme="majorHAnsi"/>
          <w:sz w:val="20"/>
          <w:szCs w:val="20"/>
          <w:lang w:eastAsia="fr-FR"/>
        </w:rPr>
      </w:pPr>
      <w:r w:rsidRPr="00A608EE">
        <w:rPr>
          <w:rFonts w:asciiTheme="majorHAnsi" w:hAnsiTheme="majorHAnsi"/>
          <w:sz w:val="20"/>
          <w:szCs w:val="20"/>
          <w:lang w:eastAsia="fr-FR"/>
        </w:rPr>
        <w:t>Interviews with marketing/ product development</w:t>
      </w:r>
    </w:p>
    <w:p w14:paraId="010D9E01" w14:textId="77777777" w:rsidR="00C47CB2" w:rsidRPr="00A608EE" w:rsidRDefault="00C47CB2" w:rsidP="00A27AAA">
      <w:pPr>
        <w:numPr>
          <w:ilvl w:val="0"/>
          <w:numId w:val="176"/>
        </w:numPr>
        <w:jc w:val="both"/>
        <w:rPr>
          <w:rFonts w:asciiTheme="majorHAnsi" w:hAnsiTheme="majorHAnsi"/>
          <w:sz w:val="20"/>
          <w:szCs w:val="20"/>
          <w:lang w:eastAsia="fr-FR"/>
        </w:rPr>
      </w:pPr>
      <w:r w:rsidRPr="00A608EE">
        <w:rPr>
          <w:rFonts w:asciiTheme="majorHAnsi" w:hAnsiTheme="majorHAnsi"/>
          <w:sz w:val="20"/>
          <w:szCs w:val="20"/>
          <w:lang w:eastAsia="fr-FR"/>
        </w:rPr>
        <w:t>Interviews with operations</w:t>
      </w:r>
    </w:p>
    <w:p w14:paraId="027345FD" w14:textId="77777777" w:rsidR="00C47CB2" w:rsidRPr="00A608EE" w:rsidRDefault="00C47CB2" w:rsidP="00A27AAA">
      <w:pPr>
        <w:numPr>
          <w:ilvl w:val="0"/>
          <w:numId w:val="176"/>
        </w:numPr>
        <w:jc w:val="both"/>
        <w:rPr>
          <w:rFonts w:asciiTheme="majorHAnsi" w:hAnsiTheme="majorHAnsi"/>
          <w:sz w:val="20"/>
          <w:szCs w:val="20"/>
          <w:lang w:eastAsia="fr-FR"/>
        </w:rPr>
      </w:pPr>
      <w:r w:rsidRPr="00A608EE">
        <w:rPr>
          <w:rFonts w:asciiTheme="majorHAnsi" w:hAnsiTheme="majorHAnsi"/>
          <w:sz w:val="20"/>
          <w:szCs w:val="20"/>
          <w:lang w:eastAsia="fr-FR"/>
        </w:rPr>
        <w:t>Interview with customer service</w:t>
      </w:r>
    </w:p>
    <w:p w14:paraId="1B50A22D" w14:textId="77777777" w:rsidR="00C47CB2" w:rsidRPr="00A608EE" w:rsidRDefault="00C47CB2" w:rsidP="00A27AAA">
      <w:pPr>
        <w:numPr>
          <w:ilvl w:val="0"/>
          <w:numId w:val="176"/>
        </w:numPr>
        <w:jc w:val="both"/>
        <w:rPr>
          <w:rFonts w:asciiTheme="majorHAnsi" w:hAnsiTheme="majorHAnsi"/>
          <w:sz w:val="20"/>
          <w:szCs w:val="20"/>
          <w:lang w:eastAsia="fr-FR"/>
        </w:rPr>
      </w:pPr>
      <w:r w:rsidRPr="00A608EE">
        <w:rPr>
          <w:rFonts w:asciiTheme="majorHAnsi" w:hAnsiTheme="majorHAnsi"/>
          <w:sz w:val="20"/>
          <w:szCs w:val="20"/>
          <w:lang w:eastAsia="fr-FR"/>
        </w:rPr>
        <w:t>Product development policy/manual (if the organization has one)</w:t>
      </w:r>
    </w:p>
    <w:p w14:paraId="7F6A5E36" w14:textId="77777777" w:rsidR="00C47CB2" w:rsidRPr="00A608EE" w:rsidRDefault="00C47CB2" w:rsidP="00A27AAA">
      <w:pPr>
        <w:numPr>
          <w:ilvl w:val="0"/>
          <w:numId w:val="176"/>
        </w:numPr>
        <w:jc w:val="both"/>
        <w:rPr>
          <w:rFonts w:asciiTheme="majorHAnsi" w:hAnsiTheme="majorHAnsi"/>
          <w:sz w:val="20"/>
          <w:szCs w:val="20"/>
          <w:lang w:eastAsia="fr-FR"/>
        </w:rPr>
      </w:pPr>
      <w:r w:rsidRPr="00A608EE">
        <w:rPr>
          <w:rFonts w:asciiTheme="majorHAnsi" w:hAnsiTheme="majorHAnsi"/>
          <w:sz w:val="20"/>
          <w:szCs w:val="20"/>
          <w:lang w:eastAsia="fr-FR"/>
        </w:rPr>
        <w:t>Product suitability policy (if the organization has one)</w:t>
      </w:r>
    </w:p>
    <w:p w14:paraId="091C3F78" w14:textId="77777777" w:rsidR="00C47CB2" w:rsidRPr="00A608EE" w:rsidRDefault="00C47CB2" w:rsidP="00EE208A">
      <w:pPr>
        <w:jc w:val="both"/>
        <w:rPr>
          <w:rFonts w:asciiTheme="majorHAnsi" w:hAnsiTheme="majorHAnsi"/>
          <w:sz w:val="20"/>
          <w:szCs w:val="20"/>
          <w:lang w:eastAsia="fr-FR"/>
        </w:rPr>
      </w:pPr>
    </w:p>
    <w:p w14:paraId="2EAD4893" w14:textId="2B2016ED" w:rsidR="00C47CB2" w:rsidRPr="00A608EE" w:rsidRDefault="00C47CB2"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48C5F084" w14:textId="77777777" w:rsidR="00C47CB2" w:rsidRPr="00A608EE" w:rsidRDefault="00C47CB2" w:rsidP="00A27AAA">
      <w:pPr>
        <w:numPr>
          <w:ilvl w:val="0"/>
          <w:numId w:val="177"/>
        </w:numPr>
        <w:jc w:val="both"/>
        <w:rPr>
          <w:rFonts w:asciiTheme="majorHAnsi" w:hAnsiTheme="majorHAnsi"/>
          <w:sz w:val="20"/>
          <w:szCs w:val="20"/>
          <w:lang w:eastAsia="fr-FR"/>
        </w:rPr>
      </w:pPr>
      <w:r w:rsidRPr="00A608EE">
        <w:rPr>
          <w:rFonts w:asciiTheme="majorHAnsi" w:hAnsiTheme="majorHAnsi"/>
          <w:sz w:val="20"/>
          <w:szCs w:val="20"/>
          <w:lang w:eastAsia="fr-FR"/>
        </w:rPr>
        <w:t>Show how the management uses results of client feedback to improve products/services and their distribution channels.</w:t>
      </w:r>
    </w:p>
    <w:p w14:paraId="6CA8CBDF" w14:textId="77777777" w:rsidR="00C47CB2" w:rsidRPr="00A608EE" w:rsidRDefault="00C47CB2" w:rsidP="00A27AAA">
      <w:pPr>
        <w:numPr>
          <w:ilvl w:val="0"/>
          <w:numId w:val="177"/>
        </w:numPr>
        <w:jc w:val="both"/>
        <w:rPr>
          <w:rFonts w:asciiTheme="majorHAnsi" w:hAnsiTheme="majorHAnsi"/>
          <w:sz w:val="20"/>
          <w:szCs w:val="20"/>
          <w:lang w:eastAsia="fr-FR"/>
        </w:rPr>
      </w:pPr>
      <w:r w:rsidRPr="00A608EE">
        <w:rPr>
          <w:rFonts w:asciiTheme="majorHAnsi" w:hAnsiTheme="majorHAnsi"/>
          <w:sz w:val="20"/>
          <w:szCs w:val="20"/>
          <w:lang w:eastAsia="fr-FR"/>
        </w:rPr>
        <w:t>Show how measures are discussed, implemented, and monitored, and records of these actions exist. The provider should evaluate the clients' ability to interact effectively with the technologies it uses to provide services and information.</w:t>
      </w:r>
    </w:p>
    <w:p w14:paraId="22A214A3" w14:textId="77777777" w:rsidR="00C47CB2" w:rsidRPr="00A608EE" w:rsidRDefault="00C47CB2" w:rsidP="00A27AAA">
      <w:pPr>
        <w:numPr>
          <w:ilvl w:val="0"/>
          <w:numId w:val="177"/>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Provide one or more specific examples of how client and market data has been used to inform product or service design.</w:t>
      </w:r>
    </w:p>
    <w:p w14:paraId="73EB7623" w14:textId="77777777" w:rsidR="00C47CB2" w:rsidRPr="00A608EE" w:rsidRDefault="00C47CB2" w:rsidP="00EE208A">
      <w:pPr>
        <w:jc w:val="both"/>
        <w:rPr>
          <w:rFonts w:asciiTheme="majorHAnsi" w:hAnsiTheme="majorHAnsi"/>
          <w:b/>
          <w:bCs/>
          <w:sz w:val="20"/>
          <w:szCs w:val="20"/>
          <w:lang w:eastAsia="fr-FR"/>
        </w:rPr>
      </w:pPr>
    </w:p>
    <w:p w14:paraId="48C364C7" w14:textId="0C6759C4" w:rsidR="00AA464D" w:rsidRPr="00A608EE" w:rsidRDefault="00C47CB2"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3.B.1.1</w:t>
      </w:r>
    </w:p>
    <w:p w14:paraId="3C39F1AD" w14:textId="77777777" w:rsidR="00C82077" w:rsidRPr="00A608EE" w:rsidRDefault="00C82077" w:rsidP="00A27AAA">
      <w:pPr>
        <w:numPr>
          <w:ilvl w:val="0"/>
          <w:numId w:val="9"/>
        </w:numPr>
        <w:jc w:val="both"/>
        <w:rPr>
          <w:rStyle w:val="Hyperlink"/>
          <w:rFonts w:asciiTheme="majorHAnsi" w:hAnsiTheme="majorHAnsi"/>
          <w:color w:val="auto"/>
          <w:sz w:val="20"/>
          <w:szCs w:val="20"/>
          <w:u w:val="none"/>
        </w:rPr>
      </w:pPr>
      <w:hyperlink r:id="rId150" w:history="1">
        <w:r w:rsidRPr="00A608EE">
          <w:rPr>
            <w:rStyle w:val="Hyperlink"/>
            <w:rFonts w:asciiTheme="majorHAnsi" w:hAnsiTheme="majorHAnsi"/>
            <w:color w:val="auto"/>
            <w:sz w:val="20"/>
            <w:szCs w:val="20"/>
          </w:rPr>
          <w:t>Komida Uses Data-Driven Product Design</w:t>
        </w:r>
      </w:hyperlink>
    </w:p>
    <w:p w14:paraId="3154A1D5" w14:textId="77777777" w:rsidR="00794B11" w:rsidRPr="00A608EE" w:rsidRDefault="00794B11" w:rsidP="00EE208A">
      <w:pPr>
        <w:jc w:val="both"/>
        <w:rPr>
          <w:rFonts w:asciiTheme="majorHAnsi" w:hAnsiTheme="majorHAnsi"/>
          <w:szCs w:val="20"/>
        </w:rPr>
      </w:pPr>
    </w:p>
    <w:p w14:paraId="7B177705" w14:textId="77777777" w:rsidR="00312A7F" w:rsidRPr="00A608EE" w:rsidRDefault="00312A7F" w:rsidP="00EE208A">
      <w:pPr>
        <w:jc w:val="both"/>
        <w:rPr>
          <w:rFonts w:asciiTheme="majorHAnsi" w:hAnsiTheme="majorHAnsi"/>
          <w:szCs w:val="20"/>
        </w:rPr>
      </w:pPr>
    </w:p>
    <w:p w14:paraId="4BA2FDAE" w14:textId="65AE98E6" w:rsidR="00AA464D" w:rsidRPr="00A608EE" w:rsidRDefault="00AA464D" w:rsidP="00EE208A">
      <w:pPr>
        <w:pStyle w:val="Heading4"/>
        <w:spacing w:before="0" w:line="240" w:lineRule="auto"/>
        <w:jc w:val="both"/>
      </w:pPr>
      <w:r w:rsidRPr="00A608EE">
        <w:rPr>
          <w:rStyle w:val="text-primary"/>
        </w:rPr>
        <w:t>3.B.1.2</w:t>
      </w:r>
      <w:r w:rsidRPr="00A608EE">
        <w:t xml:space="preserve"> </w:t>
      </w:r>
      <w:r w:rsidR="00C47CB2" w:rsidRPr="00A608EE">
        <w:t>The provider modifies its existing products and services in response to clients’ needs, feedback, and outcomes</w:t>
      </w:r>
      <w:r w:rsidR="00883350" w:rsidRPr="00A608EE">
        <w:t>.</w:t>
      </w:r>
    </w:p>
    <w:p w14:paraId="1FB1CB77" w14:textId="77777777" w:rsidR="00D86DA3" w:rsidRPr="00A608EE" w:rsidRDefault="00D86DA3" w:rsidP="00EE208A">
      <w:pPr>
        <w:jc w:val="both"/>
        <w:rPr>
          <w:rFonts w:asciiTheme="majorHAnsi" w:hAnsiTheme="majorHAnsi"/>
          <w:szCs w:val="20"/>
        </w:rPr>
      </w:pPr>
    </w:p>
    <w:p w14:paraId="4C4C1D62" w14:textId="2DA510D1" w:rsidR="00BF72FA"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BF72FA" w:rsidRPr="00A608EE">
        <w:rPr>
          <w:rFonts w:asciiTheme="majorHAnsi" w:hAnsiTheme="majorHAnsi"/>
          <w:b/>
          <w:bCs/>
          <w:color w:val="2145CC" w:themeColor="accent5" w:themeShade="BF"/>
          <w:sz w:val="20"/>
          <w:szCs w:val="20"/>
        </w:rPr>
        <w:t>SPI5 Entry</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SPI5 Full</w:t>
      </w:r>
      <w:r w:rsidR="00440024" w:rsidRPr="00A608EE">
        <w:rPr>
          <w:rFonts w:asciiTheme="majorHAnsi" w:hAnsiTheme="majorHAnsi"/>
          <w:b/>
          <w:bCs/>
          <w:color w:val="2145CC" w:themeColor="accent5" w:themeShade="BF"/>
          <w:sz w:val="20"/>
          <w:szCs w:val="20"/>
        </w:rPr>
        <w:t xml:space="preserve"> | </w:t>
      </w:r>
      <w:r w:rsidR="00BF72FA" w:rsidRPr="00A608EE">
        <w:rPr>
          <w:rFonts w:asciiTheme="majorHAnsi" w:hAnsiTheme="majorHAnsi"/>
          <w:b/>
          <w:bCs/>
          <w:color w:val="2145CC" w:themeColor="accent5" w:themeShade="BF"/>
          <w:sz w:val="20"/>
          <w:szCs w:val="20"/>
        </w:rPr>
        <w:t>CP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1F1010F2" w14:textId="34D8B046" w:rsidR="00BF72FA" w:rsidRPr="00A608EE" w:rsidRDefault="006B2E26" w:rsidP="001E2C57">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7793C088" w14:textId="7703C060" w:rsidR="006B2E26" w:rsidRPr="00A608EE" w:rsidRDefault="00C47CB2"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As for new product design, clients are your best source of information to understand any failures or unsuitable features in your product.</w:t>
      </w:r>
    </w:p>
    <w:p w14:paraId="28509D5F"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42B433ED"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34368" behindDoc="1" locked="0" layoutInCell="1" allowOverlap="1" wp14:anchorId="1638E910" wp14:editId="2243B5FE">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90131760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2228E27" w14:textId="77777777" w:rsidR="00672763" w:rsidRPr="00A608EE" w:rsidRDefault="00672763" w:rsidP="00EE208A">
      <w:pPr>
        <w:pStyle w:val="NormalWeb"/>
        <w:spacing w:before="0" w:beforeAutospacing="0" w:after="0" w:afterAutospacing="0"/>
        <w:jc w:val="both"/>
        <w:rPr>
          <w:rFonts w:asciiTheme="majorHAnsi" w:hAnsiTheme="majorHAnsi"/>
          <w:b/>
          <w:bCs/>
          <w:sz w:val="20"/>
          <w:szCs w:val="20"/>
        </w:rPr>
      </w:pPr>
    </w:p>
    <w:p w14:paraId="2315C7DE" w14:textId="7B4D2CDA" w:rsidR="006B2E26" w:rsidRPr="00A608EE" w:rsidRDefault="00FC6779" w:rsidP="006B2E26">
      <w:pPr>
        <w:pStyle w:val="paragraph"/>
        <w:spacing w:before="0" w:beforeAutospacing="0" w:after="0" w:afterAutospacing="0"/>
        <w:jc w:val="both"/>
        <w:textAlignment w:val="baseline"/>
        <w:rPr>
          <w:rStyle w:val="normaltextrun"/>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6B2E26" w:rsidRPr="00A608EE">
        <w:rPr>
          <w:rStyle w:val="normaltextrun"/>
          <w:rFonts w:asciiTheme="majorHAnsi" w:hAnsiTheme="majorHAnsi"/>
          <w:sz w:val="20"/>
          <w:szCs w:val="20"/>
        </w:rPr>
        <w:t>The provider modifies its existing products and services in response to the needs, feedback, and outcomes of persons with different types of impairments, where required. (e.g., specific requirements of persons with disabilities for emergency loans, insurances; financing assistive device etc.)</w:t>
      </w:r>
      <w:r w:rsidR="00CF0B6E" w:rsidRPr="00A608EE">
        <w:rPr>
          <w:rStyle w:val="normaltextrun"/>
          <w:rFonts w:asciiTheme="majorHAnsi" w:hAnsiTheme="majorHAnsi"/>
          <w:sz w:val="20"/>
          <w:szCs w:val="20"/>
        </w:rPr>
        <w:t xml:space="preserve"> The provider also dedicates resources (funds and employee time) to ongoing improvements in accessibility of products, services, and delivery channels.</w:t>
      </w:r>
    </w:p>
    <w:p w14:paraId="41049587" w14:textId="77777777" w:rsidR="00394535" w:rsidRPr="00A608EE" w:rsidRDefault="00394535" w:rsidP="006B2E26">
      <w:pPr>
        <w:pStyle w:val="paragraph"/>
        <w:spacing w:before="0" w:beforeAutospacing="0" w:after="0" w:afterAutospacing="0"/>
        <w:jc w:val="both"/>
        <w:textAlignment w:val="baseline"/>
        <w:rPr>
          <w:rStyle w:val="normaltextrun"/>
          <w:rFonts w:asciiTheme="majorHAnsi" w:hAnsiTheme="majorHAnsi"/>
          <w:sz w:val="20"/>
          <w:szCs w:val="20"/>
        </w:rPr>
      </w:pPr>
    </w:p>
    <w:p w14:paraId="54A53787" w14:textId="1BFE0E0E" w:rsidR="00394535" w:rsidRPr="00A608EE" w:rsidRDefault="00394535" w:rsidP="006B2E26">
      <w:pPr>
        <w:pStyle w:val="paragraph"/>
        <w:spacing w:before="0" w:beforeAutospacing="0" w:after="0" w:afterAutospacing="0"/>
        <w:jc w:val="both"/>
        <w:textAlignment w:val="baseline"/>
        <w:rPr>
          <w:rStyle w:val="normaltextrun"/>
          <w:rFonts w:asciiTheme="majorHAnsi" w:hAnsiTheme="majorHAnsi"/>
          <w:sz w:val="20"/>
          <w:szCs w:val="20"/>
        </w:rPr>
      </w:pPr>
      <w:r w:rsidRPr="00A608EE">
        <w:rPr>
          <w:noProof/>
        </w:rPr>
        <mc:AlternateContent>
          <mc:Choice Requires="wps">
            <w:drawing>
              <wp:anchor distT="0" distB="0" distL="114300" distR="114300" simplePos="0" relativeHeight="251751424" behindDoc="0" locked="0" layoutInCell="1" allowOverlap="1" wp14:anchorId="7C6DF956" wp14:editId="220358AC">
                <wp:simplePos x="0" y="0"/>
                <wp:positionH relativeFrom="column">
                  <wp:posOffset>0</wp:posOffset>
                </wp:positionH>
                <wp:positionV relativeFrom="paragraph">
                  <wp:posOffset>151765</wp:posOffset>
                </wp:positionV>
                <wp:extent cx="1828800" cy="1828800"/>
                <wp:effectExtent l="0" t="0" r="0" b="0"/>
                <wp:wrapSquare wrapText="bothSides"/>
                <wp:docPr id="887801196"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4E0A06EC" w14:textId="47E41644" w:rsidR="00394535" w:rsidRPr="00820B09" w:rsidRDefault="00EB123D" w:rsidP="00394535">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394535" w:rsidRPr="00820B09">
                              <w:rPr>
                                <w:rFonts w:asciiTheme="majorHAnsi" w:hAnsiTheme="majorHAnsi"/>
                                <w:b/>
                                <w:bCs/>
                                <w:sz w:val="20"/>
                                <w:szCs w:val="20"/>
                                <w:lang w:eastAsia="fr-FR"/>
                              </w:rPr>
                              <w:t xml:space="preserve">. 3.B.1.2 </w:t>
                            </w:r>
                          </w:p>
                          <w:p w14:paraId="732C927F" w14:textId="77777777" w:rsidR="00394535" w:rsidRPr="00820B09" w:rsidRDefault="00394535" w:rsidP="00394535">
                            <w:pPr>
                              <w:jc w:val="both"/>
                              <w:rPr>
                                <w:rFonts w:asciiTheme="majorHAnsi" w:hAnsiTheme="majorHAnsi"/>
                                <w:sz w:val="20"/>
                                <w:szCs w:val="20"/>
                                <w:lang w:eastAsia="fr-FR"/>
                              </w:rPr>
                            </w:pPr>
                          </w:p>
                          <w:p w14:paraId="487386AD" w14:textId="12D14E64" w:rsidR="00394535" w:rsidRPr="00820B09" w:rsidRDefault="00394535" w:rsidP="00394535">
                            <w:pPr>
                              <w:jc w:val="both"/>
                              <w:rPr>
                                <w:rFonts w:asciiTheme="majorHAnsi" w:hAnsiTheme="majorHAnsi"/>
                                <w:sz w:val="20"/>
                                <w:szCs w:val="20"/>
                                <w:lang w:eastAsia="fr-FR"/>
                              </w:rPr>
                            </w:pPr>
                            <w:r w:rsidRPr="00820B09">
                              <w:rPr>
                                <w:rFonts w:asciiTheme="majorHAnsi" w:hAnsiTheme="majorHAnsi"/>
                                <w:sz w:val="20"/>
                                <w:szCs w:val="20"/>
                                <w:lang w:eastAsia="fr-FR"/>
                              </w:rPr>
                              <w:t xml:space="preserve">Seek feedback on accessibility from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and clients with disabilities to make ongoing improvements to products, services and channels. </w:t>
                            </w:r>
                          </w:p>
                          <w:p w14:paraId="64B41A66" w14:textId="77777777" w:rsidR="00394535" w:rsidRPr="00820B09" w:rsidRDefault="00394535" w:rsidP="00394535">
                            <w:pPr>
                              <w:jc w:val="both"/>
                              <w:rPr>
                                <w:rFonts w:asciiTheme="majorHAnsi" w:hAnsiTheme="majorHAnsi"/>
                                <w:sz w:val="20"/>
                                <w:szCs w:val="20"/>
                                <w:lang w:eastAsia="fr-FR"/>
                              </w:rPr>
                            </w:pPr>
                          </w:p>
                          <w:p w14:paraId="055B7941" w14:textId="3F9B5220" w:rsidR="00394535" w:rsidRPr="00820B09" w:rsidRDefault="00394535" w:rsidP="00394535">
                            <w:pPr>
                              <w:jc w:val="both"/>
                              <w:rPr>
                                <w:rFonts w:asciiTheme="majorHAnsi" w:hAnsiTheme="majorHAnsi"/>
                                <w:sz w:val="20"/>
                                <w:szCs w:val="20"/>
                                <w:lang w:eastAsia="fr-FR"/>
                              </w:rPr>
                            </w:pPr>
                            <w:r w:rsidRPr="00820B09">
                              <w:rPr>
                                <w:rFonts w:asciiTheme="majorHAnsi" w:hAnsiTheme="majorHAnsi"/>
                                <w:sz w:val="20"/>
                                <w:szCs w:val="20"/>
                                <w:lang w:eastAsia="fr-FR"/>
                              </w:rPr>
                              <w:t xml:space="preserve">Carry out accessibility audits or assessments of existing channels, both physical (branches and ATMs), and digital (websites, online and mobile banking apps, social media), to identify barriers to access for persons with disabilities, and develop a plan to fix issues. For more information </w:t>
                            </w:r>
                            <w:r w:rsidR="003510A0" w:rsidRPr="00820B09">
                              <w:rPr>
                                <w:rFonts w:asciiTheme="majorHAnsi" w:hAnsiTheme="majorHAnsi"/>
                                <w:sz w:val="20"/>
                                <w:szCs w:val="20"/>
                                <w:lang w:eastAsia="fr-FR"/>
                              </w:rPr>
                              <w:t>and resources on</w:t>
                            </w:r>
                            <w:r w:rsidRPr="00820B09">
                              <w:rPr>
                                <w:rFonts w:asciiTheme="majorHAnsi" w:hAnsiTheme="majorHAnsi"/>
                                <w:sz w:val="20"/>
                                <w:szCs w:val="20"/>
                                <w:lang w:eastAsia="fr-FR"/>
                              </w:rPr>
                              <w:t xml:space="preserve"> physical and digital accessibility and accessibility audits, see </w:t>
                            </w:r>
                            <w:r w:rsidR="003510A0" w:rsidRPr="00820B09">
                              <w:rPr>
                                <w:rFonts w:asciiTheme="majorHAnsi" w:hAnsiTheme="majorHAnsi"/>
                                <w:sz w:val="20"/>
                                <w:szCs w:val="20"/>
                                <w:lang w:eastAsia="fr-FR"/>
                              </w:rPr>
                              <w:t xml:space="preserve">indicator 3.B.2.2, and </w:t>
                            </w:r>
                            <w:r w:rsidRPr="00820B09">
                              <w:rPr>
                                <w:rFonts w:asciiTheme="majorHAnsi" w:hAnsiTheme="majorHAnsi"/>
                                <w:sz w:val="20"/>
                                <w:szCs w:val="20"/>
                                <w:lang w:eastAsia="fr-FR"/>
                              </w:rPr>
                              <w:t xml:space="preserve">the BFFI Disability Inclusion Guide for FSPs.  </w:t>
                            </w:r>
                          </w:p>
                          <w:p w14:paraId="0FFD1258" w14:textId="214770CE" w:rsidR="00394535" w:rsidRPr="00820B09" w:rsidRDefault="00394535" w:rsidP="00394535">
                            <w:pPr>
                              <w:jc w:val="both"/>
                              <w:rPr>
                                <w:rFonts w:asciiTheme="majorHAnsi" w:hAnsiTheme="majorHAnsi"/>
                                <w:sz w:val="20"/>
                                <w:szCs w:val="20"/>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C6DF956" id="_x0000_s1043" type="#_x0000_t202" style="position:absolute;left:0;text-align:left;margin-left:0;margin-top:11.95pt;width:2in;height:2in;z-index:2517514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Vc4KwIAAFsEAAAOAAAAZHJzL2Uyb0RvYy54bWysVN9v2jAQfp+0/8Hy+0hgtGU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" filled="f" strokeweight=".5pt">
                <v:textbox style="mso-fit-shape-to-text:t">
                  <w:txbxContent>
                    <w:p w14:paraId="4E0A06EC" w14:textId="47E41644" w:rsidR="00394535" w:rsidRPr="00820B09" w:rsidRDefault="00EB123D" w:rsidP="00394535">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394535" w:rsidRPr="00820B09">
                        <w:rPr>
                          <w:rFonts w:asciiTheme="majorHAnsi" w:hAnsiTheme="majorHAnsi"/>
                          <w:b/>
                          <w:bCs/>
                          <w:sz w:val="20"/>
                          <w:szCs w:val="20"/>
                          <w:lang w:eastAsia="fr-FR"/>
                        </w:rPr>
                        <w:t xml:space="preserve">. 3.B.1.2 </w:t>
                      </w:r>
                    </w:p>
                    <w:p w14:paraId="732C927F" w14:textId="77777777" w:rsidR="00394535" w:rsidRPr="00820B09" w:rsidRDefault="00394535" w:rsidP="00394535">
                      <w:pPr>
                        <w:jc w:val="both"/>
                        <w:rPr>
                          <w:rFonts w:asciiTheme="majorHAnsi" w:hAnsiTheme="majorHAnsi"/>
                          <w:sz w:val="20"/>
                          <w:szCs w:val="20"/>
                          <w:lang w:eastAsia="fr-FR"/>
                        </w:rPr>
                      </w:pPr>
                    </w:p>
                    <w:p w14:paraId="487386AD" w14:textId="12D14E64" w:rsidR="00394535" w:rsidRPr="00820B09" w:rsidRDefault="00394535" w:rsidP="00394535">
                      <w:pPr>
                        <w:jc w:val="both"/>
                        <w:rPr>
                          <w:rFonts w:asciiTheme="majorHAnsi" w:hAnsiTheme="majorHAnsi"/>
                          <w:sz w:val="20"/>
                          <w:szCs w:val="20"/>
                          <w:lang w:eastAsia="fr-FR"/>
                        </w:rPr>
                      </w:pPr>
                      <w:r w:rsidRPr="00820B09">
                        <w:rPr>
                          <w:rFonts w:asciiTheme="majorHAnsi" w:hAnsiTheme="majorHAnsi"/>
                          <w:sz w:val="20"/>
                          <w:szCs w:val="20"/>
                          <w:lang w:eastAsia="fr-FR"/>
                        </w:rPr>
                        <w:t xml:space="preserve">Seek feedback on accessibility from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and clients with disabilities to make ongoing improvements to products, services and channels. </w:t>
                      </w:r>
                    </w:p>
                    <w:p w14:paraId="64B41A66" w14:textId="77777777" w:rsidR="00394535" w:rsidRPr="00820B09" w:rsidRDefault="00394535" w:rsidP="00394535">
                      <w:pPr>
                        <w:jc w:val="both"/>
                        <w:rPr>
                          <w:rFonts w:asciiTheme="majorHAnsi" w:hAnsiTheme="majorHAnsi"/>
                          <w:sz w:val="20"/>
                          <w:szCs w:val="20"/>
                          <w:lang w:eastAsia="fr-FR"/>
                        </w:rPr>
                      </w:pPr>
                    </w:p>
                    <w:p w14:paraId="055B7941" w14:textId="3F9B5220" w:rsidR="00394535" w:rsidRPr="00820B09" w:rsidRDefault="00394535" w:rsidP="00394535">
                      <w:pPr>
                        <w:jc w:val="both"/>
                        <w:rPr>
                          <w:rFonts w:asciiTheme="majorHAnsi" w:hAnsiTheme="majorHAnsi"/>
                          <w:sz w:val="20"/>
                          <w:szCs w:val="20"/>
                          <w:lang w:eastAsia="fr-FR"/>
                        </w:rPr>
                      </w:pPr>
                      <w:r w:rsidRPr="00820B09">
                        <w:rPr>
                          <w:rFonts w:asciiTheme="majorHAnsi" w:hAnsiTheme="majorHAnsi"/>
                          <w:sz w:val="20"/>
                          <w:szCs w:val="20"/>
                          <w:lang w:eastAsia="fr-FR"/>
                        </w:rPr>
                        <w:t xml:space="preserve">Carry out accessibility audits or assessments of existing channels, both physical (branches and ATMs), and digital (websites, online and mobile banking apps, social media), to identify barriers to access for persons with disabilities, and develop a plan to fix issues. For more information </w:t>
                      </w:r>
                      <w:r w:rsidR="003510A0" w:rsidRPr="00820B09">
                        <w:rPr>
                          <w:rFonts w:asciiTheme="majorHAnsi" w:hAnsiTheme="majorHAnsi"/>
                          <w:sz w:val="20"/>
                          <w:szCs w:val="20"/>
                          <w:lang w:eastAsia="fr-FR"/>
                        </w:rPr>
                        <w:t>and resources on</w:t>
                      </w:r>
                      <w:r w:rsidRPr="00820B09">
                        <w:rPr>
                          <w:rFonts w:asciiTheme="majorHAnsi" w:hAnsiTheme="majorHAnsi"/>
                          <w:sz w:val="20"/>
                          <w:szCs w:val="20"/>
                          <w:lang w:eastAsia="fr-FR"/>
                        </w:rPr>
                        <w:t xml:space="preserve"> physical and digital accessibility and accessibility audits, see </w:t>
                      </w:r>
                      <w:r w:rsidR="003510A0" w:rsidRPr="00820B09">
                        <w:rPr>
                          <w:rFonts w:asciiTheme="majorHAnsi" w:hAnsiTheme="majorHAnsi"/>
                          <w:sz w:val="20"/>
                          <w:szCs w:val="20"/>
                          <w:lang w:eastAsia="fr-FR"/>
                        </w:rPr>
                        <w:t xml:space="preserve">indicator 3.B.2.2, and </w:t>
                      </w:r>
                      <w:r w:rsidRPr="00820B09">
                        <w:rPr>
                          <w:rFonts w:asciiTheme="majorHAnsi" w:hAnsiTheme="majorHAnsi"/>
                          <w:sz w:val="20"/>
                          <w:szCs w:val="20"/>
                          <w:lang w:eastAsia="fr-FR"/>
                        </w:rPr>
                        <w:t xml:space="preserve">the BFFI Disability Inclusion Guide for FSPs.  </w:t>
                      </w:r>
                    </w:p>
                    <w:p w14:paraId="0FFD1258" w14:textId="214770CE" w:rsidR="00394535" w:rsidRPr="00820B09" w:rsidRDefault="00394535" w:rsidP="00394535">
                      <w:pPr>
                        <w:jc w:val="both"/>
                        <w:rPr>
                          <w:rFonts w:asciiTheme="majorHAnsi" w:hAnsiTheme="majorHAnsi"/>
                          <w:sz w:val="20"/>
                          <w:szCs w:val="20"/>
                          <w:lang w:eastAsia="fr-FR"/>
                        </w:rPr>
                      </w:pPr>
                    </w:p>
                  </w:txbxContent>
                </v:textbox>
                <w10:wrap type="square"/>
              </v:shape>
            </w:pict>
          </mc:Fallback>
        </mc:AlternateContent>
      </w:r>
    </w:p>
    <w:p w14:paraId="4EC134D8" w14:textId="77777777" w:rsidR="00394535" w:rsidRPr="00A608EE" w:rsidRDefault="00394535" w:rsidP="006B2E26">
      <w:pPr>
        <w:pStyle w:val="paragraph"/>
        <w:spacing w:before="0" w:beforeAutospacing="0" w:after="0" w:afterAutospacing="0"/>
        <w:jc w:val="both"/>
        <w:textAlignment w:val="baseline"/>
        <w:rPr>
          <w:rStyle w:val="normaltextrun"/>
          <w:rFonts w:asciiTheme="majorHAnsi" w:hAnsiTheme="majorHAnsi"/>
          <w:sz w:val="20"/>
          <w:szCs w:val="20"/>
        </w:rPr>
      </w:pPr>
    </w:p>
    <w:p w14:paraId="0974A378" w14:textId="4FB695DC" w:rsidR="00C47CB2" w:rsidRPr="00A608EE" w:rsidRDefault="00C47CB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5AAFE9BD" w14:textId="77777777" w:rsidR="00C47CB2" w:rsidRPr="00A608EE" w:rsidRDefault="00C47CB2" w:rsidP="00A27AAA">
      <w:pPr>
        <w:pStyle w:val="NormalWeb"/>
        <w:numPr>
          <w:ilvl w:val="0"/>
          <w:numId w:val="1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w:t>
      </w:r>
    </w:p>
    <w:p w14:paraId="29A6EBE0" w14:textId="77777777" w:rsidR="00C47CB2" w:rsidRPr="00A608EE" w:rsidRDefault="00C47CB2" w:rsidP="00A27AAA">
      <w:pPr>
        <w:pStyle w:val="NormalWeb"/>
        <w:numPr>
          <w:ilvl w:val="1"/>
          <w:numId w:val="1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is modifying existing products/services and their distribution channels based systematically on representative client feedback gathered through different client feedback systems, like market and pilot studies, client satisfaction, client outcomes, complaints, etc. and</w:t>
      </w:r>
    </w:p>
    <w:p w14:paraId="03B3BFA7" w14:textId="77777777" w:rsidR="00C47CB2" w:rsidRPr="00A608EE" w:rsidRDefault="00C47CB2" w:rsidP="00A27AAA">
      <w:pPr>
        <w:pStyle w:val="NormalWeb"/>
        <w:numPr>
          <w:ilvl w:val="1"/>
          <w:numId w:val="1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at least one concrete and documented example exists.</w:t>
      </w:r>
    </w:p>
    <w:p w14:paraId="21CC23E4" w14:textId="77777777" w:rsidR="00C47CB2" w:rsidRPr="00A608EE" w:rsidRDefault="00C47CB2" w:rsidP="00A27AAA">
      <w:pPr>
        <w:pStyle w:val="NormalWeb"/>
        <w:numPr>
          <w:ilvl w:val="0"/>
          <w:numId w:val="1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modifying existing products, services and their distribution channels which is not based systematically on representative client feedback. It may use not-representative and informal client feedback only.</w:t>
      </w:r>
    </w:p>
    <w:p w14:paraId="2F899A7A" w14:textId="77777777" w:rsidR="00C47CB2" w:rsidRPr="00A608EE" w:rsidRDefault="00C47CB2" w:rsidP="00A27AAA">
      <w:pPr>
        <w:pStyle w:val="NormalWeb"/>
        <w:numPr>
          <w:ilvl w:val="0"/>
          <w:numId w:val="17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is modifying existing products, services and their distribution channels without guidance from representative client feedback.</w:t>
      </w:r>
    </w:p>
    <w:p w14:paraId="771DD7F0" w14:textId="77777777" w:rsidR="00C47CB2" w:rsidRPr="00A608EE" w:rsidRDefault="00C47CB2" w:rsidP="00EE208A">
      <w:pPr>
        <w:pStyle w:val="NormalWeb"/>
        <w:spacing w:before="0" w:beforeAutospacing="0" w:after="0" w:afterAutospacing="0"/>
        <w:jc w:val="both"/>
        <w:rPr>
          <w:rFonts w:asciiTheme="majorHAnsi" w:hAnsiTheme="majorHAnsi"/>
          <w:sz w:val="20"/>
          <w:szCs w:val="20"/>
        </w:rPr>
      </w:pPr>
    </w:p>
    <w:p w14:paraId="4CF7FA15" w14:textId="57C336E5" w:rsidR="00C47CB2" w:rsidRPr="00A608EE" w:rsidRDefault="00C47CB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6041E792" w14:textId="77777777" w:rsidR="00C47CB2" w:rsidRPr="00A608EE" w:rsidRDefault="00C47CB2" w:rsidP="00A27AAA">
      <w:pPr>
        <w:pStyle w:val="NormalWeb"/>
        <w:numPr>
          <w:ilvl w:val="0"/>
          <w:numId w:val="1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Product fact sheets</w:t>
      </w:r>
    </w:p>
    <w:p w14:paraId="5B5DB41D" w14:textId="77777777" w:rsidR="00C47CB2" w:rsidRPr="00A608EE" w:rsidRDefault="00C47CB2" w:rsidP="00A27AAA">
      <w:pPr>
        <w:pStyle w:val="NormalWeb"/>
        <w:numPr>
          <w:ilvl w:val="0"/>
          <w:numId w:val="1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marketing/ product development</w:t>
      </w:r>
    </w:p>
    <w:p w14:paraId="34D3A1D7" w14:textId="77777777" w:rsidR="00C47CB2" w:rsidRPr="00A608EE" w:rsidRDefault="00C47CB2" w:rsidP="00A27AAA">
      <w:pPr>
        <w:pStyle w:val="NormalWeb"/>
        <w:numPr>
          <w:ilvl w:val="0"/>
          <w:numId w:val="1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operations</w:t>
      </w:r>
    </w:p>
    <w:p w14:paraId="35F47EC3" w14:textId="77777777" w:rsidR="00C47CB2" w:rsidRPr="00A608EE" w:rsidRDefault="00C47CB2" w:rsidP="00A27AAA">
      <w:pPr>
        <w:pStyle w:val="NormalWeb"/>
        <w:numPr>
          <w:ilvl w:val="0"/>
          <w:numId w:val="1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Interview with customer service</w:t>
      </w:r>
    </w:p>
    <w:p w14:paraId="37569C79" w14:textId="77777777" w:rsidR="00C47CB2" w:rsidRPr="00A608EE" w:rsidRDefault="00C47CB2" w:rsidP="00EE208A">
      <w:pPr>
        <w:pStyle w:val="NormalWeb"/>
        <w:spacing w:before="0" w:beforeAutospacing="0" w:after="0" w:afterAutospacing="0"/>
        <w:jc w:val="both"/>
        <w:rPr>
          <w:rFonts w:asciiTheme="majorHAnsi" w:hAnsiTheme="majorHAnsi"/>
          <w:sz w:val="20"/>
          <w:szCs w:val="20"/>
        </w:rPr>
      </w:pPr>
    </w:p>
    <w:p w14:paraId="7FAFC784" w14:textId="4EF20FD7" w:rsidR="00C47CB2" w:rsidRPr="00A608EE" w:rsidRDefault="00C47CB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15861A80" w14:textId="77777777" w:rsidR="00C47CB2" w:rsidRPr="00A608EE" w:rsidRDefault="00C47CB2" w:rsidP="00A27AAA">
      <w:pPr>
        <w:pStyle w:val="NormalWeb"/>
        <w:numPr>
          <w:ilvl w:val="0"/>
          <w:numId w:val="18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 one or more specific examples of how client feedback has been used to modify a product or a service or its corresponding distribution channel.</w:t>
      </w:r>
    </w:p>
    <w:p w14:paraId="55D57A8D" w14:textId="77777777" w:rsidR="00C47CB2" w:rsidRPr="00A608EE" w:rsidRDefault="00C47CB2" w:rsidP="00EE208A">
      <w:pPr>
        <w:pStyle w:val="NormalWeb"/>
        <w:spacing w:before="0" w:beforeAutospacing="0" w:after="0" w:afterAutospacing="0"/>
        <w:jc w:val="both"/>
        <w:rPr>
          <w:rFonts w:asciiTheme="majorHAnsi" w:hAnsiTheme="majorHAnsi"/>
          <w:sz w:val="20"/>
          <w:szCs w:val="20"/>
        </w:rPr>
      </w:pPr>
    </w:p>
    <w:p w14:paraId="54B36A9A" w14:textId="10BDA0FB" w:rsidR="00C47CB2" w:rsidRPr="00A608EE" w:rsidRDefault="00C47CB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3.B.1.2</w:t>
      </w:r>
    </w:p>
    <w:p w14:paraId="67F38A3F" w14:textId="77777777" w:rsidR="00AC2B18" w:rsidRPr="00A608EE" w:rsidRDefault="00AC2B18" w:rsidP="00A27AAA">
      <w:pPr>
        <w:numPr>
          <w:ilvl w:val="0"/>
          <w:numId w:val="10"/>
        </w:numPr>
        <w:jc w:val="both"/>
        <w:rPr>
          <w:rFonts w:asciiTheme="majorHAnsi" w:hAnsiTheme="majorHAnsi"/>
          <w:sz w:val="20"/>
          <w:szCs w:val="20"/>
        </w:rPr>
      </w:pPr>
      <w:hyperlink r:id="rId151" w:history="1">
        <w:r w:rsidRPr="00A608EE">
          <w:rPr>
            <w:rStyle w:val="Hyperlink"/>
            <w:rFonts w:asciiTheme="majorHAnsi" w:hAnsiTheme="majorHAnsi"/>
            <w:color w:val="auto"/>
            <w:sz w:val="20"/>
            <w:szCs w:val="20"/>
          </w:rPr>
          <w:t>VisionFund Uganda Reduces the Barriers to Financial Inclusion Through Product Term Changes</w:t>
        </w:r>
      </w:hyperlink>
    </w:p>
    <w:p w14:paraId="050B8EF9" w14:textId="77777777" w:rsidR="00AC2B18" w:rsidRPr="00A608EE" w:rsidRDefault="00AC2B18" w:rsidP="00A27AAA">
      <w:pPr>
        <w:numPr>
          <w:ilvl w:val="0"/>
          <w:numId w:val="10"/>
        </w:numPr>
        <w:jc w:val="both"/>
        <w:rPr>
          <w:rStyle w:val="Hyperlink"/>
          <w:rFonts w:asciiTheme="majorHAnsi" w:hAnsiTheme="majorHAnsi"/>
          <w:color w:val="auto"/>
          <w:sz w:val="20"/>
          <w:szCs w:val="20"/>
          <w:u w:val="none"/>
        </w:rPr>
      </w:pPr>
      <w:hyperlink r:id="rId152" w:history="1">
        <w:r w:rsidRPr="00A608EE">
          <w:rPr>
            <w:rStyle w:val="Hyperlink"/>
            <w:rFonts w:asciiTheme="majorHAnsi" w:hAnsiTheme="majorHAnsi"/>
            <w:color w:val="auto"/>
            <w:sz w:val="20"/>
            <w:szCs w:val="20"/>
          </w:rPr>
          <w:t>Association Base Fandima Develops a Flexible Group Lending Methodology</w:t>
        </w:r>
      </w:hyperlink>
    </w:p>
    <w:p w14:paraId="257A3603" w14:textId="77777777" w:rsidR="00794B11" w:rsidRPr="00A608EE" w:rsidRDefault="00794B11" w:rsidP="00EE208A">
      <w:pPr>
        <w:jc w:val="both"/>
        <w:rPr>
          <w:rFonts w:asciiTheme="majorHAnsi" w:hAnsiTheme="majorHAnsi"/>
          <w:szCs w:val="20"/>
        </w:rPr>
      </w:pPr>
    </w:p>
    <w:p w14:paraId="00C864ED" w14:textId="77777777" w:rsidR="00794B11" w:rsidRPr="00A608EE" w:rsidRDefault="00794B11" w:rsidP="00EE208A">
      <w:pPr>
        <w:pStyle w:val="NormalWeb"/>
        <w:spacing w:before="0" w:beforeAutospacing="0" w:after="0" w:afterAutospacing="0"/>
        <w:jc w:val="both"/>
        <w:rPr>
          <w:rFonts w:asciiTheme="majorHAnsi" w:hAnsiTheme="majorHAnsi"/>
          <w:sz w:val="20"/>
          <w:szCs w:val="20"/>
        </w:rPr>
      </w:pPr>
    </w:p>
    <w:p w14:paraId="0CF41AA3" w14:textId="1CEC50A6" w:rsidR="003C40FB" w:rsidRPr="00A608EE" w:rsidRDefault="003C40FB" w:rsidP="00EE208A">
      <w:pPr>
        <w:pStyle w:val="Heading3"/>
        <w:spacing w:before="0" w:line="240" w:lineRule="auto"/>
        <w:jc w:val="both"/>
      </w:pPr>
      <w:bookmarkStart w:id="59" w:name="_Toc230938791"/>
      <w:r w:rsidRPr="00A608EE">
        <w:rPr>
          <w:rStyle w:val="text-primary"/>
        </w:rPr>
        <w:t>3.B.2</w:t>
      </w:r>
      <w:r w:rsidRPr="00A608EE">
        <w:t xml:space="preserve"> </w:t>
      </w:r>
      <w:r w:rsidR="00C47CB2" w:rsidRPr="00A608EE">
        <w:t>The provider removes barriers that prevent access to financial products and services</w:t>
      </w:r>
      <w:r w:rsidR="00CE40D6" w:rsidRPr="00A608EE">
        <w:t>.</w:t>
      </w:r>
      <w:bookmarkEnd w:id="59"/>
    </w:p>
    <w:p w14:paraId="2B787DFF" w14:textId="77777777" w:rsidR="009D3DB4" w:rsidRPr="00A608EE" w:rsidRDefault="009D3DB4" w:rsidP="00EE208A">
      <w:pPr>
        <w:jc w:val="both"/>
        <w:rPr>
          <w:rFonts w:asciiTheme="majorHAnsi" w:hAnsiTheme="majorHAnsi"/>
          <w:szCs w:val="20"/>
        </w:rPr>
      </w:pPr>
    </w:p>
    <w:p w14:paraId="5F5A2377" w14:textId="77777777" w:rsidR="00C47CB2" w:rsidRPr="00A608EE" w:rsidRDefault="00C47CB2" w:rsidP="00EE208A">
      <w:pPr>
        <w:jc w:val="both"/>
        <w:rPr>
          <w:rFonts w:asciiTheme="majorHAnsi" w:hAnsiTheme="majorHAnsi"/>
          <w:b/>
          <w:bCs/>
          <w:sz w:val="20"/>
          <w:szCs w:val="20"/>
        </w:rPr>
      </w:pPr>
      <w:r w:rsidRPr="00A608EE">
        <w:rPr>
          <w:rFonts w:asciiTheme="majorHAnsi" w:hAnsiTheme="majorHAnsi"/>
          <w:b/>
          <w:bCs/>
          <w:sz w:val="20"/>
          <w:szCs w:val="20"/>
        </w:rPr>
        <w:t>Product Suitability and Features</w:t>
      </w:r>
    </w:p>
    <w:p w14:paraId="200F7150" w14:textId="77777777" w:rsidR="00C47CB2" w:rsidRPr="00A608EE" w:rsidRDefault="00C47CB2" w:rsidP="00EE208A">
      <w:pPr>
        <w:jc w:val="both"/>
        <w:rPr>
          <w:rFonts w:asciiTheme="majorHAnsi" w:hAnsiTheme="majorHAnsi"/>
          <w:sz w:val="20"/>
          <w:szCs w:val="20"/>
        </w:rPr>
      </w:pPr>
      <w:r w:rsidRPr="00A608EE">
        <w:rPr>
          <w:rFonts w:asciiTheme="majorHAnsi" w:hAnsiTheme="majorHAnsi"/>
          <w:sz w:val="20"/>
          <w:szCs w:val="20"/>
        </w:rPr>
        <w:t>Product suitability is one of the most important ways to protect clients’ interests and assist them to make economic progress. Unsuitable products and delivery channels create barriers that prevent access.</w:t>
      </w:r>
    </w:p>
    <w:p w14:paraId="31F11F3F" w14:textId="77777777" w:rsidR="00C47CB2" w:rsidRPr="00A608EE" w:rsidRDefault="00C47CB2" w:rsidP="00EE208A">
      <w:pPr>
        <w:jc w:val="both"/>
        <w:rPr>
          <w:rFonts w:asciiTheme="majorHAnsi" w:hAnsiTheme="majorHAnsi"/>
          <w:sz w:val="20"/>
          <w:szCs w:val="20"/>
        </w:rPr>
      </w:pPr>
    </w:p>
    <w:p w14:paraId="0B7ABED1" w14:textId="00E024D1" w:rsidR="00C47CB2" w:rsidRPr="00A608EE" w:rsidRDefault="00C47CB2" w:rsidP="00EE208A">
      <w:pPr>
        <w:jc w:val="both"/>
        <w:rPr>
          <w:rFonts w:asciiTheme="majorHAnsi" w:hAnsiTheme="majorHAnsi"/>
          <w:sz w:val="20"/>
          <w:szCs w:val="20"/>
        </w:rPr>
      </w:pPr>
      <w:r w:rsidRPr="00A608EE">
        <w:rPr>
          <w:rFonts w:asciiTheme="majorHAnsi" w:hAnsiTheme="majorHAnsi"/>
          <w:sz w:val="20"/>
          <w:szCs w:val="20"/>
        </w:rPr>
        <w:t>Barriers to access are factors that prevent target clients from using products and services. In addition to understanding how current clients and former clients use products and services, the provider should identify why non-clients from your target group do not use products and services.</w:t>
      </w:r>
    </w:p>
    <w:p w14:paraId="23F6437D" w14:textId="77777777" w:rsidR="00C47CB2" w:rsidRPr="00A608EE" w:rsidRDefault="00C47CB2" w:rsidP="00EE208A">
      <w:pPr>
        <w:jc w:val="both"/>
        <w:rPr>
          <w:rFonts w:asciiTheme="majorHAnsi" w:hAnsiTheme="majorHAnsi"/>
          <w:sz w:val="20"/>
          <w:szCs w:val="20"/>
        </w:rPr>
      </w:pPr>
    </w:p>
    <w:p w14:paraId="7EF7069A" w14:textId="50DF5CC1" w:rsidR="00C47CB2" w:rsidRPr="00A608EE" w:rsidRDefault="00C47CB2" w:rsidP="00EE208A">
      <w:pPr>
        <w:jc w:val="both"/>
        <w:rPr>
          <w:rFonts w:asciiTheme="majorHAnsi" w:hAnsiTheme="majorHAnsi"/>
          <w:sz w:val="20"/>
          <w:szCs w:val="20"/>
        </w:rPr>
      </w:pPr>
      <w:r w:rsidRPr="00A608EE">
        <w:rPr>
          <w:rFonts w:asciiTheme="majorHAnsi" w:hAnsiTheme="majorHAnsi"/>
          <w:sz w:val="20"/>
          <w:szCs w:val="20"/>
        </w:rPr>
        <w:t>Examples of such barriers include product features that do not match client income flows, distribution channels that are not convenient or affordable for clients, product terms that are too complicated for target clients to understand, and collateral or fee requirements that are set too high. Barriers can also include clients’ own behaviors, such as an over-focus on short-term needs, leading to reluctance to save or purchase insurance.</w:t>
      </w:r>
    </w:p>
    <w:p w14:paraId="2A6BB3DE" w14:textId="77777777" w:rsidR="00C47CB2" w:rsidRPr="00A608EE" w:rsidRDefault="00C47CB2" w:rsidP="00EE208A">
      <w:pPr>
        <w:jc w:val="both"/>
        <w:rPr>
          <w:rFonts w:asciiTheme="majorHAnsi" w:hAnsiTheme="majorHAnsi"/>
          <w:sz w:val="20"/>
          <w:szCs w:val="20"/>
        </w:rPr>
      </w:pPr>
    </w:p>
    <w:p w14:paraId="65C5485D" w14:textId="3987D10D" w:rsidR="00C47CB2" w:rsidRPr="00A608EE" w:rsidRDefault="00C47CB2" w:rsidP="00EE208A">
      <w:pPr>
        <w:jc w:val="both"/>
        <w:rPr>
          <w:rFonts w:asciiTheme="majorHAnsi" w:hAnsiTheme="majorHAnsi"/>
          <w:sz w:val="20"/>
          <w:szCs w:val="20"/>
        </w:rPr>
      </w:pPr>
      <w:r w:rsidRPr="00A608EE">
        <w:rPr>
          <w:rFonts w:asciiTheme="majorHAnsi" w:hAnsiTheme="majorHAnsi"/>
          <w:sz w:val="20"/>
          <w:szCs w:val="20"/>
        </w:rPr>
        <w:t>In addition to the products features, products/services should consider the financial capability of target clients, as this has significant implications for product design. Financial capability refers to a client’s capacity to act in his/her own financial best interest and to select and access financial services that suit his/her needs. Financial capability is based on a client’s literacy, attitudes, skills and consumer behavior. It is important to understand the target clients’ financial capability and how it affects their use of financial services.</w:t>
      </w:r>
    </w:p>
    <w:p w14:paraId="48571C24" w14:textId="77777777" w:rsidR="00C47CB2" w:rsidRPr="00A608EE" w:rsidRDefault="00C47CB2" w:rsidP="00EE208A">
      <w:pPr>
        <w:jc w:val="both"/>
        <w:rPr>
          <w:rFonts w:asciiTheme="majorHAnsi" w:hAnsiTheme="majorHAnsi"/>
          <w:sz w:val="20"/>
          <w:szCs w:val="20"/>
        </w:rPr>
      </w:pPr>
    </w:p>
    <w:p w14:paraId="5C7612E4" w14:textId="32DFA203" w:rsidR="00C47CB2" w:rsidRPr="00A608EE" w:rsidRDefault="00C47CB2" w:rsidP="00EE208A">
      <w:pPr>
        <w:jc w:val="both"/>
        <w:rPr>
          <w:rFonts w:asciiTheme="majorHAnsi" w:hAnsiTheme="majorHAnsi"/>
          <w:sz w:val="20"/>
          <w:szCs w:val="20"/>
        </w:rPr>
      </w:pPr>
      <w:r w:rsidRPr="00A608EE">
        <w:rPr>
          <w:rFonts w:asciiTheme="majorHAnsi" w:hAnsiTheme="majorHAnsi"/>
          <w:sz w:val="20"/>
          <w:szCs w:val="20"/>
        </w:rPr>
        <w:t>The following are examples of how a client’s financial capability influences product uptake and access:</w:t>
      </w:r>
    </w:p>
    <w:p w14:paraId="38BF9F60" w14:textId="77777777" w:rsidR="00C47CB2" w:rsidRPr="00A608EE" w:rsidRDefault="00C47CB2" w:rsidP="00A27AAA">
      <w:pPr>
        <w:numPr>
          <w:ilvl w:val="0"/>
          <w:numId w:val="181"/>
        </w:numPr>
        <w:jc w:val="both"/>
        <w:rPr>
          <w:rFonts w:asciiTheme="majorHAnsi" w:hAnsiTheme="majorHAnsi"/>
          <w:sz w:val="20"/>
          <w:szCs w:val="20"/>
        </w:rPr>
      </w:pPr>
      <w:r w:rsidRPr="00A608EE">
        <w:rPr>
          <w:rFonts w:asciiTheme="majorHAnsi" w:hAnsiTheme="majorHAnsi"/>
          <w:sz w:val="20"/>
          <w:szCs w:val="20"/>
        </w:rPr>
        <w:t>For group-based financial products, poorer people are often excluded by group members who believe them to be less reliable and trustworthy, or poorer people may self-exclude based on negative self-perception.</w:t>
      </w:r>
    </w:p>
    <w:p w14:paraId="2A520AF4" w14:textId="77777777" w:rsidR="00C47CB2" w:rsidRPr="00A608EE" w:rsidRDefault="00C47CB2" w:rsidP="00A27AAA">
      <w:pPr>
        <w:numPr>
          <w:ilvl w:val="0"/>
          <w:numId w:val="181"/>
        </w:numPr>
        <w:jc w:val="both"/>
        <w:rPr>
          <w:rFonts w:asciiTheme="majorHAnsi" w:hAnsiTheme="majorHAnsi"/>
          <w:sz w:val="20"/>
          <w:szCs w:val="20"/>
        </w:rPr>
      </w:pPr>
      <w:r w:rsidRPr="00A608EE">
        <w:rPr>
          <w:rFonts w:asciiTheme="majorHAnsi" w:hAnsiTheme="majorHAnsi"/>
          <w:sz w:val="20"/>
          <w:szCs w:val="20"/>
        </w:rPr>
        <w:t>Many clients do not want to use distribution channels that allow family members to see or access their savings.</w:t>
      </w:r>
    </w:p>
    <w:p w14:paraId="287B0DC1" w14:textId="77777777" w:rsidR="00C47CB2" w:rsidRPr="00A608EE" w:rsidRDefault="00C47CB2" w:rsidP="00A27AAA">
      <w:pPr>
        <w:numPr>
          <w:ilvl w:val="0"/>
          <w:numId w:val="181"/>
        </w:numPr>
        <w:jc w:val="both"/>
        <w:rPr>
          <w:rFonts w:asciiTheme="majorHAnsi" w:hAnsiTheme="majorHAnsi"/>
          <w:sz w:val="20"/>
          <w:szCs w:val="20"/>
        </w:rPr>
      </w:pPr>
      <w:r w:rsidRPr="00A608EE">
        <w:rPr>
          <w:rFonts w:asciiTheme="majorHAnsi" w:hAnsiTheme="majorHAnsi"/>
          <w:sz w:val="20"/>
          <w:szCs w:val="20"/>
        </w:rPr>
        <w:t>Some clients are more likely to save if they have set a savings goal, even if it is non-binding.</w:t>
      </w:r>
    </w:p>
    <w:p w14:paraId="13CB7A29" w14:textId="77777777" w:rsidR="00C47CB2" w:rsidRPr="00A608EE" w:rsidRDefault="00C47CB2" w:rsidP="00A27AAA">
      <w:pPr>
        <w:numPr>
          <w:ilvl w:val="0"/>
          <w:numId w:val="181"/>
        </w:numPr>
        <w:jc w:val="both"/>
        <w:rPr>
          <w:rFonts w:asciiTheme="majorHAnsi" w:hAnsiTheme="majorHAnsi"/>
          <w:sz w:val="20"/>
          <w:szCs w:val="20"/>
        </w:rPr>
      </w:pPr>
      <w:r w:rsidRPr="00A608EE">
        <w:rPr>
          <w:rFonts w:asciiTheme="majorHAnsi" w:hAnsiTheme="majorHAnsi"/>
          <w:sz w:val="20"/>
          <w:szCs w:val="20"/>
        </w:rPr>
        <w:t>A client might refuse insurance because a premium expenditure is a certain and near-term expense, while the claim benefit is uncertain and distant.</w:t>
      </w:r>
    </w:p>
    <w:p w14:paraId="1C2FD8B8" w14:textId="77777777" w:rsidR="00C47CB2" w:rsidRPr="00A608EE" w:rsidRDefault="00C47CB2" w:rsidP="00EE208A">
      <w:pPr>
        <w:jc w:val="both"/>
        <w:rPr>
          <w:rFonts w:asciiTheme="majorHAnsi" w:hAnsiTheme="majorHAnsi"/>
          <w:b/>
          <w:bCs/>
          <w:sz w:val="20"/>
          <w:szCs w:val="20"/>
        </w:rPr>
      </w:pPr>
    </w:p>
    <w:p w14:paraId="001A3098" w14:textId="0A488C02" w:rsidR="00C47CB2" w:rsidRPr="00A608EE" w:rsidRDefault="00C47CB2" w:rsidP="00EE208A">
      <w:pPr>
        <w:jc w:val="both"/>
        <w:rPr>
          <w:rFonts w:asciiTheme="majorHAnsi" w:hAnsiTheme="majorHAnsi"/>
          <w:b/>
          <w:bCs/>
          <w:sz w:val="20"/>
          <w:szCs w:val="20"/>
        </w:rPr>
      </w:pPr>
      <w:r w:rsidRPr="00A608EE">
        <w:rPr>
          <w:rFonts w:asciiTheme="majorHAnsi" w:hAnsiTheme="majorHAnsi"/>
          <w:b/>
          <w:bCs/>
          <w:sz w:val="20"/>
          <w:szCs w:val="20"/>
        </w:rPr>
        <w:t>Field Examples/Implementation Guidance</w:t>
      </w:r>
    </w:p>
    <w:p w14:paraId="4821CDE5" w14:textId="77777777" w:rsidR="002A5AE7" w:rsidRPr="00A608EE" w:rsidRDefault="002A5AE7" w:rsidP="00A27AAA">
      <w:pPr>
        <w:numPr>
          <w:ilvl w:val="0"/>
          <w:numId w:val="11"/>
        </w:numPr>
        <w:jc w:val="both"/>
        <w:rPr>
          <w:rFonts w:asciiTheme="majorHAnsi" w:hAnsiTheme="majorHAnsi"/>
          <w:sz w:val="20"/>
          <w:szCs w:val="20"/>
        </w:rPr>
      </w:pPr>
      <w:hyperlink r:id="rId153" w:history="1">
        <w:r w:rsidRPr="00A608EE">
          <w:rPr>
            <w:rStyle w:val="Hyperlink"/>
            <w:rFonts w:asciiTheme="majorHAnsi" w:hAnsiTheme="majorHAnsi"/>
            <w:color w:val="auto"/>
            <w:sz w:val="20"/>
            <w:szCs w:val="20"/>
          </w:rPr>
          <w:t>VisionFund Uganda Reduces the Barriers to Financial Inclusion Through Product Term Changes</w:t>
        </w:r>
      </w:hyperlink>
    </w:p>
    <w:p w14:paraId="53E4B5F0" w14:textId="77777777" w:rsidR="002A5AE7" w:rsidRPr="00A608EE" w:rsidRDefault="002A5AE7" w:rsidP="00A27AAA">
      <w:pPr>
        <w:numPr>
          <w:ilvl w:val="0"/>
          <w:numId w:val="11"/>
        </w:numPr>
        <w:jc w:val="both"/>
        <w:rPr>
          <w:rFonts w:asciiTheme="majorHAnsi" w:hAnsiTheme="majorHAnsi"/>
          <w:sz w:val="20"/>
          <w:szCs w:val="20"/>
        </w:rPr>
      </w:pPr>
      <w:hyperlink r:id="rId154" w:history="1">
        <w:r w:rsidRPr="00A608EE">
          <w:rPr>
            <w:rStyle w:val="Hyperlink"/>
            <w:rFonts w:asciiTheme="majorHAnsi" w:hAnsiTheme="majorHAnsi"/>
            <w:color w:val="auto"/>
            <w:sz w:val="20"/>
            <w:szCs w:val="20"/>
          </w:rPr>
          <w:t>Association Base Fandima Develops a Flexible Group Lending Methodology</w:t>
        </w:r>
      </w:hyperlink>
    </w:p>
    <w:p w14:paraId="082499AC" w14:textId="77777777" w:rsidR="002A5AE7" w:rsidRPr="00A608EE" w:rsidRDefault="002A5AE7" w:rsidP="00A27AAA">
      <w:pPr>
        <w:numPr>
          <w:ilvl w:val="0"/>
          <w:numId w:val="11"/>
        </w:numPr>
        <w:jc w:val="both"/>
        <w:rPr>
          <w:rStyle w:val="Hyperlink"/>
          <w:rFonts w:asciiTheme="majorHAnsi" w:hAnsiTheme="majorHAnsi"/>
          <w:color w:val="auto"/>
          <w:sz w:val="20"/>
          <w:szCs w:val="20"/>
          <w:u w:val="none"/>
        </w:rPr>
      </w:pPr>
      <w:hyperlink r:id="rId155" w:history="1">
        <w:r w:rsidRPr="00A608EE">
          <w:rPr>
            <w:rStyle w:val="Hyperlink"/>
            <w:rFonts w:asciiTheme="majorHAnsi" w:hAnsiTheme="majorHAnsi"/>
            <w:color w:val="auto"/>
            <w:sz w:val="20"/>
            <w:szCs w:val="20"/>
          </w:rPr>
          <w:t>Génesis Locates Point of Sale Devices in Client Businesses</w:t>
        </w:r>
      </w:hyperlink>
    </w:p>
    <w:p w14:paraId="2F9C670A" w14:textId="77777777" w:rsidR="006339D2" w:rsidRPr="00A608EE" w:rsidRDefault="006339D2" w:rsidP="00EE208A">
      <w:pPr>
        <w:jc w:val="both"/>
        <w:rPr>
          <w:rFonts w:asciiTheme="majorHAnsi" w:hAnsiTheme="majorHAnsi" w:cstheme="majorHAnsi"/>
          <w:szCs w:val="20"/>
        </w:rPr>
      </w:pPr>
    </w:p>
    <w:p w14:paraId="5ACC8113" w14:textId="480F9124" w:rsidR="003C40FB" w:rsidRPr="00A608EE" w:rsidRDefault="003C40FB" w:rsidP="00EE208A">
      <w:pPr>
        <w:pStyle w:val="Heading4"/>
        <w:spacing w:before="0" w:line="240" w:lineRule="auto"/>
        <w:jc w:val="both"/>
      </w:pPr>
      <w:r w:rsidRPr="00A608EE">
        <w:rPr>
          <w:rStyle w:val="text-primary"/>
        </w:rPr>
        <w:lastRenderedPageBreak/>
        <w:t>3.B.2.2</w:t>
      </w:r>
      <w:r w:rsidRPr="00A608EE">
        <w:t xml:space="preserve"> </w:t>
      </w:r>
      <w:r w:rsidR="0015451C" w:rsidRPr="00A608EE">
        <w:t>The provider offers delivery channels that reduce barriers to access for clients</w:t>
      </w:r>
      <w:r w:rsidR="00A40D7D" w:rsidRPr="00A608EE">
        <w:t>.</w:t>
      </w:r>
      <w:r w:rsidRPr="00A608EE">
        <w:t xml:space="preserve">    </w:t>
      </w:r>
    </w:p>
    <w:p w14:paraId="0DA0E930" w14:textId="3ED9826F" w:rsidR="0015451C" w:rsidRPr="00A608EE" w:rsidRDefault="0015451C" w:rsidP="00EE208A">
      <w:pPr>
        <w:pStyle w:val="Heading5"/>
        <w:spacing w:line="240" w:lineRule="auto"/>
        <w:ind w:left="708"/>
        <w:jc w:val="both"/>
        <w:rPr>
          <w:rFonts w:cstheme="majorHAnsi"/>
          <w:i/>
          <w:color w:val="auto"/>
          <w:szCs w:val="20"/>
        </w:rPr>
      </w:pPr>
      <w:r w:rsidRPr="00A608EE">
        <w:rPr>
          <w:rFonts w:cstheme="majorHAnsi"/>
          <w:i/>
          <w:color w:val="auto"/>
          <w:szCs w:val="20"/>
        </w:rPr>
        <w:t>3.B.2.2.1 The provider offers clients multiple delivery channels.</w:t>
      </w:r>
    </w:p>
    <w:p w14:paraId="4939BC25" w14:textId="711E9F7D" w:rsidR="003C40FB" w:rsidRPr="00A608EE" w:rsidRDefault="0015451C" w:rsidP="00EE208A">
      <w:pPr>
        <w:pStyle w:val="Heading5"/>
        <w:spacing w:before="0" w:line="240" w:lineRule="auto"/>
        <w:ind w:left="708"/>
        <w:jc w:val="both"/>
        <w:rPr>
          <w:rFonts w:cstheme="majorHAnsi"/>
          <w:i/>
          <w:iCs/>
          <w:color w:val="auto"/>
          <w:szCs w:val="20"/>
        </w:rPr>
      </w:pPr>
      <w:r w:rsidRPr="00A608EE">
        <w:rPr>
          <w:rFonts w:cstheme="majorHAnsi"/>
          <w:i/>
          <w:color w:val="auto"/>
          <w:szCs w:val="20"/>
        </w:rPr>
        <w:t>3.B.2.2.2 The provider uses technologies that are appropriate to the digital literacy of the target segments.</w:t>
      </w:r>
    </w:p>
    <w:p w14:paraId="752939D7" w14:textId="77777777" w:rsidR="00B939E4" w:rsidRPr="00A608EE" w:rsidRDefault="00B939E4" w:rsidP="00EE208A">
      <w:pPr>
        <w:jc w:val="both"/>
        <w:rPr>
          <w:rFonts w:asciiTheme="majorHAnsi" w:hAnsiTheme="majorHAnsi"/>
          <w:szCs w:val="20"/>
        </w:rPr>
      </w:pPr>
    </w:p>
    <w:p w14:paraId="39C69095" w14:textId="7BF4E53E" w:rsidR="006339D2"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6339D2" w:rsidRPr="00A608EE">
        <w:rPr>
          <w:rFonts w:asciiTheme="majorHAnsi" w:hAnsiTheme="majorHAnsi" w:cstheme="majorHAnsi"/>
          <w:b/>
          <w:bCs/>
          <w:color w:val="2145CC" w:themeColor="accent5" w:themeShade="BF"/>
          <w:sz w:val="20"/>
          <w:szCs w:val="20"/>
        </w:rPr>
        <w:t>SPI5 Entry</w:t>
      </w:r>
      <w:r w:rsidR="00440024" w:rsidRPr="00A608EE">
        <w:rPr>
          <w:rFonts w:asciiTheme="majorHAnsi" w:hAnsiTheme="majorHAnsi"/>
          <w:b/>
          <w:bCs/>
          <w:color w:val="2145CC" w:themeColor="accent5" w:themeShade="BF"/>
          <w:sz w:val="20"/>
          <w:szCs w:val="20"/>
        </w:rPr>
        <w:t xml:space="preserve"> | </w:t>
      </w:r>
      <w:r w:rsidR="006339D2"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4867730F" w14:textId="3CA2F7CD" w:rsidR="0083047A" w:rsidRPr="00A608EE" w:rsidRDefault="00F56053"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r w:rsidR="0083047A" w:rsidRPr="00A608EE">
        <w:rPr>
          <w:rFonts w:asciiTheme="majorHAnsi" w:hAnsiTheme="majorHAnsi"/>
          <w:sz w:val="20"/>
          <w:szCs w:val="20"/>
        </w:rPr>
        <w:t>Barriers to access can be cultural, religious, and/or socio-economic, such as: language, distance from the provider’s service points, client transaction costs to visit the provider’s next service point, movement radius of women due to religious, caretaking, and security reasons, gender composition of the provider’s field staff, literacy requirements, technology skills or device requirements, etc. Proposing multiple distribution channels and ensuring adaptation to limited digital literacy can help in reaching excluded populations.</w:t>
      </w:r>
    </w:p>
    <w:p w14:paraId="2B8D458E" w14:textId="77777777" w:rsidR="0083047A" w:rsidRPr="00A608EE" w:rsidRDefault="0083047A" w:rsidP="00EE208A">
      <w:pPr>
        <w:pStyle w:val="NormalWeb"/>
        <w:spacing w:before="0" w:beforeAutospacing="0" w:after="0" w:afterAutospacing="0"/>
        <w:jc w:val="both"/>
        <w:rPr>
          <w:rFonts w:asciiTheme="majorHAnsi" w:hAnsiTheme="majorHAnsi"/>
          <w:sz w:val="20"/>
          <w:szCs w:val="20"/>
        </w:rPr>
      </w:pPr>
    </w:p>
    <w:p w14:paraId="43B5E515" w14:textId="24454364" w:rsidR="0083047A" w:rsidRPr="00A608EE" w:rsidRDefault="0083047A"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Important is to minimize client transaction costs in applying for, and using products and services in terms of transportation costs to and from the next service point, the number of visits required, the convenience of the timing and average time spent for these visits, and the total time spent to apply for a given product/service and to transact. This is best fulfilled, if the next service point is within 2 km of the clients’ residence with minimum visits required as most transactions and information exchanges are digitalized.</w:t>
      </w:r>
    </w:p>
    <w:p w14:paraId="68EA2B5D"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A939AB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36416" behindDoc="1" locked="0" layoutInCell="1" allowOverlap="1" wp14:anchorId="7BA381AC" wp14:editId="0BB7B913">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0582944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797EE09"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1DE5375B" w14:textId="47EBB499" w:rsidR="0083047A" w:rsidRPr="00A608EE" w:rsidRDefault="00FC6779"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56053" w:rsidRPr="00A608EE">
        <w:rPr>
          <w:rFonts w:asciiTheme="majorHAnsi" w:hAnsiTheme="majorHAnsi"/>
          <w:sz w:val="20"/>
          <w:szCs w:val="20"/>
        </w:rPr>
        <w:t>The provider offers delivery channels (physical and digital) that are accessible for persons with different types of impairments (physical, mental, intellectual or sensory impairments).</w:t>
      </w:r>
    </w:p>
    <w:p w14:paraId="784BA6B9" w14:textId="77777777" w:rsidR="004B7719" w:rsidRPr="00A608EE" w:rsidRDefault="004B7719" w:rsidP="00EE208A">
      <w:pPr>
        <w:pStyle w:val="NormalWeb"/>
        <w:spacing w:before="0" w:beforeAutospacing="0" w:after="0" w:afterAutospacing="0"/>
        <w:jc w:val="both"/>
        <w:rPr>
          <w:rFonts w:asciiTheme="majorHAnsi" w:hAnsiTheme="majorHAnsi"/>
          <w:sz w:val="20"/>
          <w:szCs w:val="20"/>
        </w:rPr>
      </w:pPr>
    </w:p>
    <w:p w14:paraId="6E625FE9" w14:textId="313EBFA1" w:rsidR="00CF6998" w:rsidRPr="00A608EE" w:rsidRDefault="00CF6998" w:rsidP="00EE208A">
      <w:pPr>
        <w:pStyle w:val="NormalWeb"/>
        <w:spacing w:before="0" w:beforeAutospacing="0" w:after="0" w:afterAutospacing="0"/>
        <w:jc w:val="both"/>
        <w:rPr>
          <w:rFonts w:asciiTheme="majorHAnsi" w:hAnsiTheme="majorHAnsi"/>
          <w:sz w:val="20"/>
          <w:szCs w:val="20"/>
        </w:rPr>
      </w:pPr>
      <w:r w:rsidRPr="00A608EE">
        <w:rPr>
          <w:noProof/>
        </w:rPr>
        <w:lastRenderedPageBreak/>
        <mc:AlternateContent>
          <mc:Choice Requires="wps">
            <w:drawing>
              <wp:inline distT="0" distB="0" distL="0" distR="0" wp14:anchorId="1B83B162" wp14:editId="107DFD5A">
                <wp:extent cx="5720080" cy="6266986"/>
                <wp:effectExtent l="0" t="0" r="7620" b="6985"/>
                <wp:docPr id="529363846" name="Cuadro de texto 1"/>
                <wp:cNvGraphicFramePr/>
                <a:graphic xmlns:a="http://schemas.openxmlformats.org/drawingml/2006/main">
                  <a:graphicData uri="http://schemas.microsoft.com/office/word/2010/wordprocessingShape">
                    <wps:wsp>
                      <wps:cNvSpPr txBox="1"/>
                      <wps:spPr>
                        <a:xfrm>
                          <a:off x="0" y="0"/>
                          <a:ext cx="5720080" cy="6266986"/>
                        </a:xfrm>
                        <a:prstGeom prst="rect">
                          <a:avLst/>
                        </a:prstGeom>
                        <a:noFill/>
                        <a:ln w="6350">
                          <a:solidFill>
                            <a:prstClr val="black"/>
                          </a:solidFill>
                        </a:ln>
                      </wps:spPr>
                      <wps:txbx id="19">
                        <w:txbxContent>
                          <w:p w14:paraId="287030D3" w14:textId="057BE9D7" w:rsidR="00CF6998" w:rsidRPr="00820B09" w:rsidRDefault="00EB123D" w:rsidP="00CF6998">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CF6998" w:rsidRPr="00820B09">
                              <w:rPr>
                                <w:rFonts w:asciiTheme="majorHAnsi" w:hAnsiTheme="majorHAnsi"/>
                                <w:b/>
                                <w:bCs/>
                                <w:sz w:val="20"/>
                                <w:szCs w:val="20"/>
                              </w:rPr>
                              <w:t>3.B.2.2</w:t>
                            </w:r>
                          </w:p>
                          <w:p w14:paraId="72D192AA" w14:textId="77777777" w:rsidR="00CF6998" w:rsidRPr="00820B09" w:rsidRDefault="00CF6998" w:rsidP="00CF6998">
                            <w:pPr>
                              <w:pStyle w:val="NormalWeb"/>
                              <w:spacing w:after="0"/>
                              <w:jc w:val="both"/>
                              <w:rPr>
                                <w:rFonts w:asciiTheme="majorHAnsi" w:hAnsiTheme="majorHAnsi"/>
                                <w:sz w:val="20"/>
                                <w:szCs w:val="20"/>
                              </w:rPr>
                            </w:pPr>
                            <w:r w:rsidRPr="00820B09">
                              <w:rPr>
                                <w:rFonts w:asciiTheme="majorHAnsi" w:hAnsiTheme="majorHAnsi"/>
                                <w:sz w:val="20"/>
                                <w:szCs w:val="20"/>
                              </w:rPr>
                              <w:t xml:space="preserve">Persons with disabilities encounter multiple barriers to accessing financial services, including inaccessible physical and digital delivery channels; lack of affordable, accessible transport to reach delivery channels; lack of information in accessible formats; products and services not appropriate to their needs; inflexible or discriminatory policies; and FSP staff who are not trained to serve clients with disabilities. These are reinforced by attitudinal barriers arising from negative stereotypes of persons with disabilities as less reliable clients. </w:t>
                            </w:r>
                          </w:p>
                          <w:p w14:paraId="6CF47E90" w14:textId="77777777"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sz w:val="20"/>
                                <w:szCs w:val="20"/>
                              </w:rPr>
                              <w:t>Examples of actions to reduce access barriers include:</w:t>
                            </w:r>
                          </w:p>
                          <w:p w14:paraId="7AA84F6C" w14:textId="77777777" w:rsidR="00CF6998" w:rsidRPr="00820B09" w:rsidRDefault="00CF6998" w:rsidP="00A27AAA">
                            <w:pPr>
                              <w:pStyle w:val="NormalWeb"/>
                              <w:numPr>
                                <w:ilvl w:val="0"/>
                                <w:numId w:val="414"/>
                              </w:numPr>
                              <w:jc w:val="both"/>
                              <w:rPr>
                                <w:rFonts w:asciiTheme="majorHAnsi" w:hAnsiTheme="majorHAnsi"/>
                                <w:sz w:val="20"/>
                                <w:szCs w:val="20"/>
                              </w:rPr>
                            </w:pPr>
                            <w:r w:rsidRPr="00820B09">
                              <w:rPr>
                                <w:rFonts w:asciiTheme="majorHAnsi" w:hAnsiTheme="majorHAnsi"/>
                                <w:sz w:val="20"/>
                                <w:szCs w:val="20"/>
                              </w:rPr>
                              <w:t>Providing multiple, accessible delivery channels, including channels that bring delivery of products and services close to persons with disabilities' communities and homes (e.g. accessible digital channels, agent networks, door-step banking);</w:t>
                            </w:r>
                          </w:p>
                          <w:p w14:paraId="25FBDED8" w14:textId="77777777" w:rsidR="00CF6998" w:rsidRPr="00820B09" w:rsidRDefault="00CF6998" w:rsidP="00A27AAA">
                            <w:pPr>
                              <w:pStyle w:val="ListParagraph"/>
                              <w:numPr>
                                <w:ilvl w:val="0"/>
                                <w:numId w:val="414"/>
                              </w:numPr>
                              <w:jc w:val="both"/>
                              <w:rPr>
                                <w:rFonts w:asciiTheme="majorHAnsi" w:hAnsiTheme="majorHAnsi"/>
                                <w:szCs w:val="20"/>
                              </w:rPr>
                            </w:pPr>
                            <w:r w:rsidRPr="00820B09">
                              <w:rPr>
                                <w:rFonts w:asciiTheme="majorHAnsi" w:eastAsia="Times New Roman" w:hAnsiTheme="majorHAnsi" w:cs="Times New Roman"/>
                                <w:szCs w:val="20"/>
                                <w:lang w:eastAsia="fr-FR"/>
                              </w:rPr>
                              <w:t>Conducting accessibility audits of physical and digital channels together with persons with diverse disabilities, to identify barriers and propose solutions;</w:t>
                            </w:r>
                          </w:p>
                          <w:p w14:paraId="4AA0BAA4" w14:textId="77777777" w:rsidR="00CF6998" w:rsidRPr="00820B09" w:rsidRDefault="00CF6998" w:rsidP="00A27AAA">
                            <w:pPr>
                              <w:pStyle w:val="ListParagraph"/>
                              <w:numPr>
                                <w:ilvl w:val="0"/>
                                <w:numId w:val="414"/>
                              </w:numPr>
                              <w:jc w:val="both"/>
                              <w:rPr>
                                <w:rFonts w:asciiTheme="majorHAnsi" w:hAnsiTheme="majorHAnsi"/>
                                <w:szCs w:val="20"/>
                              </w:rPr>
                            </w:pPr>
                            <w:r w:rsidRPr="00820B09">
                              <w:rPr>
                                <w:rFonts w:asciiTheme="majorHAnsi" w:eastAsia="Times New Roman" w:hAnsiTheme="majorHAnsi" w:cs="Times New Roman"/>
                                <w:szCs w:val="20"/>
                                <w:lang w:eastAsia="fr-FR"/>
                              </w:rPr>
                              <w:t xml:space="preserve">Partnering with organizations of persons with disabilities (OPDs) to enable participation of persons with disabilities, including women with disabilities, in the design of delivery channels, to validate relevance of location and opening times to user habits. </w:t>
                            </w:r>
                          </w:p>
                          <w:p w14:paraId="13250BEF" w14:textId="77777777" w:rsidR="00CF6998" w:rsidRPr="00820B09" w:rsidRDefault="00CF6998" w:rsidP="00A27AAA">
                            <w:pPr>
                              <w:pStyle w:val="ListParagraph"/>
                              <w:numPr>
                                <w:ilvl w:val="0"/>
                                <w:numId w:val="414"/>
                              </w:numPr>
                              <w:jc w:val="both"/>
                              <w:rPr>
                                <w:rFonts w:asciiTheme="majorHAnsi" w:hAnsiTheme="majorHAnsi"/>
                                <w:szCs w:val="20"/>
                              </w:rPr>
                            </w:pPr>
                            <w:r w:rsidRPr="00820B09">
                              <w:rPr>
                                <w:rFonts w:asciiTheme="majorHAnsi" w:hAnsiTheme="majorHAnsi"/>
                                <w:szCs w:val="20"/>
                              </w:rPr>
                              <w:t>Providing training to client-facing staff to address negative attitudes and support them to serve clients with disabilities.</w:t>
                            </w:r>
                          </w:p>
                          <w:p w14:paraId="0F4787F3" w14:textId="1D1671E9"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b/>
                                <w:bCs/>
                                <w:sz w:val="20"/>
                                <w:szCs w:val="20"/>
                              </w:rPr>
                              <w:t>Physical accessibility</w:t>
                            </w:r>
                            <w:r w:rsidRPr="00820B09">
                              <w:rPr>
                                <w:rFonts w:asciiTheme="majorHAnsi" w:hAnsiTheme="majorHAnsi"/>
                                <w:sz w:val="20"/>
                                <w:szCs w:val="20"/>
                              </w:rPr>
                              <w:t>: means identifying and addressing barriers in physical channels (</w:t>
                            </w:r>
                            <w:r w:rsidR="00A27AAA" w:rsidRPr="00820B09">
                              <w:rPr>
                                <w:rFonts w:asciiTheme="majorHAnsi" w:hAnsiTheme="majorHAnsi"/>
                                <w:sz w:val="20"/>
                                <w:szCs w:val="20"/>
                              </w:rPr>
                              <w:t>e.g.,</w:t>
                            </w:r>
                            <w:r w:rsidRPr="00820B09">
                              <w:rPr>
                                <w:rFonts w:asciiTheme="majorHAnsi" w:hAnsiTheme="majorHAnsi"/>
                                <w:sz w:val="20"/>
                                <w:szCs w:val="20"/>
                              </w:rPr>
                              <w:t xml:space="preserve"> branches and ATMs so that persons with disabilities can easily approach, enter, and move around the facility, and use functions within it to achieve their intended purpose. Improving physical accessibility benefits persons with impaired mobility, wheelchair users, and persons with sensory impairments, as well as other clients such as older persons, pregnant women and parents with strollers. Examples include:</w:t>
                            </w:r>
                          </w:p>
                          <w:p w14:paraId="46372AA0"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Entry ramps, and handrails on stairs</w:t>
                            </w:r>
                          </w:p>
                          <w:p w14:paraId="4D6B228D"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Dedicated parking for persons with disabilities</w:t>
                            </w:r>
                          </w:p>
                          <w:p w14:paraId="221960AD"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Accessible toilets</w:t>
                            </w:r>
                          </w:p>
                          <w:p w14:paraId="429EA470"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Tactile strips on walkways to guide persons with visual impairment</w:t>
                            </w:r>
                          </w:p>
                          <w:p w14:paraId="5B17437D"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Removing obstacles and hazards from walkways and corridors</w:t>
                            </w:r>
                          </w:p>
                          <w:p w14:paraId="2684F458" w14:textId="44AA6367"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b/>
                                <w:bCs/>
                                <w:sz w:val="20"/>
                                <w:szCs w:val="20"/>
                              </w:rPr>
                              <w:t>Digital accessibility</w:t>
                            </w:r>
                            <w:r w:rsidRPr="00820B09">
                              <w:rPr>
                                <w:rFonts w:asciiTheme="majorHAnsi" w:hAnsiTheme="majorHAnsi"/>
                                <w:sz w:val="20"/>
                                <w:szCs w:val="20"/>
                              </w:rPr>
                              <w:t xml:space="preserve">: providing digital financial services is often the most effective way to overcome barriers of distance and inaccessibility related to physical delivery channels. However digital channels can create access barriers, in particular for persons with sensory or intellectual impairments, if they do not meet accessibility guidelines. Improving accessibility of digital interfaces also benefits users such as older persons, and </w:t>
                            </w:r>
                            <w:r w:rsidR="00907EF8" w:rsidRPr="00820B09">
                              <w:rPr>
                                <w:rFonts w:asciiTheme="majorHAnsi" w:hAnsiTheme="majorHAnsi"/>
                                <w:sz w:val="20"/>
                                <w:szCs w:val="20"/>
                              </w:rPr>
                              <w:t>persons</w:t>
                            </w:r>
                            <w:r w:rsidRPr="00820B09">
                              <w:rPr>
                                <w:rFonts w:asciiTheme="majorHAnsi" w:hAnsiTheme="majorHAnsi"/>
                                <w:sz w:val="20"/>
                                <w:szCs w:val="20"/>
                              </w:rPr>
                              <w:t xml:space="preserve"> with low levels of literacy or digital skills.</w:t>
                            </w:r>
                          </w:p>
                          <w:p w14:paraId="559E96F4" w14:textId="77777777" w:rsidR="00CF6998" w:rsidRPr="00820B09" w:rsidRDefault="00CF6998" w:rsidP="00CF6998">
                            <w:pPr>
                              <w:pStyle w:val="NormalWeb"/>
                              <w:contextualSpacing/>
                              <w:jc w:val="both"/>
                              <w:rPr>
                                <w:rFonts w:asciiTheme="majorHAnsi" w:hAnsiTheme="majorHAnsi"/>
                                <w:sz w:val="20"/>
                                <w:szCs w:val="20"/>
                              </w:rPr>
                            </w:pPr>
                          </w:p>
                          <w:p w14:paraId="4011F751" w14:textId="77777777"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sz w:val="20"/>
                                <w:szCs w:val="20"/>
                              </w:rPr>
                              <w:t xml:space="preserve">The </w:t>
                            </w:r>
                            <w:r w:rsidRPr="00820B09">
                              <w:rPr>
                                <w:rFonts w:asciiTheme="majorHAnsi" w:hAnsiTheme="majorHAnsi"/>
                                <w:b/>
                                <w:bCs/>
                                <w:sz w:val="20"/>
                                <w:szCs w:val="20"/>
                              </w:rPr>
                              <w:t>Web Content Accessibility Guidelines (WCAG</w:t>
                            </w:r>
                            <w:r w:rsidRPr="00820B09">
                              <w:rPr>
                                <w:rFonts w:asciiTheme="majorHAnsi" w:hAnsiTheme="majorHAnsi"/>
                                <w:sz w:val="20"/>
                                <w:szCs w:val="20"/>
                              </w:rPr>
                              <w:t xml:space="preserve">) provide an internationally recognized standard for digital accessibility. It provides 13 guidelines organized around four key principles for accessible digital content: </w:t>
                            </w:r>
                          </w:p>
                          <w:p w14:paraId="0C49AEC1" w14:textId="17E503B4" w:rsidR="00CF6998" w:rsidRPr="00820B09" w:rsidRDefault="00CF6998" w:rsidP="00A27AAA">
                            <w:pPr>
                              <w:pStyle w:val="NormalWeb"/>
                              <w:numPr>
                                <w:ilvl w:val="0"/>
                                <w:numId w:val="415"/>
                              </w:numPr>
                              <w:contextualSpacing/>
                              <w:jc w:val="both"/>
                              <w:rPr>
                                <w:rFonts w:asciiTheme="majorHAnsi" w:hAnsiTheme="majorHAnsi"/>
                                <w:sz w:val="20"/>
                                <w:szCs w:val="20"/>
                              </w:rPr>
                            </w:pPr>
                            <w:r w:rsidRPr="00820B09">
                              <w:rPr>
                                <w:rFonts w:asciiTheme="majorHAnsi" w:hAnsiTheme="majorHAnsi"/>
                                <w:sz w:val="20"/>
                                <w:szCs w:val="20"/>
                              </w:rPr>
                              <w:t xml:space="preserve">Perceivable - Information can be perceived by different users and presented in different ways; </w:t>
                            </w:r>
                            <w:r w:rsidR="00571480" w:rsidRPr="00820B09">
                              <w:rPr>
                                <w:rFonts w:asciiTheme="majorHAnsi" w:hAnsiTheme="majorHAnsi"/>
                                <w:sz w:val="20"/>
                                <w:szCs w:val="20"/>
                              </w:rPr>
                              <w:t>e.g.,</w:t>
                            </w:r>
                            <w:r w:rsidRPr="00820B09">
                              <w:rPr>
                                <w:rFonts w:asciiTheme="majorHAnsi" w:hAnsiTheme="majorHAnsi"/>
                                <w:sz w:val="20"/>
                                <w:szCs w:val="20"/>
                              </w:rPr>
                              <w:t xml:space="preserve"> text alternatives for images, captions for audio, etc.</w:t>
                            </w:r>
                          </w:p>
                          <w:p w14:paraId="01C1CACE" w14:textId="483C15C2" w:rsidR="00CF6998" w:rsidRPr="00820B09" w:rsidRDefault="00CF6998" w:rsidP="00A27AAA">
                            <w:pPr>
                              <w:pStyle w:val="NormalWeb"/>
                              <w:numPr>
                                <w:ilvl w:val="0"/>
                                <w:numId w:val="415"/>
                              </w:numPr>
                              <w:contextualSpacing/>
                              <w:jc w:val="both"/>
                              <w:rPr>
                                <w:rFonts w:asciiTheme="majorHAnsi" w:hAnsiTheme="majorHAnsi"/>
                                <w:sz w:val="20"/>
                                <w:szCs w:val="20"/>
                              </w:rPr>
                            </w:pPr>
                            <w:r w:rsidRPr="00820B09">
                              <w:rPr>
                                <w:rFonts w:asciiTheme="majorHAnsi" w:hAnsiTheme="majorHAnsi"/>
                                <w:sz w:val="20"/>
                                <w:szCs w:val="20"/>
                              </w:rPr>
                              <w:t xml:space="preserve">Operable – Functionality works for all users and modes of interaction; </w:t>
                            </w:r>
                            <w:r w:rsidR="00571480" w:rsidRPr="00820B09">
                              <w:rPr>
                                <w:rFonts w:asciiTheme="majorHAnsi" w:hAnsiTheme="majorHAnsi"/>
                                <w:sz w:val="20"/>
                                <w:szCs w:val="20"/>
                              </w:rPr>
                              <w:t>e.g.,</w:t>
                            </w:r>
                            <w:r w:rsidRPr="00820B09">
                              <w:rPr>
                                <w:rFonts w:asciiTheme="majorHAnsi" w:hAnsiTheme="majorHAnsi"/>
                                <w:sz w:val="20"/>
                                <w:szCs w:val="20"/>
                              </w:rPr>
                              <w:t xml:space="preserve"> keyboard-only navigation, speech input, etc.</w:t>
                            </w:r>
                          </w:p>
                          <w:p w14:paraId="028DE628" w14:textId="77777777" w:rsidR="00CF6998" w:rsidRPr="00820B09" w:rsidRDefault="00CF6998" w:rsidP="00A27AAA">
                            <w:pPr>
                              <w:pStyle w:val="NormalWeb"/>
                              <w:numPr>
                                <w:ilvl w:val="0"/>
                                <w:numId w:val="415"/>
                              </w:numPr>
                              <w:contextualSpacing/>
                              <w:jc w:val="both"/>
                              <w:rPr>
                                <w:rFonts w:asciiTheme="majorHAnsi" w:hAnsiTheme="majorHAnsi"/>
                                <w:sz w:val="20"/>
                                <w:szCs w:val="20"/>
                              </w:rPr>
                            </w:pPr>
                            <w:r w:rsidRPr="00820B09">
                              <w:rPr>
                                <w:rFonts w:asciiTheme="majorHAnsi" w:hAnsiTheme="majorHAnsi"/>
                                <w:sz w:val="20"/>
                                <w:szCs w:val="20"/>
                              </w:rPr>
                              <w:t>Understandable - Information and functionality can be understood by all users; e.g.  consistent navigation and labelling of controls, simple language, etc.</w:t>
                            </w:r>
                          </w:p>
                          <w:p w14:paraId="18C32B2F" w14:textId="1B0A451C" w:rsidR="00CF6998" w:rsidRPr="00820B09" w:rsidRDefault="00CF6998" w:rsidP="00A27AAA">
                            <w:pPr>
                              <w:pStyle w:val="NormalWeb"/>
                              <w:numPr>
                                <w:ilvl w:val="0"/>
                                <w:numId w:val="415"/>
                              </w:numPr>
                              <w:spacing w:after="0"/>
                              <w:jc w:val="both"/>
                              <w:rPr>
                                <w:rFonts w:asciiTheme="majorHAnsi" w:hAnsiTheme="majorHAnsi"/>
                                <w:sz w:val="20"/>
                                <w:szCs w:val="20"/>
                              </w:rPr>
                            </w:pPr>
                            <w:r w:rsidRPr="00820B09">
                              <w:rPr>
                                <w:rFonts w:asciiTheme="majorHAnsi" w:hAnsiTheme="majorHAnsi"/>
                                <w:sz w:val="20"/>
                                <w:szCs w:val="20"/>
                              </w:rPr>
                              <w:t xml:space="preserve">Robust - Content works across different platforms and assistive devices </w:t>
                            </w:r>
                            <w:r w:rsidR="00571480" w:rsidRPr="00820B09">
                              <w:rPr>
                                <w:rFonts w:asciiTheme="majorHAnsi" w:hAnsiTheme="majorHAnsi"/>
                                <w:sz w:val="20"/>
                                <w:szCs w:val="20"/>
                              </w:rPr>
                              <w:t>e.g.,</w:t>
                            </w:r>
                            <w:r w:rsidRPr="00820B09">
                              <w:rPr>
                                <w:rFonts w:asciiTheme="majorHAnsi" w:hAnsiTheme="majorHAnsi"/>
                                <w:sz w:val="20"/>
                                <w:szCs w:val="20"/>
                              </w:rPr>
                              <w:t xml:space="preserve"> compatibility with screen readers used by persons with visual impairments. </w:t>
                            </w:r>
                          </w:p>
                          <w:p w14:paraId="125C595A" w14:textId="57B42EB9" w:rsidR="00CF6998" w:rsidRPr="00820B09" w:rsidRDefault="00CF6998" w:rsidP="00CF6998">
                            <w:pPr>
                              <w:pStyle w:val="NormalWeb"/>
                              <w:spacing w:after="0"/>
                              <w:jc w:val="both"/>
                              <w:rPr>
                                <w:rFonts w:asciiTheme="majorHAnsi" w:hAnsiTheme="majorHAnsi"/>
                                <w:sz w:val="20"/>
                                <w:szCs w:val="20"/>
                              </w:rPr>
                            </w:pPr>
                            <w:r w:rsidRPr="00820B09">
                              <w:rPr>
                                <w:rFonts w:asciiTheme="majorHAnsi" w:hAnsiTheme="majorHAnsi"/>
                                <w:sz w:val="20"/>
                                <w:szCs w:val="20"/>
                              </w:rPr>
                              <w:t xml:space="preserve">The BFFI Disability Inclusion Guide for FSPs contains further information </w:t>
                            </w:r>
                            <w:r w:rsidR="002A497A" w:rsidRPr="00820B09">
                              <w:rPr>
                                <w:rFonts w:asciiTheme="majorHAnsi" w:hAnsiTheme="majorHAnsi"/>
                                <w:sz w:val="20"/>
                                <w:szCs w:val="20"/>
                              </w:rPr>
                              <w:t xml:space="preserve">about the multiple barriers faced by persons with disabilities to access financial services, guidance and </w:t>
                            </w:r>
                            <w:r w:rsidRPr="00820B09">
                              <w:rPr>
                                <w:rFonts w:asciiTheme="majorHAnsi" w:hAnsiTheme="majorHAnsi"/>
                                <w:sz w:val="20"/>
                                <w:szCs w:val="20"/>
                              </w:rPr>
                              <w:t xml:space="preserve">resources to support FSPs to improve accessibility of their physical and digital delivery channels, and </w:t>
                            </w:r>
                            <w:r w:rsidR="002A497A" w:rsidRPr="00820B09">
                              <w:rPr>
                                <w:rFonts w:asciiTheme="majorHAnsi" w:hAnsiTheme="majorHAnsi"/>
                                <w:sz w:val="20"/>
                                <w:szCs w:val="20"/>
                              </w:rPr>
                              <w:t xml:space="preserve">more information about </w:t>
                            </w:r>
                            <w:r w:rsidRPr="00820B09">
                              <w:rPr>
                                <w:rFonts w:asciiTheme="majorHAnsi" w:hAnsiTheme="majorHAnsi"/>
                                <w:sz w:val="20"/>
                                <w:szCs w:val="20"/>
                              </w:rPr>
                              <w:t>the WCAG.</w:t>
                            </w:r>
                          </w:p>
                          <w:p w14:paraId="0F40EBCB" w14:textId="0BCAC785" w:rsidR="00CF6998" w:rsidRPr="00820B09" w:rsidRDefault="00EA460E" w:rsidP="00CF6998">
                            <w:pPr>
                              <w:pStyle w:val="NormalWeb"/>
                              <w:spacing w:after="0"/>
                              <w:jc w:val="both"/>
                              <w:rPr>
                                <w:rFonts w:asciiTheme="majorHAnsi" w:hAnsiTheme="majorHAnsi"/>
                                <w:sz w:val="20"/>
                                <w:szCs w:val="20"/>
                              </w:rPr>
                            </w:pPr>
                            <w:r w:rsidRPr="00820B09">
                              <w:rPr>
                                <w:rFonts w:asciiTheme="majorHAnsi" w:hAnsiTheme="majorHAnsi"/>
                                <w:sz w:val="20"/>
                                <w:szCs w:val="20"/>
                              </w:rPr>
                              <w:t>See also the resources listed for this indicator.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B83B162" id="_x0000_s1044" type="#_x0000_t202" style="width:450.4pt;height:49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" filled="f" strokeweight=".5pt">
                <v:textbox style="mso-next-textbox:#_x0000_s1045">
                  <w:txbxContent>
                    <w:p w14:paraId="287030D3" w14:textId="057BE9D7" w:rsidR="00CF6998" w:rsidRPr="00820B09" w:rsidRDefault="00EB123D" w:rsidP="00CF6998">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CF6998" w:rsidRPr="00820B09">
                        <w:rPr>
                          <w:rFonts w:asciiTheme="majorHAnsi" w:hAnsiTheme="majorHAnsi"/>
                          <w:b/>
                          <w:bCs/>
                          <w:sz w:val="20"/>
                          <w:szCs w:val="20"/>
                        </w:rPr>
                        <w:t>3.B.2.2</w:t>
                      </w:r>
                    </w:p>
                    <w:p w14:paraId="72D192AA" w14:textId="77777777" w:rsidR="00CF6998" w:rsidRPr="00820B09" w:rsidRDefault="00CF6998" w:rsidP="00CF6998">
                      <w:pPr>
                        <w:pStyle w:val="NormalWeb"/>
                        <w:spacing w:after="0"/>
                        <w:jc w:val="both"/>
                        <w:rPr>
                          <w:rFonts w:asciiTheme="majorHAnsi" w:hAnsiTheme="majorHAnsi"/>
                          <w:sz w:val="20"/>
                          <w:szCs w:val="20"/>
                        </w:rPr>
                      </w:pPr>
                      <w:r w:rsidRPr="00820B09">
                        <w:rPr>
                          <w:rFonts w:asciiTheme="majorHAnsi" w:hAnsiTheme="majorHAnsi"/>
                          <w:sz w:val="20"/>
                          <w:szCs w:val="20"/>
                        </w:rPr>
                        <w:t xml:space="preserve">Persons with disabilities encounter multiple barriers to accessing financial services, including inaccessible physical and digital delivery channels; lack of affordable, accessible transport to reach delivery channels; lack of information in accessible formats; products and services not appropriate to their needs; inflexible or discriminatory policies; and FSP staff who are not trained to serve clients with disabilities. These are reinforced by attitudinal barriers arising from negative stereotypes of persons with disabilities as less reliable clients. </w:t>
                      </w:r>
                    </w:p>
                    <w:p w14:paraId="6CF47E90" w14:textId="77777777"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sz w:val="20"/>
                          <w:szCs w:val="20"/>
                        </w:rPr>
                        <w:t>Examples of actions to reduce access barriers include:</w:t>
                      </w:r>
                    </w:p>
                    <w:p w14:paraId="7AA84F6C" w14:textId="77777777" w:rsidR="00CF6998" w:rsidRPr="00820B09" w:rsidRDefault="00CF6998" w:rsidP="00A27AAA">
                      <w:pPr>
                        <w:pStyle w:val="NormalWeb"/>
                        <w:numPr>
                          <w:ilvl w:val="0"/>
                          <w:numId w:val="414"/>
                        </w:numPr>
                        <w:jc w:val="both"/>
                        <w:rPr>
                          <w:rFonts w:asciiTheme="majorHAnsi" w:hAnsiTheme="majorHAnsi"/>
                          <w:sz w:val="20"/>
                          <w:szCs w:val="20"/>
                        </w:rPr>
                      </w:pPr>
                      <w:r w:rsidRPr="00820B09">
                        <w:rPr>
                          <w:rFonts w:asciiTheme="majorHAnsi" w:hAnsiTheme="majorHAnsi"/>
                          <w:sz w:val="20"/>
                          <w:szCs w:val="20"/>
                        </w:rPr>
                        <w:t>Providing multiple, accessible delivery channels, including channels that bring delivery of products and services close to persons with disabilities' communities and homes (e.g. accessible digital channels, agent networks, door-step banking);</w:t>
                      </w:r>
                    </w:p>
                    <w:p w14:paraId="25FBDED8" w14:textId="77777777" w:rsidR="00CF6998" w:rsidRPr="00820B09" w:rsidRDefault="00CF6998" w:rsidP="00A27AAA">
                      <w:pPr>
                        <w:pStyle w:val="ListParagraph"/>
                        <w:numPr>
                          <w:ilvl w:val="0"/>
                          <w:numId w:val="414"/>
                        </w:numPr>
                        <w:jc w:val="both"/>
                        <w:rPr>
                          <w:rFonts w:asciiTheme="majorHAnsi" w:hAnsiTheme="majorHAnsi"/>
                          <w:szCs w:val="20"/>
                        </w:rPr>
                      </w:pPr>
                      <w:r w:rsidRPr="00820B09">
                        <w:rPr>
                          <w:rFonts w:asciiTheme="majorHAnsi" w:eastAsia="Times New Roman" w:hAnsiTheme="majorHAnsi" w:cs="Times New Roman"/>
                          <w:szCs w:val="20"/>
                          <w:lang w:eastAsia="fr-FR"/>
                        </w:rPr>
                        <w:t>Conducting accessibility audits of physical and digital channels together with persons with diverse disabilities, to identify barriers and propose solutions;</w:t>
                      </w:r>
                    </w:p>
                    <w:p w14:paraId="4AA0BAA4" w14:textId="77777777" w:rsidR="00CF6998" w:rsidRPr="00820B09" w:rsidRDefault="00CF6998" w:rsidP="00A27AAA">
                      <w:pPr>
                        <w:pStyle w:val="ListParagraph"/>
                        <w:numPr>
                          <w:ilvl w:val="0"/>
                          <w:numId w:val="414"/>
                        </w:numPr>
                        <w:jc w:val="both"/>
                        <w:rPr>
                          <w:rFonts w:asciiTheme="majorHAnsi" w:hAnsiTheme="majorHAnsi"/>
                          <w:szCs w:val="20"/>
                        </w:rPr>
                      </w:pPr>
                      <w:r w:rsidRPr="00820B09">
                        <w:rPr>
                          <w:rFonts w:asciiTheme="majorHAnsi" w:eastAsia="Times New Roman" w:hAnsiTheme="majorHAnsi" w:cs="Times New Roman"/>
                          <w:szCs w:val="20"/>
                          <w:lang w:eastAsia="fr-FR"/>
                        </w:rPr>
                        <w:t xml:space="preserve">Partnering with organizations of persons with disabilities (OPDs) to enable participation of persons with disabilities, including women with disabilities, in the design of delivery channels, to validate relevance of location and opening times to user habits. </w:t>
                      </w:r>
                    </w:p>
                    <w:p w14:paraId="13250BEF" w14:textId="77777777" w:rsidR="00CF6998" w:rsidRPr="00820B09" w:rsidRDefault="00CF6998" w:rsidP="00A27AAA">
                      <w:pPr>
                        <w:pStyle w:val="ListParagraph"/>
                        <w:numPr>
                          <w:ilvl w:val="0"/>
                          <w:numId w:val="414"/>
                        </w:numPr>
                        <w:jc w:val="both"/>
                        <w:rPr>
                          <w:rFonts w:asciiTheme="majorHAnsi" w:hAnsiTheme="majorHAnsi"/>
                          <w:szCs w:val="20"/>
                        </w:rPr>
                      </w:pPr>
                      <w:r w:rsidRPr="00820B09">
                        <w:rPr>
                          <w:rFonts w:asciiTheme="majorHAnsi" w:hAnsiTheme="majorHAnsi"/>
                          <w:szCs w:val="20"/>
                        </w:rPr>
                        <w:t>Providing training to client-facing staff to address negative attitudes and support them to serve clients with disabilities.</w:t>
                      </w:r>
                    </w:p>
                    <w:p w14:paraId="0F4787F3" w14:textId="1D1671E9"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b/>
                          <w:bCs/>
                          <w:sz w:val="20"/>
                          <w:szCs w:val="20"/>
                        </w:rPr>
                        <w:t>Physical accessibility</w:t>
                      </w:r>
                      <w:r w:rsidRPr="00820B09">
                        <w:rPr>
                          <w:rFonts w:asciiTheme="majorHAnsi" w:hAnsiTheme="majorHAnsi"/>
                          <w:sz w:val="20"/>
                          <w:szCs w:val="20"/>
                        </w:rPr>
                        <w:t>: means identifying and addressing barriers in physical channels (</w:t>
                      </w:r>
                      <w:r w:rsidR="00A27AAA" w:rsidRPr="00820B09">
                        <w:rPr>
                          <w:rFonts w:asciiTheme="majorHAnsi" w:hAnsiTheme="majorHAnsi"/>
                          <w:sz w:val="20"/>
                          <w:szCs w:val="20"/>
                        </w:rPr>
                        <w:t>e.g.,</w:t>
                      </w:r>
                      <w:r w:rsidRPr="00820B09">
                        <w:rPr>
                          <w:rFonts w:asciiTheme="majorHAnsi" w:hAnsiTheme="majorHAnsi"/>
                          <w:sz w:val="20"/>
                          <w:szCs w:val="20"/>
                        </w:rPr>
                        <w:t xml:space="preserve"> branches and ATMs so that persons with disabilities can easily approach, enter, and move around the facility, and use functions within it to achieve their intended purpose. Improving physical accessibility benefits persons with impaired mobility, wheelchair users, and persons with sensory impairments, as well as other clients such as older persons, pregnant women and parents with strollers. Examples include:</w:t>
                      </w:r>
                    </w:p>
                    <w:p w14:paraId="46372AA0"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Entry ramps, and handrails on stairs</w:t>
                      </w:r>
                    </w:p>
                    <w:p w14:paraId="4D6B228D"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Dedicated parking for persons with disabilities</w:t>
                      </w:r>
                    </w:p>
                    <w:p w14:paraId="221960AD"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Accessible toilets</w:t>
                      </w:r>
                    </w:p>
                    <w:p w14:paraId="429EA470"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Tactile strips on walkways to guide persons with visual impairment</w:t>
                      </w:r>
                    </w:p>
                    <w:p w14:paraId="5B17437D" w14:textId="77777777" w:rsidR="00CF6998" w:rsidRPr="00820B09" w:rsidRDefault="00CF6998" w:rsidP="00A27AAA">
                      <w:pPr>
                        <w:pStyle w:val="NormalWeb"/>
                        <w:numPr>
                          <w:ilvl w:val="0"/>
                          <w:numId w:val="415"/>
                        </w:numPr>
                        <w:jc w:val="both"/>
                        <w:rPr>
                          <w:rFonts w:asciiTheme="majorHAnsi" w:hAnsiTheme="majorHAnsi"/>
                          <w:sz w:val="20"/>
                          <w:szCs w:val="20"/>
                        </w:rPr>
                      </w:pPr>
                      <w:r w:rsidRPr="00820B09">
                        <w:rPr>
                          <w:rFonts w:asciiTheme="majorHAnsi" w:hAnsiTheme="majorHAnsi"/>
                          <w:sz w:val="20"/>
                          <w:szCs w:val="20"/>
                        </w:rPr>
                        <w:t>Removing obstacles and hazards from walkways and corridors</w:t>
                      </w:r>
                    </w:p>
                    <w:p w14:paraId="2684F458" w14:textId="44AA6367"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b/>
                          <w:bCs/>
                          <w:sz w:val="20"/>
                          <w:szCs w:val="20"/>
                        </w:rPr>
                        <w:t>Digital accessibility</w:t>
                      </w:r>
                      <w:r w:rsidRPr="00820B09">
                        <w:rPr>
                          <w:rFonts w:asciiTheme="majorHAnsi" w:hAnsiTheme="majorHAnsi"/>
                          <w:sz w:val="20"/>
                          <w:szCs w:val="20"/>
                        </w:rPr>
                        <w:t xml:space="preserve">: providing digital financial services is often the most effective way to overcome barriers of distance and inaccessibility related to physical delivery channels. However digital channels can create access barriers, in particular for persons with sensory or intellectual impairments, if they do not meet accessibility guidelines. Improving accessibility of digital interfaces also benefits users such as older persons, and </w:t>
                      </w:r>
                      <w:r w:rsidR="00907EF8" w:rsidRPr="00820B09">
                        <w:rPr>
                          <w:rFonts w:asciiTheme="majorHAnsi" w:hAnsiTheme="majorHAnsi"/>
                          <w:sz w:val="20"/>
                          <w:szCs w:val="20"/>
                        </w:rPr>
                        <w:t>persons</w:t>
                      </w:r>
                      <w:r w:rsidRPr="00820B09">
                        <w:rPr>
                          <w:rFonts w:asciiTheme="majorHAnsi" w:hAnsiTheme="majorHAnsi"/>
                          <w:sz w:val="20"/>
                          <w:szCs w:val="20"/>
                        </w:rPr>
                        <w:t xml:space="preserve"> with low levels of literacy or digital skills.</w:t>
                      </w:r>
                    </w:p>
                    <w:p w14:paraId="559E96F4" w14:textId="77777777" w:rsidR="00CF6998" w:rsidRPr="00820B09" w:rsidRDefault="00CF6998" w:rsidP="00CF6998">
                      <w:pPr>
                        <w:pStyle w:val="NormalWeb"/>
                        <w:contextualSpacing/>
                        <w:jc w:val="both"/>
                        <w:rPr>
                          <w:rFonts w:asciiTheme="majorHAnsi" w:hAnsiTheme="majorHAnsi"/>
                          <w:sz w:val="20"/>
                          <w:szCs w:val="20"/>
                        </w:rPr>
                      </w:pPr>
                    </w:p>
                    <w:p w14:paraId="4011F751" w14:textId="77777777" w:rsidR="00CF6998" w:rsidRPr="00820B09" w:rsidRDefault="00CF6998" w:rsidP="00CF6998">
                      <w:pPr>
                        <w:pStyle w:val="NormalWeb"/>
                        <w:contextualSpacing/>
                        <w:jc w:val="both"/>
                        <w:rPr>
                          <w:rFonts w:asciiTheme="majorHAnsi" w:hAnsiTheme="majorHAnsi"/>
                          <w:sz w:val="20"/>
                          <w:szCs w:val="20"/>
                        </w:rPr>
                      </w:pPr>
                      <w:r w:rsidRPr="00820B09">
                        <w:rPr>
                          <w:rFonts w:asciiTheme="majorHAnsi" w:hAnsiTheme="majorHAnsi"/>
                          <w:sz w:val="20"/>
                          <w:szCs w:val="20"/>
                        </w:rPr>
                        <w:t xml:space="preserve">The </w:t>
                      </w:r>
                      <w:r w:rsidRPr="00820B09">
                        <w:rPr>
                          <w:rFonts w:asciiTheme="majorHAnsi" w:hAnsiTheme="majorHAnsi"/>
                          <w:b/>
                          <w:bCs/>
                          <w:sz w:val="20"/>
                          <w:szCs w:val="20"/>
                        </w:rPr>
                        <w:t>Web Content Accessibility Guidelines (WCAG</w:t>
                      </w:r>
                      <w:r w:rsidRPr="00820B09">
                        <w:rPr>
                          <w:rFonts w:asciiTheme="majorHAnsi" w:hAnsiTheme="majorHAnsi"/>
                          <w:sz w:val="20"/>
                          <w:szCs w:val="20"/>
                        </w:rPr>
                        <w:t xml:space="preserve">) provide an internationally recognized standard for digital accessibility. It provides 13 guidelines organized around four key principles for accessible digital content: </w:t>
                      </w:r>
                    </w:p>
                    <w:p w14:paraId="0C49AEC1" w14:textId="17E503B4" w:rsidR="00CF6998" w:rsidRPr="00820B09" w:rsidRDefault="00CF6998" w:rsidP="00A27AAA">
                      <w:pPr>
                        <w:pStyle w:val="NormalWeb"/>
                        <w:numPr>
                          <w:ilvl w:val="0"/>
                          <w:numId w:val="415"/>
                        </w:numPr>
                        <w:contextualSpacing/>
                        <w:jc w:val="both"/>
                        <w:rPr>
                          <w:rFonts w:asciiTheme="majorHAnsi" w:hAnsiTheme="majorHAnsi"/>
                          <w:sz w:val="20"/>
                          <w:szCs w:val="20"/>
                        </w:rPr>
                      </w:pPr>
                      <w:r w:rsidRPr="00820B09">
                        <w:rPr>
                          <w:rFonts w:asciiTheme="majorHAnsi" w:hAnsiTheme="majorHAnsi"/>
                          <w:sz w:val="20"/>
                          <w:szCs w:val="20"/>
                        </w:rPr>
                        <w:t xml:space="preserve">Perceivable - Information can be perceived by different users and presented in different ways; </w:t>
                      </w:r>
                      <w:r w:rsidR="00571480" w:rsidRPr="00820B09">
                        <w:rPr>
                          <w:rFonts w:asciiTheme="majorHAnsi" w:hAnsiTheme="majorHAnsi"/>
                          <w:sz w:val="20"/>
                          <w:szCs w:val="20"/>
                        </w:rPr>
                        <w:t>e.g.,</w:t>
                      </w:r>
                      <w:r w:rsidRPr="00820B09">
                        <w:rPr>
                          <w:rFonts w:asciiTheme="majorHAnsi" w:hAnsiTheme="majorHAnsi"/>
                          <w:sz w:val="20"/>
                          <w:szCs w:val="20"/>
                        </w:rPr>
                        <w:t xml:space="preserve"> text alternatives for images, captions for audio, etc.</w:t>
                      </w:r>
                    </w:p>
                    <w:p w14:paraId="01C1CACE" w14:textId="483C15C2" w:rsidR="00CF6998" w:rsidRPr="00820B09" w:rsidRDefault="00CF6998" w:rsidP="00A27AAA">
                      <w:pPr>
                        <w:pStyle w:val="NormalWeb"/>
                        <w:numPr>
                          <w:ilvl w:val="0"/>
                          <w:numId w:val="415"/>
                        </w:numPr>
                        <w:contextualSpacing/>
                        <w:jc w:val="both"/>
                        <w:rPr>
                          <w:rFonts w:asciiTheme="majorHAnsi" w:hAnsiTheme="majorHAnsi"/>
                          <w:sz w:val="20"/>
                          <w:szCs w:val="20"/>
                        </w:rPr>
                      </w:pPr>
                      <w:r w:rsidRPr="00820B09">
                        <w:rPr>
                          <w:rFonts w:asciiTheme="majorHAnsi" w:hAnsiTheme="majorHAnsi"/>
                          <w:sz w:val="20"/>
                          <w:szCs w:val="20"/>
                        </w:rPr>
                        <w:t xml:space="preserve">Operable – Functionality works for all users and modes of interaction; </w:t>
                      </w:r>
                      <w:r w:rsidR="00571480" w:rsidRPr="00820B09">
                        <w:rPr>
                          <w:rFonts w:asciiTheme="majorHAnsi" w:hAnsiTheme="majorHAnsi"/>
                          <w:sz w:val="20"/>
                          <w:szCs w:val="20"/>
                        </w:rPr>
                        <w:t>e.g.,</w:t>
                      </w:r>
                      <w:r w:rsidRPr="00820B09">
                        <w:rPr>
                          <w:rFonts w:asciiTheme="majorHAnsi" w:hAnsiTheme="majorHAnsi"/>
                          <w:sz w:val="20"/>
                          <w:szCs w:val="20"/>
                        </w:rPr>
                        <w:t xml:space="preserve"> keyboard-only navigation, speech input, etc.</w:t>
                      </w:r>
                    </w:p>
                    <w:p w14:paraId="028DE628" w14:textId="77777777" w:rsidR="00CF6998" w:rsidRPr="00820B09" w:rsidRDefault="00CF6998" w:rsidP="00A27AAA">
                      <w:pPr>
                        <w:pStyle w:val="NormalWeb"/>
                        <w:numPr>
                          <w:ilvl w:val="0"/>
                          <w:numId w:val="415"/>
                        </w:numPr>
                        <w:contextualSpacing/>
                        <w:jc w:val="both"/>
                        <w:rPr>
                          <w:rFonts w:asciiTheme="majorHAnsi" w:hAnsiTheme="majorHAnsi"/>
                          <w:sz w:val="20"/>
                          <w:szCs w:val="20"/>
                        </w:rPr>
                      </w:pPr>
                      <w:r w:rsidRPr="00820B09">
                        <w:rPr>
                          <w:rFonts w:asciiTheme="majorHAnsi" w:hAnsiTheme="majorHAnsi"/>
                          <w:sz w:val="20"/>
                          <w:szCs w:val="20"/>
                        </w:rPr>
                        <w:t>Understandable - Information and functionality can be understood by all users; e.g.  consistent navigation and labelling of controls, simple language, etc.</w:t>
                      </w:r>
                    </w:p>
                    <w:p w14:paraId="18C32B2F" w14:textId="1B0A451C" w:rsidR="00CF6998" w:rsidRPr="00820B09" w:rsidRDefault="00CF6998" w:rsidP="00A27AAA">
                      <w:pPr>
                        <w:pStyle w:val="NormalWeb"/>
                        <w:numPr>
                          <w:ilvl w:val="0"/>
                          <w:numId w:val="415"/>
                        </w:numPr>
                        <w:spacing w:after="0"/>
                        <w:jc w:val="both"/>
                        <w:rPr>
                          <w:rFonts w:asciiTheme="majorHAnsi" w:hAnsiTheme="majorHAnsi"/>
                          <w:sz w:val="20"/>
                          <w:szCs w:val="20"/>
                        </w:rPr>
                      </w:pPr>
                      <w:r w:rsidRPr="00820B09">
                        <w:rPr>
                          <w:rFonts w:asciiTheme="majorHAnsi" w:hAnsiTheme="majorHAnsi"/>
                          <w:sz w:val="20"/>
                          <w:szCs w:val="20"/>
                        </w:rPr>
                        <w:t xml:space="preserve">Robust - Content works across different platforms and assistive devices </w:t>
                      </w:r>
                      <w:r w:rsidR="00571480" w:rsidRPr="00820B09">
                        <w:rPr>
                          <w:rFonts w:asciiTheme="majorHAnsi" w:hAnsiTheme="majorHAnsi"/>
                          <w:sz w:val="20"/>
                          <w:szCs w:val="20"/>
                        </w:rPr>
                        <w:t>e.g.,</w:t>
                      </w:r>
                      <w:r w:rsidRPr="00820B09">
                        <w:rPr>
                          <w:rFonts w:asciiTheme="majorHAnsi" w:hAnsiTheme="majorHAnsi"/>
                          <w:sz w:val="20"/>
                          <w:szCs w:val="20"/>
                        </w:rPr>
                        <w:t xml:space="preserve"> compatibility with screen readers used by persons with visual impairments. </w:t>
                      </w:r>
                    </w:p>
                    <w:p w14:paraId="125C595A" w14:textId="57B42EB9" w:rsidR="00CF6998" w:rsidRPr="00820B09" w:rsidRDefault="00CF6998" w:rsidP="00CF6998">
                      <w:pPr>
                        <w:pStyle w:val="NormalWeb"/>
                        <w:spacing w:after="0"/>
                        <w:jc w:val="both"/>
                        <w:rPr>
                          <w:rFonts w:asciiTheme="majorHAnsi" w:hAnsiTheme="majorHAnsi"/>
                          <w:sz w:val="20"/>
                          <w:szCs w:val="20"/>
                        </w:rPr>
                      </w:pPr>
                      <w:r w:rsidRPr="00820B09">
                        <w:rPr>
                          <w:rFonts w:asciiTheme="majorHAnsi" w:hAnsiTheme="majorHAnsi"/>
                          <w:sz w:val="20"/>
                          <w:szCs w:val="20"/>
                        </w:rPr>
                        <w:t xml:space="preserve">The BFFI Disability Inclusion Guide for FSPs contains further information </w:t>
                      </w:r>
                      <w:r w:rsidR="002A497A" w:rsidRPr="00820B09">
                        <w:rPr>
                          <w:rFonts w:asciiTheme="majorHAnsi" w:hAnsiTheme="majorHAnsi"/>
                          <w:sz w:val="20"/>
                          <w:szCs w:val="20"/>
                        </w:rPr>
                        <w:t xml:space="preserve">about the multiple barriers faced by persons with disabilities to access financial services, guidance and </w:t>
                      </w:r>
                      <w:r w:rsidRPr="00820B09">
                        <w:rPr>
                          <w:rFonts w:asciiTheme="majorHAnsi" w:hAnsiTheme="majorHAnsi"/>
                          <w:sz w:val="20"/>
                          <w:szCs w:val="20"/>
                        </w:rPr>
                        <w:t xml:space="preserve">resources to support FSPs to improve accessibility of their physical and digital delivery channels, and </w:t>
                      </w:r>
                      <w:r w:rsidR="002A497A" w:rsidRPr="00820B09">
                        <w:rPr>
                          <w:rFonts w:asciiTheme="majorHAnsi" w:hAnsiTheme="majorHAnsi"/>
                          <w:sz w:val="20"/>
                          <w:szCs w:val="20"/>
                        </w:rPr>
                        <w:t xml:space="preserve">more information about </w:t>
                      </w:r>
                      <w:r w:rsidRPr="00820B09">
                        <w:rPr>
                          <w:rFonts w:asciiTheme="majorHAnsi" w:hAnsiTheme="majorHAnsi"/>
                          <w:sz w:val="20"/>
                          <w:szCs w:val="20"/>
                        </w:rPr>
                        <w:t>the WCAG.</w:t>
                      </w:r>
                    </w:p>
                    <w:p w14:paraId="0F40EBCB" w14:textId="0BCAC785" w:rsidR="00CF6998" w:rsidRPr="00820B09" w:rsidRDefault="00EA460E" w:rsidP="00CF6998">
                      <w:pPr>
                        <w:pStyle w:val="NormalWeb"/>
                        <w:spacing w:after="0"/>
                        <w:jc w:val="both"/>
                        <w:rPr>
                          <w:rFonts w:asciiTheme="majorHAnsi" w:hAnsiTheme="majorHAnsi"/>
                          <w:sz w:val="20"/>
                          <w:szCs w:val="20"/>
                        </w:rPr>
                      </w:pPr>
                      <w:r w:rsidRPr="00820B09">
                        <w:rPr>
                          <w:rFonts w:asciiTheme="majorHAnsi" w:hAnsiTheme="majorHAnsi"/>
                          <w:sz w:val="20"/>
                          <w:szCs w:val="20"/>
                        </w:rPr>
                        <w:t>See also the resources listed for this indicator.</w:t>
                      </w:r>
                    </w:p>
                  </w:txbxContent>
                </v:textbox>
                <w10:anchorlock/>
              </v:shape>
            </w:pict>
          </mc:Fallback>
        </mc:AlternateContent>
      </w:r>
    </w:p>
    <w:p w14:paraId="43A2A8C4" w14:textId="77777777" w:rsidR="00346B49" w:rsidRPr="00A608EE" w:rsidRDefault="00346B49">
      <w:pPr>
        <w:spacing w:after="160" w:line="259" w:lineRule="auto"/>
        <w:rPr>
          <w:lang w:eastAsia="fr-FR"/>
        </w:rPr>
      </w:pPr>
      <w:r w:rsidRPr="00A608EE">
        <w:br w:type="page"/>
      </w:r>
    </w:p>
    <w:p w14:paraId="72E3C1D3" w14:textId="1B3E6483" w:rsidR="00CF6998" w:rsidRPr="00A608EE" w:rsidRDefault="0057148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noProof/>
          <w:sz w:val="20"/>
          <w:szCs w:val="20"/>
        </w:rPr>
        <w:lastRenderedPageBreak/>
        <mc:AlternateContent>
          <mc:Choice Requires="wps">
            <w:drawing>
              <wp:anchor distT="0" distB="0" distL="114300" distR="114300" simplePos="0" relativeHeight="251783168" behindDoc="0" locked="0" layoutInCell="1" allowOverlap="1" wp14:anchorId="3717230B" wp14:editId="62D3DCEA">
                <wp:simplePos x="0" y="0"/>
                <wp:positionH relativeFrom="column">
                  <wp:posOffset>3454</wp:posOffset>
                </wp:positionH>
                <wp:positionV relativeFrom="paragraph">
                  <wp:posOffset>137268</wp:posOffset>
                </wp:positionV>
                <wp:extent cx="5720575" cy="3401122"/>
                <wp:effectExtent l="0" t="0" r="7620" b="15240"/>
                <wp:wrapNone/>
                <wp:docPr id="1598614157" name="Cuadro de texto 1"/>
                <wp:cNvGraphicFramePr/>
                <a:graphic xmlns:a="http://schemas.openxmlformats.org/drawingml/2006/main">
                  <a:graphicData uri="http://schemas.microsoft.com/office/word/2010/wordprocessingShape">
                    <wps:wsp>
                      <wps:cNvSpPr txBox="1"/>
                      <wps:spPr>
                        <a:xfrm>
                          <a:off x="0" y="0"/>
                          <a:ext cx="5720575" cy="3401122"/>
                        </a:xfrm>
                        <a:prstGeom prst="rect">
                          <a:avLst/>
                        </a:prstGeom>
                        <a:noFill/>
                        <a:ln w="6350">
                          <a:solidFill>
                            <a:prstClr val="black"/>
                          </a:solidFill>
                        </a:ln>
                      </wps:spPr>
                      <wps:linkedTxbx id="19"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17230B" id="_x0000_s1045" type="#_x0000_t202" style="position:absolute;left:0;text-align:left;margin-left:.25pt;margin-top:10.8pt;width:450.45pt;height:267.8pt;z-index:251783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" filled="f" strokeweight=".5pt">
                <v:textbox>
                  <w:txbxContent/>
                </v:textbox>
              </v:shape>
            </w:pict>
          </mc:Fallback>
        </mc:AlternateContent>
      </w:r>
    </w:p>
    <w:p w14:paraId="1A6D0C7D" w14:textId="77777777" w:rsidR="00571480" w:rsidRPr="00A608EE" w:rsidRDefault="00571480" w:rsidP="00EE208A">
      <w:pPr>
        <w:pStyle w:val="NormalWeb"/>
        <w:spacing w:before="0" w:beforeAutospacing="0" w:after="0" w:afterAutospacing="0"/>
        <w:jc w:val="both"/>
        <w:rPr>
          <w:rFonts w:asciiTheme="majorHAnsi" w:hAnsiTheme="majorHAnsi"/>
          <w:sz w:val="20"/>
          <w:szCs w:val="20"/>
        </w:rPr>
      </w:pPr>
    </w:p>
    <w:p w14:paraId="78BBA9B8" w14:textId="77777777" w:rsidR="00571480" w:rsidRPr="00A608EE" w:rsidRDefault="00571480" w:rsidP="00EE208A">
      <w:pPr>
        <w:pStyle w:val="NormalWeb"/>
        <w:spacing w:before="0" w:beforeAutospacing="0" w:after="0" w:afterAutospacing="0"/>
        <w:jc w:val="both"/>
        <w:rPr>
          <w:rFonts w:asciiTheme="majorHAnsi" w:hAnsiTheme="majorHAnsi"/>
          <w:sz w:val="20"/>
          <w:szCs w:val="20"/>
        </w:rPr>
      </w:pPr>
    </w:p>
    <w:p w14:paraId="69E376E6" w14:textId="77777777" w:rsidR="00571480" w:rsidRPr="00A608EE" w:rsidRDefault="00571480" w:rsidP="00EE208A">
      <w:pPr>
        <w:pStyle w:val="NormalWeb"/>
        <w:spacing w:before="0" w:beforeAutospacing="0" w:after="0" w:afterAutospacing="0"/>
        <w:jc w:val="both"/>
        <w:rPr>
          <w:rFonts w:asciiTheme="majorHAnsi" w:hAnsiTheme="majorHAnsi"/>
          <w:sz w:val="20"/>
          <w:szCs w:val="20"/>
        </w:rPr>
      </w:pPr>
    </w:p>
    <w:p w14:paraId="20130451" w14:textId="77777777" w:rsidR="00571480" w:rsidRPr="00A608EE" w:rsidRDefault="00571480" w:rsidP="00EE208A">
      <w:pPr>
        <w:pStyle w:val="NormalWeb"/>
        <w:spacing w:before="0" w:beforeAutospacing="0" w:after="0" w:afterAutospacing="0"/>
        <w:jc w:val="both"/>
        <w:rPr>
          <w:rFonts w:asciiTheme="majorHAnsi" w:hAnsiTheme="majorHAnsi"/>
          <w:sz w:val="20"/>
          <w:szCs w:val="20"/>
        </w:rPr>
      </w:pPr>
    </w:p>
    <w:p w14:paraId="5CE5F785" w14:textId="77777777" w:rsidR="00571480" w:rsidRPr="00A608EE" w:rsidRDefault="00571480" w:rsidP="00EE208A">
      <w:pPr>
        <w:pStyle w:val="NormalWeb"/>
        <w:spacing w:before="0" w:beforeAutospacing="0" w:after="0" w:afterAutospacing="0"/>
        <w:jc w:val="both"/>
        <w:rPr>
          <w:rFonts w:asciiTheme="majorHAnsi" w:hAnsiTheme="majorHAnsi"/>
          <w:sz w:val="20"/>
          <w:szCs w:val="20"/>
        </w:rPr>
      </w:pPr>
    </w:p>
    <w:p w14:paraId="11B5E01D"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46617EB1"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10BEB2E8"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45275649"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7AED8529"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6182423A"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1E1F7D91"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3E49498D"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7CF30224"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2E8EED85"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38FF3729"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793EC1C4"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47A5A764"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3B18AE43"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46B7838B"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6E2C850F"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4A830732"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6B08607E"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4875F8A7" w14:textId="77777777" w:rsidR="00571480" w:rsidRPr="00A608EE" w:rsidRDefault="00571480" w:rsidP="00CF6998">
      <w:pPr>
        <w:pStyle w:val="NormalWeb"/>
        <w:spacing w:before="0" w:beforeAutospacing="0" w:after="0" w:afterAutospacing="0"/>
        <w:contextualSpacing/>
        <w:jc w:val="both"/>
        <w:rPr>
          <w:rFonts w:asciiTheme="majorHAnsi" w:hAnsiTheme="majorHAnsi"/>
          <w:b/>
          <w:bCs/>
          <w:sz w:val="20"/>
          <w:szCs w:val="20"/>
        </w:rPr>
      </w:pPr>
    </w:p>
    <w:p w14:paraId="34224047" w14:textId="4254C0D1" w:rsidR="0083047A" w:rsidRPr="00A608EE" w:rsidRDefault="0083047A" w:rsidP="00CF6998">
      <w:pPr>
        <w:pStyle w:val="NormalWeb"/>
        <w:spacing w:before="0" w:beforeAutospacing="0" w:after="0" w:afterAutospacing="0"/>
        <w:contextualSpacing/>
        <w:jc w:val="both"/>
        <w:rPr>
          <w:rFonts w:asciiTheme="majorHAnsi" w:hAnsiTheme="majorHAnsi"/>
          <w:b/>
          <w:bCs/>
          <w:sz w:val="20"/>
          <w:szCs w:val="20"/>
        </w:rPr>
      </w:pPr>
      <w:r w:rsidRPr="00A608EE">
        <w:rPr>
          <w:rFonts w:asciiTheme="majorHAnsi" w:hAnsiTheme="majorHAnsi"/>
          <w:b/>
          <w:bCs/>
          <w:sz w:val="20"/>
          <w:szCs w:val="20"/>
        </w:rPr>
        <w:t>Scoring guidance</w:t>
      </w:r>
    </w:p>
    <w:p w14:paraId="2108C1FB" w14:textId="77777777" w:rsidR="0083047A" w:rsidRPr="00A608EE" w:rsidRDefault="0083047A"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3.B.2.2.1:</w:t>
      </w:r>
    </w:p>
    <w:p w14:paraId="68067A05" w14:textId="77777777" w:rsidR="0083047A" w:rsidRPr="00A608EE" w:rsidRDefault="0083047A" w:rsidP="00A27AAA">
      <w:pPr>
        <w:pStyle w:val="NormalWeb"/>
        <w:numPr>
          <w:ilvl w:val="0"/>
          <w:numId w:val="1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is offering several distribution channels for all main products that are adapted to the different client segments by requiring low client transaction costs.</w:t>
      </w:r>
    </w:p>
    <w:p w14:paraId="5B8408BA" w14:textId="77777777" w:rsidR="0083047A" w:rsidRPr="00A608EE" w:rsidRDefault="0083047A" w:rsidP="00A27AAA">
      <w:pPr>
        <w:pStyle w:val="NormalWeb"/>
        <w:numPr>
          <w:ilvl w:val="0"/>
          <w:numId w:val="1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offering only few distribution channels that are not well adapted to the different client segments with little consideration given to client transaction costs. For instance, digital loan repayments are offered via one partner bank, but most clients do not have an account with this partner bank and branches of this bank are far from the clients.</w:t>
      </w:r>
    </w:p>
    <w:p w14:paraId="734FAB86" w14:textId="77777777" w:rsidR="0083047A" w:rsidRPr="00A608EE" w:rsidRDefault="0083047A" w:rsidP="00A27AAA">
      <w:pPr>
        <w:pStyle w:val="NormalWeb"/>
        <w:numPr>
          <w:ilvl w:val="0"/>
          <w:numId w:val="1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is not offering borrowers to repay their loans and/or make deposits via at least one digital channel and/or does not have service points within 2 km of the clients’ residences.  </w:t>
      </w:r>
    </w:p>
    <w:p w14:paraId="1C623465" w14:textId="77777777" w:rsidR="0083047A" w:rsidRPr="00A608EE" w:rsidRDefault="0083047A" w:rsidP="00EE208A">
      <w:pPr>
        <w:pStyle w:val="NormalWeb"/>
        <w:spacing w:before="0" w:beforeAutospacing="0" w:after="0" w:afterAutospacing="0"/>
        <w:jc w:val="both"/>
        <w:rPr>
          <w:rFonts w:asciiTheme="majorHAnsi" w:hAnsiTheme="majorHAnsi"/>
          <w:sz w:val="20"/>
          <w:szCs w:val="20"/>
          <w:u w:val="single"/>
        </w:rPr>
      </w:pPr>
    </w:p>
    <w:p w14:paraId="5274195B" w14:textId="7D896E87" w:rsidR="0083047A" w:rsidRPr="00A608EE" w:rsidRDefault="0083047A"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3.B.2.2.2:</w:t>
      </w:r>
    </w:p>
    <w:p w14:paraId="4AFDA4A1" w14:textId="77777777" w:rsidR="0083047A" w:rsidRPr="00A608EE" w:rsidRDefault="0083047A" w:rsidP="00A27AAA">
      <w:pPr>
        <w:pStyle w:val="NormalWeb"/>
        <w:numPr>
          <w:ilvl w:val="0"/>
          <w:numId w:val="1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is regularly monitoring and ensuring that all its target clients (incl. clients with low literacy levels and of higher age brackets) are using effectively its digital distribution channels by offering them hands-on staff counseling and digital literacy trainings, as required.</w:t>
      </w:r>
    </w:p>
    <w:p w14:paraId="7FA195E4" w14:textId="77777777" w:rsidR="0083047A" w:rsidRPr="00A608EE" w:rsidRDefault="0083047A" w:rsidP="00A27AAA">
      <w:pPr>
        <w:pStyle w:val="NormalWeb"/>
        <w:numPr>
          <w:ilvl w:val="0"/>
          <w:numId w:val="1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monitoring only occasionally whether all its target clients are using effectively its digital distribution channels and/or does not provide effective client training in digital literacy.</w:t>
      </w:r>
    </w:p>
    <w:p w14:paraId="7500511F" w14:textId="77777777" w:rsidR="0083047A" w:rsidRPr="00A608EE" w:rsidRDefault="0083047A" w:rsidP="00A27AAA">
      <w:pPr>
        <w:pStyle w:val="NormalWeb"/>
        <w:numPr>
          <w:ilvl w:val="0"/>
          <w:numId w:val="1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does not monitor whether all its target clients are using effectively its digital distribution channels and/or does not offer any client training in digital literacy.</w:t>
      </w:r>
    </w:p>
    <w:p w14:paraId="2DD9F99E" w14:textId="77777777" w:rsidR="0083047A" w:rsidRPr="00A608EE" w:rsidRDefault="0083047A" w:rsidP="00EE208A">
      <w:pPr>
        <w:pStyle w:val="NormalWeb"/>
        <w:spacing w:before="0" w:beforeAutospacing="0" w:after="0" w:afterAutospacing="0"/>
        <w:jc w:val="both"/>
        <w:rPr>
          <w:rFonts w:asciiTheme="majorHAnsi" w:hAnsiTheme="majorHAnsi"/>
          <w:sz w:val="20"/>
          <w:szCs w:val="20"/>
        </w:rPr>
      </w:pPr>
    </w:p>
    <w:p w14:paraId="283517DC" w14:textId="7E80CA33" w:rsidR="0083047A" w:rsidRPr="00A608EE" w:rsidRDefault="0083047A"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17E127AB" w14:textId="77777777" w:rsidR="0083047A" w:rsidRPr="00A608EE" w:rsidRDefault="0083047A" w:rsidP="00A27AAA">
      <w:pPr>
        <w:pStyle w:val="NormalWeb"/>
        <w:numPr>
          <w:ilvl w:val="0"/>
          <w:numId w:val="18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Observations in at least two branches, incl. a rural branch or service point</w:t>
      </w:r>
    </w:p>
    <w:p w14:paraId="33BB8F4F" w14:textId="77777777" w:rsidR="0083047A" w:rsidRPr="00A608EE" w:rsidRDefault="0083047A" w:rsidP="00A27AAA">
      <w:pPr>
        <w:pStyle w:val="NormalWeb"/>
        <w:numPr>
          <w:ilvl w:val="0"/>
          <w:numId w:val="18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operations</w:t>
      </w:r>
    </w:p>
    <w:p w14:paraId="3D75886A" w14:textId="77777777" w:rsidR="0083047A" w:rsidRPr="00A608EE" w:rsidRDefault="0083047A" w:rsidP="00A27AAA">
      <w:pPr>
        <w:pStyle w:val="NormalWeb"/>
        <w:numPr>
          <w:ilvl w:val="0"/>
          <w:numId w:val="18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customer service / marketing</w:t>
      </w:r>
    </w:p>
    <w:p w14:paraId="60FF259E" w14:textId="77777777" w:rsidR="0083047A" w:rsidRPr="00A608EE" w:rsidRDefault="0083047A" w:rsidP="00A27AAA">
      <w:pPr>
        <w:pStyle w:val="NormalWeb"/>
        <w:numPr>
          <w:ilvl w:val="0"/>
          <w:numId w:val="18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Client interviews</w:t>
      </w:r>
    </w:p>
    <w:p w14:paraId="175E81D6" w14:textId="77777777" w:rsidR="0083047A" w:rsidRPr="00A608EE" w:rsidRDefault="0083047A" w:rsidP="00EE208A">
      <w:pPr>
        <w:pStyle w:val="NormalWeb"/>
        <w:spacing w:before="0" w:beforeAutospacing="0" w:after="0" w:afterAutospacing="0"/>
        <w:jc w:val="both"/>
        <w:rPr>
          <w:rFonts w:asciiTheme="majorHAnsi" w:hAnsiTheme="majorHAnsi"/>
          <w:sz w:val="20"/>
          <w:szCs w:val="20"/>
        </w:rPr>
      </w:pPr>
    </w:p>
    <w:p w14:paraId="3D14524E" w14:textId="77777777" w:rsidR="00571480" w:rsidRPr="00A608EE" w:rsidRDefault="00571480" w:rsidP="00EE208A">
      <w:pPr>
        <w:pStyle w:val="NormalWeb"/>
        <w:spacing w:before="0" w:beforeAutospacing="0" w:after="0" w:afterAutospacing="0"/>
        <w:jc w:val="both"/>
        <w:rPr>
          <w:rFonts w:asciiTheme="majorHAnsi" w:hAnsiTheme="majorHAnsi"/>
          <w:b/>
          <w:bCs/>
          <w:sz w:val="20"/>
          <w:szCs w:val="20"/>
        </w:rPr>
      </w:pPr>
    </w:p>
    <w:p w14:paraId="3A851931" w14:textId="77777777" w:rsidR="00571480" w:rsidRPr="00A608EE" w:rsidRDefault="00571480" w:rsidP="00EE208A">
      <w:pPr>
        <w:pStyle w:val="NormalWeb"/>
        <w:spacing w:before="0" w:beforeAutospacing="0" w:after="0" w:afterAutospacing="0"/>
        <w:jc w:val="both"/>
        <w:rPr>
          <w:rFonts w:asciiTheme="majorHAnsi" w:hAnsiTheme="majorHAnsi"/>
          <w:b/>
          <w:bCs/>
          <w:sz w:val="20"/>
          <w:szCs w:val="20"/>
        </w:rPr>
      </w:pPr>
    </w:p>
    <w:p w14:paraId="375319CE" w14:textId="4FA6512D" w:rsidR="0083047A" w:rsidRPr="00A608EE" w:rsidRDefault="0083047A"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0A11D3E6" w14:textId="77777777" w:rsidR="0083047A" w:rsidRPr="00A608EE" w:rsidRDefault="0083047A"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Describe the distribution channels and how they are adapted to the target clients. Calculation of the client transaction costs for applying and transacting for the main products/services.</w:t>
      </w:r>
    </w:p>
    <w:p w14:paraId="7CF5D0CA" w14:textId="77777777" w:rsidR="0083047A" w:rsidRPr="00A608EE" w:rsidRDefault="0083047A" w:rsidP="00EE208A">
      <w:pPr>
        <w:pStyle w:val="NormalWeb"/>
        <w:spacing w:before="0" w:beforeAutospacing="0" w:after="0" w:afterAutospacing="0"/>
        <w:jc w:val="both"/>
        <w:rPr>
          <w:rFonts w:asciiTheme="majorHAnsi" w:hAnsiTheme="majorHAnsi"/>
          <w:sz w:val="20"/>
          <w:szCs w:val="20"/>
        </w:rPr>
      </w:pPr>
    </w:p>
    <w:p w14:paraId="68FACCC9" w14:textId="1FA7A1C5" w:rsidR="0083047A" w:rsidRPr="00A608EE" w:rsidRDefault="0083047A"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 / Guidance for implementation</w:t>
      </w:r>
      <w:r w:rsidRPr="00A608EE">
        <w:rPr>
          <w:b/>
          <w:bCs/>
          <w:sz w:val="20"/>
          <w:szCs w:val="20"/>
        </w:rPr>
        <w:t> </w:t>
      </w:r>
    </w:p>
    <w:p w14:paraId="788F17A1" w14:textId="77777777" w:rsidR="0083047A" w:rsidRPr="00A608EE" w:rsidRDefault="0083047A"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Distribution channels should be affordable, convenient, and reliable for all target client segments (e.g., mobile banking, smart cards/prepaid cards, points of sale, ATMs, or agents for remote areas if necessary). They should be adapted to overcome cultural, religious, and/or socio-economic barriers such as language, literacy levels, gender roles, etc. Fundación Genesis Empresarial provides</w:t>
      </w:r>
      <w:hyperlink r:id="rId156" w:tgtFrame="_blank" w:history="1">
        <w:r w:rsidRPr="00A608EE">
          <w:rPr>
            <w:rStyle w:val="Hyperlink"/>
            <w:rFonts w:asciiTheme="majorHAnsi" w:hAnsiTheme="majorHAnsi"/>
            <w:sz w:val="20"/>
            <w:szCs w:val="20"/>
          </w:rPr>
          <w:t> an example of delivery channel innovation and adaptation to reduce barriers for its clients</w:t>
        </w:r>
      </w:hyperlink>
      <w:r w:rsidRPr="00A608EE">
        <w:rPr>
          <w:rFonts w:asciiTheme="majorHAnsi" w:hAnsiTheme="majorHAnsi"/>
          <w:sz w:val="20"/>
          <w:szCs w:val="20"/>
        </w:rPr>
        <w:t>.</w:t>
      </w:r>
    </w:p>
    <w:p w14:paraId="0B40824A" w14:textId="77777777" w:rsidR="00EA460E" w:rsidRPr="00A608EE" w:rsidRDefault="00EA460E" w:rsidP="00EE208A">
      <w:pPr>
        <w:pStyle w:val="NormalWeb"/>
        <w:spacing w:before="0" w:beforeAutospacing="0" w:after="0" w:afterAutospacing="0"/>
        <w:jc w:val="both"/>
        <w:rPr>
          <w:rFonts w:asciiTheme="majorHAnsi" w:hAnsiTheme="majorHAnsi"/>
          <w:sz w:val="20"/>
          <w:szCs w:val="20"/>
        </w:rPr>
      </w:pPr>
    </w:p>
    <w:p w14:paraId="32FCA13E" w14:textId="63AD213F" w:rsidR="00EA460E" w:rsidRPr="00A608EE" w:rsidRDefault="00EA460E" w:rsidP="00EA460E">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3.B.2.2</w:t>
      </w:r>
    </w:p>
    <w:p w14:paraId="54FACE40" w14:textId="3CB6D742" w:rsidR="00C05D08" w:rsidRPr="00A608EE" w:rsidRDefault="00C05D08" w:rsidP="00A27AAA">
      <w:pPr>
        <w:pStyle w:val="ListParagraph"/>
        <w:numPr>
          <w:ilvl w:val="0"/>
          <w:numId w:val="420"/>
        </w:numPr>
        <w:spacing w:after="0"/>
        <w:ind w:left="714" w:hanging="357"/>
        <w:contextualSpacing w:val="0"/>
        <w:jc w:val="both"/>
        <w:rPr>
          <w:rFonts w:asciiTheme="majorHAnsi" w:hAnsiTheme="majorHAnsi"/>
          <w:szCs w:val="20"/>
          <w:lang w:eastAsia="fr-FR"/>
        </w:rPr>
      </w:pPr>
      <w:r w:rsidRPr="00A608EE">
        <w:rPr>
          <w:rFonts w:asciiTheme="majorHAnsi" w:hAnsiTheme="majorHAnsi"/>
          <w:b/>
          <w:bCs/>
          <w:szCs w:val="20"/>
          <w:lang w:eastAsia="fr-FR"/>
        </w:rPr>
        <w:t>DI Focus]:</w:t>
      </w:r>
      <w:r w:rsidRPr="00A608EE">
        <w:rPr>
          <w:rFonts w:asciiTheme="majorHAnsi" w:hAnsiTheme="majorHAnsi"/>
          <w:szCs w:val="20"/>
          <w:lang w:eastAsia="fr-FR"/>
        </w:rPr>
        <w:t xml:space="preserve"> </w:t>
      </w:r>
      <w:hyperlink r:id="rId157" w:history="1">
        <w:r w:rsidRPr="00A608EE">
          <w:rPr>
            <w:rStyle w:val="Hyperlink"/>
            <w:rFonts w:asciiTheme="majorHAnsi" w:hAnsiTheme="majorHAnsi"/>
            <w:szCs w:val="20"/>
            <w:lang w:eastAsia="fr-FR"/>
          </w:rPr>
          <w:t>Sightsavers’ research in Kenya identifies barriers to accessing financial services experienced by persons with disabilities in Kenya, and recommend</w:t>
        </w:r>
        <w:r w:rsidR="00B7558C" w:rsidRPr="00A608EE">
          <w:rPr>
            <w:rStyle w:val="Hyperlink"/>
            <w:rFonts w:asciiTheme="majorHAnsi" w:hAnsiTheme="majorHAnsi"/>
            <w:szCs w:val="20"/>
            <w:lang w:eastAsia="fr-FR"/>
          </w:rPr>
          <w:t>ed strategies</w:t>
        </w:r>
        <w:r w:rsidRPr="00A608EE">
          <w:rPr>
            <w:rStyle w:val="Hyperlink"/>
            <w:rFonts w:asciiTheme="majorHAnsi" w:hAnsiTheme="majorHAnsi"/>
            <w:szCs w:val="20"/>
            <w:lang w:eastAsia="fr-FR"/>
          </w:rPr>
          <w:t xml:space="preserve"> for </w:t>
        </w:r>
        <w:r w:rsidR="00B7558C" w:rsidRPr="00A608EE">
          <w:rPr>
            <w:rStyle w:val="Hyperlink"/>
            <w:rFonts w:asciiTheme="majorHAnsi" w:hAnsiTheme="majorHAnsi"/>
            <w:szCs w:val="20"/>
            <w:lang w:eastAsia="fr-FR"/>
          </w:rPr>
          <w:t>FSPs</w:t>
        </w:r>
        <w:r w:rsidRPr="00A608EE">
          <w:rPr>
            <w:rStyle w:val="Hyperlink"/>
            <w:rFonts w:asciiTheme="majorHAnsi" w:hAnsiTheme="majorHAnsi"/>
            <w:szCs w:val="20"/>
            <w:lang w:eastAsia="fr-FR"/>
          </w:rPr>
          <w:t xml:space="preserve"> to mitigate these</w:t>
        </w:r>
      </w:hyperlink>
    </w:p>
    <w:p w14:paraId="5D3D1D9B" w14:textId="5C877E08" w:rsidR="002A497A" w:rsidRPr="00A608EE" w:rsidRDefault="002A497A" w:rsidP="00A27AAA">
      <w:pPr>
        <w:pStyle w:val="NormalWeb"/>
        <w:numPr>
          <w:ilvl w:val="0"/>
          <w:numId w:val="418"/>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158" w:history="1">
        <w:r w:rsidRPr="00A608EE">
          <w:rPr>
            <w:rStyle w:val="Hyperlink"/>
            <w:rFonts w:asciiTheme="majorHAnsi" w:hAnsiTheme="majorHAnsi"/>
            <w:sz w:val="20"/>
            <w:szCs w:val="20"/>
          </w:rPr>
          <w:t>World Blind Union and CBM, ‘Accessibility GO! A Guide to Action, Delivering on 7 accessibility commitments’: Practical guidance for a whole-of-organisation approach towards accessibility and inclusion</w:t>
        </w:r>
      </w:hyperlink>
    </w:p>
    <w:p w14:paraId="75D512FA" w14:textId="713015CC" w:rsidR="00EA460E" w:rsidRPr="00A608EE" w:rsidRDefault="00EA460E" w:rsidP="00A27AAA">
      <w:pPr>
        <w:pStyle w:val="NormalWeb"/>
        <w:numPr>
          <w:ilvl w:val="0"/>
          <w:numId w:val="418"/>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159" w:history="1">
        <w:r w:rsidR="00CA2A7A" w:rsidRPr="00A608EE">
          <w:rPr>
            <w:rStyle w:val="Hyperlink"/>
            <w:rFonts w:asciiTheme="majorHAnsi" w:hAnsiTheme="majorHAnsi"/>
            <w:sz w:val="20"/>
            <w:szCs w:val="20"/>
          </w:rPr>
          <w:t xml:space="preserve">Asian Development Bank (ADB) </w:t>
        </w:r>
        <w:r w:rsidR="002A497A" w:rsidRPr="00A608EE">
          <w:rPr>
            <w:rStyle w:val="Hyperlink"/>
            <w:rFonts w:asciiTheme="majorHAnsi" w:hAnsiTheme="majorHAnsi"/>
            <w:sz w:val="20"/>
            <w:szCs w:val="20"/>
          </w:rPr>
          <w:t>Physical Accessibility Audit Toolkit for Existing Bank Branches and Offices</w:t>
        </w:r>
      </w:hyperlink>
    </w:p>
    <w:p w14:paraId="6A1B0DEA" w14:textId="6D2A5BCF" w:rsidR="00CA2A7A" w:rsidRPr="00A608EE" w:rsidRDefault="00CA2A7A" w:rsidP="00A27AAA">
      <w:pPr>
        <w:pStyle w:val="ListParagraph"/>
        <w:numPr>
          <w:ilvl w:val="0"/>
          <w:numId w:val="418"/>
        </w:numPr>
        <w:spacing w:after="0"/>
        <w:ind w:left="714" w:hanging="357"/>
        <w:contextualSpacing w:val="0"/>
        <w:rPr>
          <w:rFonts w:asciiTheme="majorHAnsi" w:eastAsia="Times New Roman" w:hAnsiTheme="majorHAnsi" w:cs="Times New Roman"/>
          <w:szCs w:val="20"/>
          <w:lang w:eastAsia="fr-FR"/>
        </w:rPr>
      </w:pPr>
      <w:r w:rsidRPr="00A608EE">
        <w:rPr>
          <w:rFonts w:asciiTheme="majorHAnsi" w:hAnsiTheme="majorHAnsi"/>
          <w:b/>
          <w:bCs/>
          <w:szCs w:val="20"/>
        </w:rPr>
        <w:t xml:space="preserve">[DI Focus]: </w:t>
      </w:r>
      <w:hyperlink r:id="rId160" w:history="1">
        <w:r w:rsidRPr="00A608EE">
          <w:rPr>
            <w:rStyle w:val="Hyperlink"/>
            <w:rFonts w:asciiTheme="majorHAnsi" w:eastAsia="Times New Roman" w:hAnsiTheme="majorHAnsi" w:cs="Times New Roman"/>
            <w:szCs w:val="20"/>
            <w:lang w:eastAsia="fr-FR"/>
          </w:rPr>
          <w:t>Light for the World (LFTW) ‘Resource book on disability inclusion’: includes an example of a non-technical physical accessibility assessment form, and guidance (pages 47-50).</w:t>
        </w:r>
      </w:hyperlink>
    </w:p>
    <w:p w14:paraId="7580C458" w14:textId="1BD67A94" w:rsidR="00CA2A7A" w:rsidRPr="00A608EE" w:rsidRDefault="00CA2A7A" w:rsidP="00A27AAA">
      <w:pPr>
        <w:pStyle w:val="NormalWeb"/>
        <w:numPr>
          <w:ilvl w:val="0"/>
          <w:numId w:val="418"/>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 xml:space="preserve">[DI Focus]: </w:t>
      </w:r>
      <w:hyperlink r:id="rId161" w:history="1">
        <w:r w:rsidR="002A497A" w:rsidRPr="00A608EE">
          <w:rPr>
            <w:rStyle w:val="Hyperlink"/>
            <w:rFonts w:asciiTheme="majorHAnsi" w:hAnsiTheme="majorHAnsi"/>
            <w:sz w:val="20"/>
            <w:szCs w:val="20"/>
          </w:rPr>
          <w:t xml:space="preserve">The Web Content Accessibility Guidelines (WCAG), developed by the World Wide Web Consortium (W3C): </w:t>
        </w:r>
        <w:r w:rsidR="001A4B53" w:rsidRPr="00A608EE">
          <w:rPr>
            <w:rStyle w:val="Hyperlink"/>
            <w:rFonts w:asciiTheme="majorHAnsi" w:hAnsiTheme="majorHAnsi"/>
            <w:sz w:val="20"/>
            <w:szCs w:val="20"/>
          </w:rPr>
          <w:t xml:space="preserve">the WC3 </w:t>
        </w:r>
        <w:r w:rsidR="002A497A" w:rsidRPr="00A608EE">
          <w:rPr>
            <w:rStyle w:val="Hyperlink"/>
            <w:rFonts w:asciiTheme="majorHAnsi" w:hAnsiTheme="majorHAnsi"/>
            <w:sz w:val="20"/>
            <w:szCs w:val="20"/>
          </w:rPr>
          <w:t>website providing comprehensive information, guidance, resources and training materials on the WCAG</w:t>
        </w:r>
      </w:hyperlink>
    </w:p>
    <w:p w14:paraId="06C29657" w14:textId="5467007D" w:rsidR="004148DE" w:rsidRPr="00A608EE" w:rsidRDefault="00CA2A7A" w:rsidP="00A27AAA">
      <w:pPr>
        <w:pStyle w:val="ListParagraph"/>
        <w:numPr>
          <w:ilvl w:val="0"/>
          <w:numId w:val="418"/>
        </w:numPr>
        <w:rPr>
          <w:rFonts w:asciiTheme="majorHAnsi" w:eastAsia="Times New Roman" w:hAnsiTheme="majorHAnsi" w:cs="Times New Roman"/>
          <w:b/>
          <w:bCs/>
          <w:szCs w:val="20"/>
          <w:lang w:eastAsia="fr-FR"/>
        </w:rPr>
      </w:pPr>
      <w:r w:rsidRPr="00A608EE">
        <w:rPr>
          <w:rFonts w:asciiTheme="majorHAnsi" w:hAnsiTheme="majorHAnsi"/>
          <w:b/>
          <w:bCs/>
          <w:szCs w:val="20"/>
        </w:rPr>
        <w:t xml:space="preserve">[DI Focus]: </w:t>
      </w:r>
      <w:hyperlink r:id="rId162" w:history="1">
        <w:r w:rsidRPr="00A608EE">
          <w:rPr>
            <w:rStyle w:val="Hyperlink"/>
            <w:rFonts w:asciiTheme="majorHAnsi" w:hAnsiTheme="majorHAnsi"/>
            <w:szCs w:val="20"/>
          </w:rPr>
          <w:t>W3C</w:t>
        </w:r>
        <w:r w:rsidR="004148DE" w:rsidRPr="00A608EE">
          <w:rPr>
            <w:rStyle w:val="Hyperlink"/>
            <w:rFonts w:asciiTheme="majorHAnsi" w:hAnsiTheme="majorHAnsi"/>
            <w:szCs w:val="20"/>
          </w:rPr>
          <w:t xml:space="preserve">: </w:t>
        </w:r>
        <w:r w:rsidRPr="00A608EE">
          <w:rPr>
            <w:rStyle w:val="Hyperlink"/>
            <w:rFonts w:asciiTheme="majorHAnsi" w:hAnsiTheme="majorHAnsi"/>
            <w:szCs w:val="20"/>
          </w:rPr>
          <w:t xml:space="preserve">Easy </w:t>
        </w:r>
        <w:r w:rsidR="004148DE" w:rsidRPr="00A608EE">
          <w:rPr>
            <w:rStyle w:val="Hyperlink"/>
            <w:rFonts w:asciiTheme="majorHAnsi" w:hAnsiTheme="majorHAnsi"/>
            <w:szCs w:val="20"/>
          </w:rPr>
          <w:t>c</w:t>
        </w:r>
        <w:r w:rsidRPr="00A608EE">
          <w:rPr>
            <w:rStyle w:val="Hyperlink"/>
            <w:rFonts w:asciiTheme="majorHAnsi" w:hAnsiTheme="majorHAnsi"/>
            <w:szCs w:val="20"/>
          </w:rPr>
          <w:t xml:space="preserve">hecks </w:t>
        </w:r>
        <w:r w:rsidR="004148DE" w:rsidRPr="00A608EE">
          <w:rPr>
            <w:rStyle w:val="Hyperlink"/>
            <w:rFonts w:asciiTheme="majorHAnsi" w:hAnsiTheme="majorHAnsi"/>
            <w:szCs w:val="20"/>
          </w:rPr>
          <w:t>for w</w:t>
        </w:r>
        <w:r w:rsidRPr="00A608EE">
          <w:rPr>
            <w:rStyle w:val="Hyperlink"/>
            <w:rFonts w:asciiTheme="majorHAnsi" w:hAnsiTheme="majorHAnsi"/>
            <w:szCs w:val="20"/>
          </w:rPr>
          <w:t xml:space="preserve">eb </w:t>
        </w:r>
        <w:r w:rsidR="004148DE" w:rsidRPr="00A608EE">
          <w:rPr>
            <w:rStyle w:val="Hyperlink"/>
            <w:rFonts w:asciiTheme="majorHAnsi" w:hAnsiTheme="majorHAnsi"/>
            <w:szCs w:val="20"/>
          </w:rPr>
          <w:t>a</w:t>
        </w:r>
        <w:r w:rsidRPr="00A608EE">
          <w:rPr>
            <w:rStyle w:val="Hyperlink"/>
            <w:rFonts w:asciiTheme="majorHAnsi" w:hAnsiTheme="majorHAnsi"/>
            <w:szCs w:val="20"/>
          </w:rPr>
          <w:t>ccessibility</w:t>
        </w:r>
        <w:r w:rsidR="004148DE" w:rsidRPr="00A608EE">
          <w:rPr>
            <w:rStyle w:val="Hyperlink"/>
            <w:rFonts w:asciiTheme="majorHAnsi" w:hAnsiTheme="majorHAnsi"/>
            <w:szCs w:val="20"/>
          </w:rPr>
          <w:t xml:space="preserve"> </w:t>
        </w:r>
        <w:r w:rsidR="002A497A" w:rsidRPr="00A608EE">
          <w:rPr>
            <w:rStyle w:val="Hyperlink"/>
            <w:rFonts w:asciiTheme="majorHAnsi" w:eastAsia="Times New Roman" w:hAnsiTheme="majorHAnsi" w:cs="Times New Roman"/>
            <w:szCs w:val="20"/>
            <w:lang w:eastAsia="fr-FR"/>
          </w:rPr>
          <w:t>which</w:t>
        </w:r>
        <w:r w:rsidR="004148DE" w:rsidRPr="00A608EE">
          <w:rPr>
            <w:rStyle w:val="Hyperlink"/>
            <w:rFonts w:asciiTheme="majorHAnsi" w:eastAsia="Times New Roman" w:hAnsiTheme="majorHAnsi" w:cs="Times New Roman"/>
            <w:szCs w:val="20"/>
            <w:lang w:eastAsia="fr-FR"/>
          </w:rPr>
          <w:t xml:space="preserve"> can be </w:t>
        </w:r>
        <w:r w:rsidR="002A497A" w:rsidRPr="00A608EE">
          <w:rPr>
            <w:rStyle w:val="Hyperlink"/>
            <w:rFonts w:asciiTheme="majorHAnsi" w:eastAsia="Times New Roman" w:hAnsiTheme="majorHAnsi" w:cs="Times New Roman"/>
            <w:szCs w:val="20"/>
            <w:lang w:eastAsia="fr-FR"/>
          </w:rPr>
          <w:t>carried out</w:t>
        </w:r>
        <w:r w:rsidR="004148DE" w:rsidRPr="00A608EE">
          <w:rPr>
            <w:rStyle w:val="Hyperlink"/>
            <w:rFonts w:asciiTheme="majorHAnsi" w:eastAsia="Times New Roman" w:hAnsiTheme="majorHAnsi" w:cs="Times New Roman"/>
            <w:szCs w:val="20"/>
            <w:lang w:eastAsia="fr-FR"/>
          </w:rPr>
          <w:t xml:space="preserve"> by non-technical users</w:t>
        </w:r>
      </w:hyperlink>
    </w:p>
    <w:p w14:paraId="795FC23B" w14:textId="1BCCDB02" w:rsidR="00CA2A7A" w:rsidRPr="00A608EE" w:rsidRDefault="004148DE" w:rsidP="00A27AAA">
      <w:pPr>
        <w:pStyle w:val="ListParagraph"/>
        <w:numPr>
          <w:ilvl w:val="0"/>
          <w:numId w:val="418"/>
        </w:numPr>
        <w:rPr>
          <w:rFonts w:asciiTheme="majorHAnsi" w:eastAsia="Times New Roman" w:hAnsiTheme="majorHAnsi" w:cs="Times New Roman"/>
          <w:b/>
          <w:bCs/>
          <w:szCs w:val="20"/>
          <w:lang w:eastAsia="fr-FR"/>
        </w:rPr>
      </w:pPr>
      <w:r w:rsidRPr="00A608EE">
        <w:rPr>
          <w:rFonts w:asciiTheme="majorHAnsi" w:eastAsia="Times New Roman" w:hAnsiTheme="majorHAnsi" w:cs="Times New Roman"/>
          <w:b/>
          <w:bCs/>
          <w:szCs w:val="20"/>
          <w:lang w:eastAsia="fr-FR"/>
        </w:rPr>
        <w:t xml:space="preserve">[DI Focus]: </w:t>
      </w:r>
      <w:hyperlink r:id="rId163" w:history="1">
        <w:r w:rsidRPr="00A608EE">
          <w:rPr>
            <w:rStyle w:val="Hyperlink"/>
            <w:rFonts w:asciiTheme="majorHAnsi" w:eastAsia="Times New Roman" w:hAnsiTheme="majorHAnsi" w:cs="Times New Roman"/>
            <w:szCs w:val="20"/>
            <w:lang w:eastAsia="fr-FR"/>
          </w:rPr>
          <w:t>W3C: Tips for designing, writing, and developing accessible web content</w:t>
        </w:r>
      </w:hyperlink>
    </w:p>
    <w:p w14:paraId="2F4CC4F6" w14:textId="77777777" w:rsidR="00794B11" w:rsidRPr="00A608EE" w:rsidRDefault="00794B11" w:rsidP="00EE208A">
      <w:pPr>
        <w:pStyle w:val="NormalWeb"/>
        <w:spacing w:before="0" w:beforeAutospacing="0" w:after="0" w:afterAutospacing="0"/>
        <w:jc w:val="both"/>
        <w:rPr>
          <w:rFonts w:asciiTheme="majorHAnsi" w:hAnsiTheme="majorHAnsi"/>
          <w:sz w:val="20"/>
          <w:szCs w:val="20"/>
        </w:rPr>
      </w:pPr>
    </w:p>
    <w:p w14:paraId="28A34619" w14:textId="55D5E166" w:rsidR="003C40FB" w:rsidRPr="00A608EE" w:rsidRDefault="003C40FB" w:rsidP="00EE208A">
      <w:pPr>
        <w:pStyle w:val="Heading3"/>
        <w:spacing w:before="0" w:line="240" w:lineRule="auto"/>
        <w:jc w:val="both"/>
      </w:pPr>
      <w:bookmarkStart w:id="60" w:name="_Toc230938792"/>
      <w:r w:rsidRPr="00A608EE">
        <w:rPr>
          <w:rStyle w:val="text-primary"/>
        </w:rPr>
        <w:t xml:space="preserve">3.B.3 </w:t>
      </w:r>
      <w:r w:rsidR="0083047A" w:rsidRPr="00A608EE">
        <w:t>The provider's products, services, and channels protect clients from harm</w:t>
      </w:r>
      <w:r w:rsidR="007268C4" w:rsidRPr="00A608EE">
        <w:t>.</w:t>
      </w:r>
      <w:bookmarkEnd w:id="60"/>
    </w:p>
    <w:p w14:paraId="78E73F74" w14:textId="77777777" w:rsidR="00B5313C" w:rsidRPr="00A608EE" w:rsidRDefault="00B5313C" w:rsidP="00EE208A">
      <w:pPr>
        <w:jc w:val="both"/>
        <w:rPr>
          <w:rFonts w:asciiTheme="majorHAnsi" w:hAnsiTheme="majorHAnsi"/>
          <w:szCs w:val="20"/>
        </w:rPr>
      </w:pPr>
    </w:p>
    <w:p w14:paraId="1AE1B70A" w14:textId="77777777" w:rsidR="0083047A" w:rsidRPr="00A608EE" w:rsidRDefault="0083047A" w:rsidP="00EE208A">
      <w:pPr>
        <w:jc w:val="both"/>
        <w:rPr>
          <w:rFonts w:asciiTheme="majorHAnsi" w:hAnsiTheme="majorHAnsi"/>
          <w:sz w:val="20"/>
          <w:szCs w:val="20"/>
          <w:lang w:eastAsia="fr-FR"/>
        </w:rPr>
      </w:pPr>
      <w:bookmarkStart w:id="61" w:name="_Hlk202364822"/>
      <w:r w:rsidRPr="00A608EE">
        <w:rPr>
          <w:rFonts w:asciiTheme="majorHAnsi" w:hAnsiTheme="majorHAnsi"/>
          <w:sz w:val="20"/>
          <w:szCs w:val="20"/>
          <w:lang w:eastAsia="fr-FR"/>
        </w:rPr>
        <w:t>Providers should take care to ensure that their products, services and distribution channels protect clients from harm. Some of the key areas to review to ensure they are aligned with best practices for client protection include:</w:t>
      </w:r>
    </w:p>
    <w:p w14:paraId="6037B107" w14:textId="77777777" w:rsidR="0083047A" w:rsidRPr="00A608EE" w:rsidRDefault="0083047A" w:rsidP="00A27AAA">
      <w:pPr>
        <w:numPr>
          <w:ilvl w:val="0"/>
          <w:numId w:val="185"/>
        </w:numPr>
        <w:jc w:val="both"/>
        <w:rPr>
          <w:rFonts w:asciiTheme="majorHAnsi" w:hAnsiTheme="majorHAnsi"/>
          <w:sz w:val="20"/>
          <w:szCs w:val="20"/>
          <w:lang w:eastAsia="fr-FR"/>
        </w:rPr>
      </w:pPr>
      <w:r w:rsidRPr="00A608EE">
        <w:rPr>
          <w:rFonts w:asciiTheme="majorHAnsi" w:hAnsiTheme="majorHAnsi"/>
          <w:sz w:val="20"/>
          <w:szCs w:val="20"/>
          <w:lang w:eastAsia="fr-FR"/>
        </w:rPr>
        <w:t>Repayment schedules</w:t>
      </w:r>
    </w:p>
    <w:p w14:paraId="538F54CD" w14:textId="77777777" w:rsidR="0083047A" w:rsidRPr="00A608EE" w:rsidRDefault="0083047A" w:rsidP="00A27AAA">
      <w:pPr>
        <w:numPr>
          <w:ilvl w:val="0"/>
          <w:numId w:val="185"/>
        </w:numPr>
        <w:jc w:val="both"/>
        <w:rPr>
          <w:rFonts w:asciiTheme="majorHAnsi" w:hAnsiTheme="majorHAnsi"/>
          <w:sz w:val="20"/>
          <w:szCs w:val="20"/>
          <w:lang w:eastAsia="fr-FR"/>
        </w:rPr>
      </w:pPr>
      <w:r w:rsidRPr="00A608EE">
        <w:rPr>
          <w:rFonts w:asciiTheme="majorHAnsi" w:hAnsiTheme="majorHAnsi"/>
          <w:sz w:val="20"/>
          <w:szCs w:val="20"/>
          <w:lang w:eastAsia="fr-FR"/>
        </w:rPr>
        <w:t>Collateral and guarantor requirements</w:t>
      </w:r>
    </w:p>
    <w:p w14:paraId="3CB50E98" w14:textId="77777777" w:rsidR="0083047A" w:rsidRPr="00A608EE" w:rsidRDefault="0083047A" w:rsidP="00A27AAA">
      <w:pPr>
        <w:numPr>
          <w:ilvl w:val="0"/>
          <w:numId w:val="185"/>
        </w:numPr>
        <w:jc w:val="both"/>
        <w:rPr>
          <w:rFonts w:asciiTheme="majorHAnsi" w:hAnsiTheme="majorHAnsi"/>
          <w:sz w:val="20"/>
          <w:szCs w:val="20"/>
          <w:lang w:eastAsia="fr-FR"/>
        </w:rPr>
      </w:pPr>
      <w:r w:rsidRPr="00A608EE">
        <w:rPr>
          <w:rFonts w:asciiTheme="majorHAnsi" w:hAnsiTheme="majorHAnsi"/>
          <w:sz w:val="20"/>
          <w:szCs w:val="20"/>
          <w:lang w:eastAsia="fr-FR"/>
        </w:rPr>
        <w:t>Currency risk</w:t>
      </w:r>
    </w:p>
    <w:p w14:paraId="08FDBA0F" w14:textId="77777777" w:rsidR="0083047A" w:rsidRPr="00A608EE" w:rsidRDefault="0083047A" w:rsidP="00A27AAA">
      <w:pPr>
        <w:numPr>
          <w:ilvl w:val="0"/>
          <w:numId w:val="185"/>
        </w:numPr>
        <w:jc w:val="both"/>
        <w:rPr>
          <w:rFonts w:asciiTheme="majorHAnsi" w:hAnsiTheme="majorHAnsi"/>
          <w:sz w:val="20"/>
          <w:szCs w:val="20"/>
          <w:lang w:eastAsia="fr-FR"/>
        </w:rPr>
      </w:pPr>
      <w:r w:rsidRPr="00A608EE">
        <w:rPr>
          <w:rFonts w:asciiTheme="majorHAnsi" w:hAnsiTheme="majorHAnsi"/>
          <w:sz w:val="20"/>
          <w:szCs w:val="20"/>
          <w:lang w:eastAsia="fr-FR"/>
        </w:rPr>
        <w:t>Social risks</w:t>
      </w:r>
    </w:p>
    <w:p w14:paraId="08D786F4" w14:textId="77777777" w:rsidR="0083047A" w:rsidRPr="00A608EE" w:rsidRDefault="0083047A" w:rsidP="00A27AAA">
      <w:pPr>
        <w:numPr>
          <w:ilvl w:val="0"/>
          <w:numId w:val="185"/>
        </w:numPr>
        <w:jc w:val="both"/>
        <w:rPr>
          <w:rFonts w:asciiTheme="majorHAnsi" w:hAnsiTheme="majorHAnsi"/>
          <w:sz w:val="20"/>
          <w:szCs w:val="20"/>
          <w:lang w:eastAsia="fr-FR"/>
        </w:rPr>
      </w:pPr>
      <w:r w:rsidRPr="00A608EE">
        <w:rPr>
          <w:rFonts w:asciiTheme="majorHAnsi" w:hAnsiTheme="majorHAnsi"/>
          <w:sz w:val="20"/>
          <w:szCs w:val="20"/>
          <w:lang w:eastAsia="fr-FR"/>
        </w:rPr>
        <w:t>Voluntary insurance</w:t>
      </w:r>
    </w:p>
    <w:p w14:paraId="4F60E647" w14:textId="77777777" w:rsidR="0083047A" w:rsidRPr="00A608EE" w:rsidRDefault="0083047A" w:rsidP="00A27AAA">
      <w:pPr>
        <w:numPr>
          <w:ilvl w:val="0"/>
          <w:numId w:val="185"/>
        </w:numPr>
        <w:jc w:val="both"/>
        <w:rPr>
          <w:rFonts w:asciiTheme="majorHAnsi" w:hAnsiTheme="majorHAnsi"/>
          <w:sz w:val="20"/>
          <w:szCs w:val="20"/>
          <w:lang w:eastAsia="fr-FR"/>
        </w:rPr>
      </w:pPr>
      <w:r w:rsidRPr="00A608EE">
        <w:rPr>
          <w:rFonts w:asciiTheme="majorHAnsi" w:hAnsiTheme="majorHAnsi"/>
          <w:sz w:val="20"/>
          <w:szCs w:val="20"/>
          <w:lang w:eastAsia="fr-FR"/>
        </w:rPr>
        <w:t>Monitoring of agent networks and digital channels</w:t>
      </w:r>
    </w:p>
    <w:p w14:paraId="11CF5718" w14:textId="77777777" w:rsidR="0083047A" w:rsidRPr="00A608EE" w:rsidRDefault="0083047A" w:rsidP="00EE208A">
      <w:pPr>
        <w:jc w:val="both"/>
        <w:rPr>
          <w:rFonts w:asciiTheme="majorHAnsi" w:hAnsiTheme="majorHAnsi"/>
          <w:b/>
          <w:bCs/>
          <w:sz w:val="20"/>
          <w:szCs w:val="20"/>
          <w:lang w:eastAsia="fr-FR"/>
        </w:rPr>
      </w:pPr>
    </w:p>
    <w:p w14:paraId="536F0F01" w14:textId="3E9FC181" w:rsidR="0083047A" w:rsidRPr="00A608EE" w:rsidRDefault="0083047A"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Repayment schedules</w:t>
      </w:r>
    </w:p>
    <w:p w14:paraId="669F71B4" w14:textId="77777777"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Repayment schedules should match the cash flows of target clients and their type of business. If repayment schedules are not aligned with the clients’ business cash flow and returns, the clients may be unable to pay on time, and suffer harm as a result of penalties, negative credit bureau reporting, and they may even fall into over-indebtedness. This does not only concern agricultural loans. Flexible repayment schedules are required for all clients to account for any kind of seasonality of income that may happen in any business or household.</w:t>
      </w:r>
    </w:p>
    <w:p w14:paraId="71C21B57" w14:textId="77777777" w:rsidR="0083047A" w:rsidRPr="00A608EE" w:rsidRDefault="0083047A" w:rsidP="00EE208A">
      <w:pPr>
        <w:jc w:val="both"/>
        <w:rPr>
          <w:rFonts w:asciiTheme="majorHAnsi" w:hAnsiTheme="majorHAnsi"/>
          <w:b/>
          <w:bCs/>
          <w:sz w:val="20"/>
          <w:szCs w:val="20"/>
          <w:lang w:eastAsia="fr-FR"/>
        </w:rPr>
      </w:pPr>
    </w:p>
    <w:p w14:paraId="4F5A805E" w14:textId="77777777" w:rsidR="00571480" w:rsidRPr="00A608EE" w:rsidRDefault="00571480" w:rsidP="00EE208A">
      <w:pPr>
        <w:jc w:val="both"/>
        <w:rPr>
          <w:rFonts w:asciiTheme="majorHAnsi" w:hAnsiTheme="majorHAnsi"/>
          <w:b/>
          <w:bCs/>
          <w:sz w:val="20"/>
          <w:szCs w:val="20"/>
          <w:lang w:eastAsia="fr-FR"/>
        </w:rPr>
      </w:pPr>
    </w:p>
    <w:p w14:paraId="13C47A69" w14:textId="77777777" w:rsidR="00571480" w:rsidRPr="00A608EE" w:rsidRDefault="00571480" w:rsidP="00EE208A">
      <w:pPr>
        <w:jc w:val="both"/>
        <w:rPr>
          <w:rFonts w:asciiTheme="majorHAnsi" w:hAnsiTheme="majorHAnsi"/>
          <w:b/>
          <w:bCs/>
          <w:sz w:val="20"/>
          <w:szCs w:val="20"/>
          <w:lang w:eastAsia="fr-FR"/>
        </w:rPr>
      </w:pPr>
    </w:p>
    <w:p w14:paraId="0DD9E627" w14:textId="5DFB7BAD" w:rsidR="0083047A" w:rsidRPr="00A608EE" w:rsidRDefault="0083047A"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Guarantee/collateral requirements:</w:t>
      </w:r>
    </w:p>
    <w:p w14:paraId="7B5F1EE3" w14:textId="77777777"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A policy based on local norms should describe acceptable and unacceptable pledges of collateral and provide clear guidelines for how collateral is registered and valued. Such policy should not accept collateral items that would create severe hardship or affect the client’s earning ability or deprive the clients from essential needs. The collateral value should be based on a verifiable market price/resale value, verified by a manager or credit committee. The collateral value should not be excessive as regards to the loan amount. If clients have no asset to offer as collateral, alternative ways to guarantee their loans are required like guarantor, pledge on vehicle, etc.</w:t>
      </w:r>
    </w:p>
    <w:p w14:paraId="5595C095" w14:textId="77777777" w:rsidR="0083047A" w:rsidRPr="00A608EE" w:rsidRDefault="0083047A" w:rsidP="00EE208A">
      <w:pPr>
        <w:jc w:val="both"/>
        <w:rPr>
          <w:rFonts w:asciiTheme="majorHAnsi" w:hAnsiTheme="majorHAnsi"/>
          <w:b/>
          <w:bCs/>
          <w:sz w:val="20"/>
          <w:szCs w:val="20"/>
          <w:lang w:eastAsia="fr-FR"/>
        </w:rPr>
      </w:pPr>
    </w:p>
    <w:p w14:paraId="0B30D790" w14:textId="5A4CF667" w:rsidR="0083047A" w:rsidRPr="00A608EE" w:rsidRDefault="0083047A"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Currency Risk</w:t>
      </w:r>
    </w:p>
    <w:p w14:paraId="6BCA74C5" w14:textId="77777777"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Managing foreign exchange (“FX”) rate risk is a complex task, but it is important to protect clients from FX risk to the extent possible. Currency mismatch occurs when the provider holds loan assets denominated in the local currency, but has hard currency debt financing on its balance sheet. In this scenario, providers may pass on currency risk by lending in hard currency to their customers or by indexing their lending interest rates to a given foreign exchange rate. However, because borrowers face higher than expected repayment amounts if the local currency is devalued and could suffer harm, providers should consider carefully other options to mitigate this risk before passing it on to clients.</w:t>
      </w:r>
    </w:p>
    <w:p w14:paraId="72FAD1BB" w14:textId="77777777" w:rsidR="0083047A" w:rsidRPr="00A608EE" w:rsidRDefault="0083047A" w:rsidP="00EE208A">
      <w:pPr>
        <w:jc w:val="both"/>
        <w:rPr>
          <w:rFonts w:asciiTheme="majorHAnsi" w:hAnsiTheme="majorHAnsi"/>
          <w:sz w:val="20"/>
          <w:szCs w:val="20"/>
          <w:lang w:eastAsia="fr-FR"/>
        </w:rPr>
      </w:pPr>
    </w:p>
    <w:p w14:paraId="50EE9204" w14:textId="6BCB57F9"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The most direct way to protect clients from FX risk is to lend to them in local currency to the greatest extent possible. Protecting the provider against FX risk is also essential to safeguarding clients. If the provider borrows funds in hard currency, it develop closely monitor and assesses the FX exposure, supplemented by currency hedging without involving clients. The key ratio to monitor is the Foreign Exchange Risk (FER) Ratio, which calculates exposure to currency fluctuations using assets and liabilities, according to the following formula:</w:t>
      </w:r>
      <w:r w:rsidRPr="00A608EE">
        <w:rPr>
          <w:rFonts w:asciiTheme="majorHAnsi" w:hAnsiTheme="majorHAnsi"/>
          <w:sz w:val="20"/>
          <w:szCs w:val="20"/>
          <w:lang w:eastAsia="fr-FR"/>
        </w:rPr>
        <w:br/>
        <w:t>(Total Hard-currency Assets – Total Hard-currency Liabilities) / Total Net Assets</w:t>
      </w:r>
    </w:p>
    <w:p w14:paraId="2D71FE8E" w14:textId="77777777" w:rsidR="0083047A" w:rsidRPr="00A608EE" w:rsidRDefault="0083047A" w:rsidP="00EE208A">
      <w:pPr>
        <w:jc w:val="both"/>
        <w:rPr>
          <w:rFonts w:asciiTheme="majorHAnsi" w:hAnsiTheme="majorHAnsi"/>
          <w:sz w:val="20"/>
          <w:szCs w:val="20"/>
          <w:lang w:eastAsia="fr-FR"/>
        </w:rPr>
      </w:pPr>
    </w:p>
    <w:p w14:paraId="6B648562" w14:textId="093F6C14"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A higher ratio reflects a higher proportion of hard-currency assets relative to hard-currency liabilities, and therefore less vulnerability to currency fluctuations. The provider should set a target range for its FER ratio and then closely monitor its balance sheet to gauge its risk exposure. It can reduce FX risks by:</w:t>
      </w:r>
    </w:p>
    <w:p w14:paraId="0A5DE9F4" w14:textId="77777777" w:rsidR="0083047A" w:rsidRPr="00A608EE" w:rsidRDefault="0083047A" w:rsidP="00A27AAA">
      <w:pPr>
        <w:numPr>
          <w:ilvl w:val="0"/>
          <w:numId w:val="186"/>
        </w:numPr>
        <w:jc w:val="both"/>
        <w:rPr>
          <w:rFonts w:asciiTheme="majorHAnsi" w:hAnsiTheme="majorHAnsi"/>
          <w:sz w:val="20"/>
          <w:szCs w:val="20"/>
          <w:lang w:eastAsia="fr-FR"/>
        </w:rPr>
      </w:pPr>
      <w:r w:rsidRPr="00A608EE">
        <w:rPr>
          <w:rFonts w:asciiTheme="majorHAnsi" w:hAnsiTheme="majorHAnsi"/>
          <w:sz w:val="20"/>
          <w:szCs w:val="20"/>
          <w:lang w:eastAsia="fr-FR"/>
        </w:rPr>
        <w:t>Maintaining a hard-currency deposit account (including setting a minimum hard-currency cash reserve threshold relative to hard-currency liabilities).</w:t>
      </w:r>
    </w:p>
    <w:p w14:paraId="4FE4F81A" w14:textId="77777777" w:rsidR="0083047A" w:rsidRPr="00A608EE" w:rsidRDefault="0083047A" w:rsidP="00A27AAA">
      <w:pPr>
        <w:numPr>
          <w:ilvl w:val="0"/>
          <w:numId w:val="186"/>
        </w:numPr>
        <w:jc w:val="both"/>
        <w:rPr>
          <w:rFonts w:asciiTheme="majorHAnsi" w:hAnsiTheme="majorHAnsi"/>
          <w:sz w:val="20"/>
          <w:szCs w:val="20"/>
          <w:lang w:eastAsia="fr-FR"/>
        </w:rPr>
      </w:pPr>
      <w:r w:rsidRPr="00A608EE">
        <w:rPr>
          <w:rFonts w:asciiTheme="majorHAnsi" w:hAnsiTheme="majorHAnsi"/>
          <w:sz w:val="20"/>
          <w:szCs w:val="20"/>
          <w:lang w:eastAsia="fr-FR"/>
        </w:rPr>
        <w:t>Borrowing in local instead of hard currency whenever possible, even if local rates are somewhat higher, including drawing on a local line of credit for short-term needs.</w:t>
      </w:r>
    </w:p>
    <w:p w14:paraId="1E0EDBB5" w14:textId="77777777" w:rsidR="0083047A" w:rsidRPr="00A608EE" w:rsidRDefault="0083047A" w:rsidP="00A27AAA">
      <w:pPr>
        <w:numPr>
          <w:ilvl w:val="0"/>
          <w:numId w:val="186"/>
        </w:numPr>
        <w:jc w:val="both"/>
        <w:rPr>
          <w:rFonts w:asciiTheme="majorHAnsi" w:hAnsiTheme="majorHAnsi"/>
          <w:sz w:val="20"/>
          <w:szCs w:val="20"/>
          <w:lang w:eastAsia="fr-FR"/>
        </w:rPr>
      </w:pPr>
      <w:r w:rsidRPr="00A608EE">
        <w:rPr>
          <w:rFonts w:asciiTheme="majorHAnsi" w:hAnsiTheme="majorHAnsi"/>
          <w:sz w:val="20"/>
          <w:szCs w:val="20"/>
          <w:lang w:eastAsia="fr-FR"/>
        </w:rPr>
        <w:t>Engaging in “back-to-back borrowing,” in which the provider proceeds from a hard-currency loan into a hard currency account at a local bank, which then serves as collateral for a local currency loan.</w:t>
      </w:r>
    </w:p>
    <w:p w14:paraId="320668BD" w14:textId="77777777" w:rsidR="0083047A" w:rsidRPr="00A608EE" w:rsidRDefault="0083047A" w:rsidP="00EE208A">
      <w:pPr>
        <w:jc w:val="both"/>
        <w:rPr>
          <w:rFonts w:asciiTheme="majorHAnsi" w:hAnsiTheme="majorHAnsi"/>
          <w:sz w:val="20"/>
          <w:szCs w:val="20"/>
          <w:lang w:eastAsia="fr-FR"/>
        </w:rPr>
      </w:pPr>
    </w:p>
    <w:p w14:paraId="3B0F7590" w14:textId="6D09F4EF"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If the provider passes the FX risk on to clients by lending in hard currency, it must inform clients of the risk using cost scenarios that help them understand how much more they will pay if the local currency is devalued. Friendship Bridge in Guatemala offers an </w:t>
      </w:r>
      <w:hyperlink r:id="rId164" w:tgtFrame="_blank" w:history="1">
        <w:r w:rsidRPr="00A608EE">
          <w:rPr>
            <w:rStyle w:val="Hyperlink"/>
            <w:rFonts w:asciiTheme="majorHAnsi" w:hAnsiTheme="majorHAnsi"/>
            <w:sz w:val="20"/>
            <w:szCs w:val="20"/>
            <w:lang w:eastAsia="fr-FR"/>
          </w:rPr>
          <w:t>example of how to manage FX risk responsibly while minimizing risks to clients</w:t>
        </w:r>
      </w:hyperlink>
      <w:r w:rsidRPr="00A608EE">
        <w:rPr>
          <w:rFonts w:asciiTheme="majorHAnsi" w:hAnsiTheme="majorHAnsi"/>
          <w:sz w:val="20"/>
          <w:szCs w:val="20"/>
          <w:lang w:eastAsia="fr-FR"/>
        </w:rPr>
        <w:t>.</w:t>
      </w:r>
    </w:p>
    <w:p w14:paraId="08460C78" w14:textId="77777777" w:rsidR="0083047A" w:rsidRPr="00A608EE" w:rsidRDefault="0083047A" w:rsidP="00EE208A">
      <w:pPr>
        <w:jc w:val="both"/>
        <w:rPr>
          <w:rFonts w:asciiTheme="majorHAnsi" w:hAnsiTheme="majorHAnsi"/>
          <w:b/>
          <w:bCs/>
          <w:sz w:val="20"/>
          <w:szCs w:val="20"/>
          <w:lang w:eastAsia="fr-FR"/>
        </w:rPr>
      </w:pPr>
    </w:p>
    <w:p w14:paraId="5B1DE1BD" w14:textId="31D30A7C" w:rsidR="0083047A" w:rsidRPr="00A608EE" w:rsidRDefault="0083047A"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Social Risks</w:t>
      </w:r>
    </w:p>
    <w:p w14:paraId="2469F3FE" w14:textId="77777777"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Some types of client businesses (such as the production and sale of alcohol, the operation of nightclubs, etc.) carry high social risks for the community. Lending to these types of businesses requires additional due diligence to mitigate risk to the clients and their community. Social risks include child labor, forced labor, gender-based violence, etc. Depending on the provider’s portfolio breakdown by sector, social (and environmental risks) can be checked from </w:t>
      </w:r>
      <w:hyperlink r:id="rId165" w:anchor="Introduction1369" w:history="1">
        <w:r w:rsidRPr="00A608EE">
          <w:rPr>
            <w:rStyle w:val="Hyperlink"/>
            <w:rFonts w:asciiTheme="majorHAnsi" w:hAnsiTheme="majorHAnsi"/>
            <w:sz w:val="20"/>
            <w:szCs w:val="20"/>
            <w:lang w:eastAsia="fr-FR"/>
          </w:rPr>
          <w:t>IFC E&amp;S risks by Industry sector</w:t>
        </w:r>
      </w:hyperlink>
      <w:r w:rsidRPr="00A608EE">
        <w:rPr>
          <w:rFonts w:asciiTheme="majorHAnsi" w:hAnsiTheme="majorHAnsi"/>
          <w:sz w:val="20"/>
          <w:szCs w:val="20"/>
          <w:lang w:eastAsia="fr-FR"/>
        </w:rPr>
        <w:t>.</w:t>
      </w:r>
    </w:p>
    <w:p w14:paraId="56951EFF" w14:textId="77777777" w:rsidR="0083047A" w:rsidRPr="00A608EE" w:rsidRDefault="0083047A" w:rsidP="00EE208A">
      <w:pPr>
        <w:jc w:val="both"/>
        <w:rPr>
          <w:rFonts w:asciiTheme="majorHAnsi" w:hAnsiTheme="majorHAnsi"/>
          <w:b/>
          <w:bCs/>
          <w:sz w:val="20"/>
          <w:szCs w:val="20"/>
          <w:lang w:eastAsia="fr-FR"/>
        </w:rPr>
      </w:pPr>
    </w:p>
    <w:p w14:paraId="0FC21312" w14:textId="02DF9649" w:rsidR="0083047A" w:rsidRPr="00A608EE" w:rsidRDefault="0083047A"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Voluntary Insurance</w:t>
      </w:r>
    </w:p>
    <w:p w14:paraId="23624B12" w14:textId="77777777"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 xml:space="preserve">Voluntary insurance are all insurance products that the provider do not take out as group policies that are bundled with loan or savings products. Voluntary insurance products tend to be rather expensive and thus offer little client value. As clients usually do not have the </w:t>
      </w:r>
      <w:r w:rsidRPr="00A608EE">
        <w:rPr>
          <w:rFonts w:asciiTheme="majorHAnsi" w:hAnsiTheme="majorHAnsi"/>
          <w:sz w:val="20"/>
          <w:szCs w:val="20"/>
          <w:lang w:eastAsia="fr-FR"/>
        </w:rPr>
        <w:lastRenderedPageBreak/>
        <w:t>tools, data, or skills to assess the value of the insurance products, it is the provider’s responsibility to ensure that all insurance products offer client value. Details about how to assess the value of insurance can be found </w:t>
      </w:r>
      <w:hyperlink r:id="rId166" w:history="1">
        <w:r w:rsidRPr="00A608EE">
          <w:rPr>
            <w:rStyle w:val="Hyperlink"/>
            <w:rFonts w:asciiTheme="majorHAnsi" w:hAnsiTheme="majorHAnsi"/>
            <w:sz w:val="20"/>
            <w:szCs w:val="20"/>
            <w:lang w:eastAsia="fr-FR"/>
          </w:rPr>
          <w:t>here</w:t>
        </w:r>
      </w:hyperlink>
      <w:r w:rsidRPr="00A608EE">
        <w:rPr>
          <w:rFonts w:asciiTheme="majorHAnsi" w:hAnsiTheme="majorHAnsi"/>
          <w:sz w:val="20"/>
          <w:szCs w:val="20"/>
          <w:lang w:eastAsia="fr-FR"/>
        </w:rPr>
        <w:t>.</w:t>
      </w:r>
    </w:p>
    <w:p w14:paraId="05FAD590" w14:textId="77777777" w:rsidR="0083047A" w:rsidRPr="00A608EE" w:rsidRDefault="0083047A" w:rsidP="00EE208A">
      <w:pPr>
        <w:jc w:val="both"/>
        <w:rPr>
          <w:rFonts w:asciiTheme="majorHAnsi" w:hAnsiTheme="majorHAnsi"/>
          <w:b/>
          <w:bCs/>
          <w:sz w:val="20"/>
          <w:szCs w:val="20"/>
          <w:lang w:eastAsia="fr-FR"/>
        </w:rPr>
      </w:pPr>
    </w:p>
    <w:p w14:paraId="0CE6A77E" w14:textId="382BDE45" w:rsidR="0083047A" w:rsidRPr="00A608EE" w:rsidRDefault="0083047A"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Monitor Agents and Networks</w:t>
      </w:r>
    </w:p>
    <w:p w14:paraId="07B437DC" w14:textId="77777777"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While agent banking help reaching more clients and delivering new services, the provider gives up some control when using agents versus own staff. This phenomenon is heightened when using agents in conjunction with digital financial services. Many client are not only new to both formal finance and technology, they also live precarious financial lives that allow little room for error. The provider must monitor (typically by Internal Audit/internal control) and mitigate the following risks associated with agents and digital channels:</w:t>
      </w:r>
    </w:p>
    <w:p w14:paraId="27CFB768" w14:textId="77777777" w:rsidR="0083047A" w:rsidRPr="00A608EE" w:rsidRDefault="0083047A" w:rsidP="00A27AAA">
      <w:pPr>
        <w:numPr>
          <w:ilvl w:val="0"/>
          <w:numId w:val="187"/>
        </w:numPr>
        <w:jc w:val="both"/>
        <w:rPr>
          <w:rFonts w:asciiTheme="majorHAnsi" w:hAnsiTheme="majorHAnsi"/>
          <w:sz w:val="20"/>
          <w:szCs w:val="20"/>
          <w:lang w:eastAsia="fr-FR"/>
        </w:rPr>
      </w:pPr>
      <w:r w:rsidRPr="00A608EE">
        <w:rPr>
          <w:rFonts w:asciiTheme="majorHAnsi" w:hAnsiTheme="majorHAnsi"/>
          <w:sz w:val="20"/>
          <w:szCs w:val="20"/>
          <w:lang w:eastAsia="fr-FR"/>
        </w:rPr>
        <w:t>Inability to transact due to network downtime;</w:t>
      </w:r>
    </w:p>
    <w:p w14:paraId="66BBEB5E" w14:textId="77777777" w:rsidR="0083047A" w:rsidRPr="00A608EE" w:rsidRDefault="0083047A" w:rsidP="00A27AAA">
      <w:pPr>
        <w:numPr>
          <w:ilvl w:val="0"/>
          <w:numId w:val="187"/>
        </w:numPr>
        <w:jc w:val="both"/>
        <w:rPr>
          <w:rFonts w:asciiTheme="majorHAnsi" w:hAnsiTheme="majorHAnsi"/>
          <w:sz w:val="20"/>
          <w:szCs w:val="20"/>
          <w:lang w:eastAsia="fr-FR"/>
        </w:rPr>
      </w:pPr>
      <w:r w:rsidRPr="00A608EE">
        <w:rPr>
          <w:rFonts w:asciiTheme="majorHAnsi" w:hAnsiTheme="majorHAnsi"/>
          <w:sz w:val="20"/>
          <w:szCs w:val="20"/>
          <w:lang w:eastAsia="fr-FR"/>
        </w:rPr>
        <w:t>Insufficient agent liquidity or float, which also affects clients’ ability to transact;</w:t>
      </w:r>
    </w:p>
    <w:p w14:paraId="52416624" w14:textId="77777777" w:rsidR="0083047A" w:rsidRPr="00A608EE" w:rsidRDefault="0083047A" w:rsidP="00A27AAA">
      <w:pPr>
        <w:numPr>
          <w:ilvl w:val="0"/>
          <w:numId w:val="187"/>
        </w:numPr>
        <w:jc w:val="both"/>
        <w:rPr>
          <w:rFonts w:asciiTheme="majorHAnsi" w:hAnsiTheme="majorHAnsi"/>
          <w:sz w:val="20"/>
          <w:szCs w:val="20"/>
          <w:lang w:eastAsia="fr-FR"/>
        </w:rPr>
      </w:pPr>
      <w:r w:rsidRPr="00A608EE">
        <w:rPr>
          <w:rFonts w:asciiTheme="majorHAnsi" w:hAnsiTheme="majorHAnsi"/>
          <w:sz w:val="20"/>
          <w:szCs w:val="20"/>
          <w:lang w:eastAsia="fr-FR"/>
        </w:rPr>
        <w:t>Transaction mistakes that are difficult or impossible to correct;</w:t>
      </w:r>
    </w:p>
    <w:p w14:paraId="31F8499F" w14:textId="77777777" w:rsidR="0083047A" w:rsidRPr="00A608EE" w:rsidRDefault="2975F0E7" w:rsidP="00A27AAA">
      <w:pPr>
        <w:numPr>
          <w:ilvl w:val="0"/>
          <w:numId w:val="187"/>
        </w:numPr>
        <w:jc w:val="both"/>
        <w:rPr>
          <w:rFonts w:asciiTheme="majorHAnsi" w:hAnsiTheme="majorHAnsi"/>
          <w:sz w:val="20"/>
          <w:szCs w:val="20"/>
          <w:lang w:eastAsia="fr-FR"/>
        </w:rPr>
      </w:pPr>
      <w:r w:rsidRPr="00A608EE">
        <w:rPr>
          <w:rFonts w:asciiTheme="majorHAnsi" w:hAnsiTheme="majorHAnsi"/>
          <w:sz w:val="20"/>
          <w:szCs w:val="20"/>
          <w:lang w:eastAsia="fr-FR"/>
        </w:rPr>
        <w:t>Agent fraud that targets clients (e.g., charging clients extra fees);</w:t>
      </w:r>
    </w:p>
    <w:p w14:paraId="1D2D2ABC" w14:textId="77777777" w:rsidR="0083047A" w:rsidRPr="00A608EE" w:rsidRDefault="0083047A" w:rsidP="00A27AAA">
      <w:pPr>
        <w:numPr>
          <w:ilvl w:val="0"/>
          <w:numId w:val="187"/>
        </w:numPr>
        <w:jc w:val="both"/>
        <w:rPr>
          <w:rFonts w:asciiTheme="majorHAnsi" w:hAnsiTheme="majorHAnsi"/>
          <w:sz w:val="20"/>
          <w:szCs w:val="20"/>
          <w:lang w:eastAsia="fr-FR"/>
        </w:rPr>
      </w:pPr>
      <w:r w:rsidRPr="00A608EE">
        <w:rPr>
          <w:rFonts w:asciiTheme="majorHAnsi" w:hAnsiTheme="majorHAnsi"/>
          <w:sz w:val="20"/>
          <w:szCs w:val="20"/>
          <w:lang w:eastAsia="fr-FR"/>
        </w:rPr>
        <w:t>Loss of client data privacy or security;</w:t>
      </w:r>
    </w:p>
    <w:p w14:paraId="68CD3D32" w14:textId="77777777" w:rsidR="0083047A" w:rsidRPr="00A608EE" w:rsidRDefault="0083047A" w:rsidP="00A27AAA">
      <w:pPr>
        <w:numPr>
          <w:ilvl w:val="0"/>
          <w:numId w:val="187"/>
        </w:numPr>
        <w:jc w:val="both"/>
        <w:rPr>
          <w:rFonts w:asciiTheme="majorHAnsi" w:hAnsiTheme="majorHAnsi"/>
          <w:sz w:val="20"/>
          <w:szCs w:val="20"/>
          <w:lang w:eastAsia="fr-FR"/>
        </w:rPr>
      </w:pPr>
      <w:r w:rsidRPr="00A608EE">
        <w:rPr>
          <w:rFonts w:asciiTheme="majorHAnsi" w:hAnsiTheme="majorHAnsi"/>
          <w:sz w:val="20"/>
          <w:szCs w:val="20"/>
          <w:lang w:eastAsia="fr-FR"/>
        </w:rPr>
        <w:t>Insufficient recourse mechanisms available at the agent; and</w:t>
      </w:r>
    </w:p>
    <w:p w14:paraId="24B18B45" w14:textId="77777777" w:rsidR="0083047A" w:rsidRPr="00A608EE" w:rsidRDefault="0083047A" w:rsidP="00A27AAA">
      <w:pPr>
        <w:numPr>
          <w:ilvl w:val="0"/>
          <w:numId w:val="187"/>
        </w:numPr>
        <w:jc w:val="both"/>
        <w:rPr>
          <w:rFonts w:asciiTheme="majorHAnsi" w:hAnsiTheme="majorHAnsi"/>
          <w:sz w:val="20"/>
          <w:szCs w:val="20"/>
          <w:lang w:eastAsia="fr-FR"/>
        </w:rPr>
      </w:pPr>
      <w:r w:rsidRPr="00A608EE">
        <w:rPr>
          <w:rFonts w:asciiTheme="majorHAnsi" w:hAnsiTheme="majorHAnsi"/>
          <w:sz w:val="20"/>
          <w:szCs w:val="20"/>
          <w:lang w:eastAsia="fr-FR"/>
        </w:rPr>
        <w:t>Confusing user interfaces (e.g., mobile banking menus).</w:t>
      </w:r>
    </w:p>
    <w:p w14:paraId="3418D839" w14:textId="77777777" w:rsidR="0083047A" w:rsidRPr="00A608EE" w:rsidRDefault="0083047A" w:rsidP="00EE208A">
      <w:pPr>
        <w:jc w:val="both"/>
        <w:rPr>
          <w:rFonts w:asciiTheme="majorHAnsi" w:hAnsiTheme="majorHAnsi"/>
          <w:sz w:val="20"/>
          <w:szCs w:val="20"/>
          <w:lang w:eastAsia="fr-FR"/>
        </w:rPr>
      </w:pPr>
    </w:p>
    <w:p w14:paraId="4A38A351" w14:textId="4ED74903"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As agents and agent managers frequently underreport problems, the provider should collect client feedback on agents and networks as part of ongoing client satisfaction monitoring.</w:t>
      </w:r>
    </w:p>
    <w:p w14:paraId="4F000547" w14:textId="77777777" w:rsidR="0083047A" w:rsidRPr="00A608EE" w:rsidRDefault="0083047A" w:rsidP="00EE208A">
      <w:pPr>
        <w:jc w:val="both"/>
        <w:rPr>
          <w:rFonts w:asciiTheme="majorHAnsi" w:hAnsiTheme="majorHAnsi"/>
          <w:sz w:val="20"/>
          <w:szCs w:val="20"/>
          <w:lang w:eastAsia="fr-FR"/>
        </w:rPr>
      </w:pPr>
    </w:p>
    <w:p w14:paraId="79DE3EAD" w14:textId="721870D8" w:rsidR="0083047A" w:rsidRPr="00A608EE" w:rsidRDefault="0083047A" w:rsidP="00EE208A">
      <w:pPr>
        <w:jc w:val="both"/>
        <w:rPr>
          <w:rFonts w:asciiTheme="majorHAnsi" w:hAnsiTheme="majorHAnsi"/>
          <w:sz w:val="20"/>
          <w:szCs w:val="20"/>
          <w:lang w:eastAsia="fr-FR"/>
        </w:rPr>
      </w:pPr>
      <w:r w:rsidRPr="00A608EE">
        <w:rPr>
          <w:rFonts w:asciiTheme="majorHAnsi" w:hAnsiTheme="majorHAnsi"/>
          <w:sz w:val="20"/>
          <w:szCs w:val="20"/>
          <w:lang w:eastAsia="fr-FR"/>
        </w:rPr>
        <w:t>Solutions to agent/network problems will depend on the</w:t>
      </w:r>
      <w:r w:rsidR="00C37E87" w:rsidRPr="00A608EE">
        <w:rPr>
          <w:rFonts w:asciiTheme="majorHAnsi" w:hAnsiTheme="majorHAnsi"/>
          <w:sz w:val="20"/>
          <w:szCs w:val="20"/>
          <w:lang w:eastAsia="fr-FR"/>
        </w:rPr>
        <w:t xml:space="preserve"> </w:t>
      </w:r>
      <w:r w:rsidRPr="00A608EE">
        <w:rPr>
          <w:rFonts w:asciiTheme="majorHAnsi" w:hAnsiTheme="majorHAnsi"/>
          <w:sz w:val="20"/>
          <w:szCs w:val="20"/>
          <w:lang w:eastAsia="fr-FR"/>
        </w:rPr>
        <w:t>capacity and the availability of cost-effective solutions. In some markets, for example, there is not an easy or low-cost fix for network downtime. A starting point for preventing problems is to make sure that agents are sufficiently trained in client-facing issues. Though the provider has no direct control over external agents who are managed by a third party, it is responsible for verifying that the third party trains their own representatives on at least the following topics:</w:t>
      </w:r>
    </w:p>
    <w:p w14:paraId="5E177466" w14:textId="77777777" w:rsidR="0083047A" w:rsidRPr="00A608EE" w:rsidRDefault="0083047A" w:rsidP="00A27AAA">
      <w:pPr>
        <w:numPr>
          <w:ilvl w:val="0"/>
          <w:numId w:val="188"/>
        </w:numPr>
        <w:jc w:val="both"/>
        <w:rPr>
          <w:rFonts w:asciiTheme="majorHAnsi" w:hAnsiTheme="majorHAnsi"/>
          <w:sz w:val="20"/>
          <w:szCs w:val="20"/>
          <w:lang w:eastAsia="fr-FR"/>
        </w:rPr>
      </w:pPr>
      <w:r w:rsidRPr="00A608EE">
        <w:rPr>
          <w:rFonts w:asciiTheme="majorHAnsi" w:hAnsiTheme="majorHAnsi"/>
          <w:sz w:val="20"/>
          <w:szCs w:val="20"/>
          <w:lang w:eastAsia="fr-FR"/>
        </w:rPr>
        <w:t>Fair and responsible treatment of clients. The training is aligned with the provider’s Code of Conduct and spells out unacceptable behavior.</w:t>
      </w:r>
    </w:p>
    <w:p w14:paraId="44D94924" w14:textId="77777777" w:rsidR="0083047A" w:rsidRPr="00A608EE" w:rsidRDefault="0083047A" w:rsidP="00A27AAA">
      <w:pPr>
        <w:numPr>
          <w:ilvl w:val="0"/>
          <w:numId w:val="188"/>
        </w:numPr>
        <w:jc w:val="both"/>
        <w:rPr>
          <w:rFonts w:asciiTheme="majorHAnsi" w:hAnsiTheme="majorHAnsi"/>
          <w:sz w:val="20"/>
          <w:szCs w:val="20"/>
          <w:lang w:eastAsia="fr-FR"/>
        </w:rPr>
      </w:pPr>
      <w:r w:rsidRPr="00A608EE">
        <w:rPr>
          <w:rFonts w:asciiTheme="majorHAnsi" w:hAnsiTheme="majorHAnsi"/>
          <w:sz w:val="20"/>
          <w:szCs w:val="20"/>
          <w:lang w:eastAsia="fr-FR"/>
        </w:rPr>
        <w:t>The provider’s debt collections practices and loan recovery procedures.</w:t>
      </w:r>
    </w:p>
    <w:p w14:paraId="5ED7CCFB" w14:textId="77777777" w:rsidR="0083047A" w:rsidRPr="00A608EE" w:rsidRDefault="0083047A" w:rsidP="00A27AAA">
      <w:pPr>
        <w:numPr>
          <w:ilvl w:val="0"/>
          <w:numId w:val="188"/>
        </w:numPr>
        <w:jc w:val="both"/>
        <w:rPr>
          <w:rFonts w:asciiTheme="majorHAnsi" w:hAnsiTheme="majorHAnsi"/>
          <w:sz w:val="20"/>
          <w:szCs w:val="20"/>
          <w:lang w:eastAsia="fr-FR"/>
        </w:rPr>
      </w:pPr>
      <w:r w:rsidRPr="00A608EE">
        <w:rPr>
          <w:rFonts w:asciiTheme="majorHAnsi" w:hAnsiTheme="majorHAnsi"/>
          <w:sz w:val="20"/>
          <w:szCs w:val="20"/>
          <w:lang w:eastAsia="fr-FR"/>
        </w:rPr>
        <w:t>Not using aggressive sales techniques and to respect clients’ right to refuse products.</w:t>
      </w:r>
    </w:p>
    <w:p w14:paraId="17DFB066" w14:textId="77777777" w:rsidR="0083047A" w:rsidRPr="00A608EE" w:rsidRDefault="0083047A" w:rsidP="00A27AAA">
      <w:pPr>
        <w:numPr>
          <w:ilvl w:val="0"/>
          <w:numId w:val="188"/>
        </w:numPr>
        <w:jc w:val="both"/>
        <w:rPr>
          <w:rFonts w:asciiTheme="majorHAnsi" w:hAnsiTheme="majorHAnsi"/>
          <w:sz w:val="20"/>
          <w:szCs w:val="20"/>
          <w:lang w:eastAsia="fr-FR"/>
        </w:rPr>
      </w:pPr>
      <w:r w:rsidRPr="00A608EE">
        <w:rPr>
          <w:rFonts w:asciiTheme="majorHAnsi" w:hAnsiTheme="majorHAnsi"/>
          <w:sz w:val="20"/>
          <w:szCs w:val="20"/>
          <w:lang w:eastAsia="fr-FR"/>
        </w:rPr>
        <w:t>Loan analysis and the credit approval process.</w:t>
      </w:r>
    </w:p>
    <w:p w14:paraId="7B7EEC27" w14:textId="77777777" w:rsidR="0083047A" w:rsidRPr="00A608EE" w:rsidRDefault="0083047A" w:rsidP="00A27AAA">
      <w:pPr>
        <w:numPr>
          <w:ilvl w:val="0"/>
          <w:numId w:val="188"/>
        </w:numPr>
        <w:jc w:val="both"/>
        <w:rPr>
          <w:rFonts w:asciiTheme="majorHAnsi" w:hAnsiTheme="majorHAnsi"/>
          <w:sz w:val="20"/>
          <w:szCs w:val="20"/>
          <w:lang w:eastAsia="fr-FR"/>
        </w:rPr>
      </w:pPr>
      <w:r w:rsidRPr="00A608EE">
        <w:rPr>
          <w:rFonts w:asciiTheme="majorHAnsi" w:hAnsiTheme="majorHAnsi"/>
          <w:sz w:val="20"/>
          <w:szCs w:val="20"/>
          <w:lang w:eastAsia="fr-FR"/>
        </w:rPr>
        <w:t>How the complaints mechanism works, the role of complaints staff, how to appropriately manage complaints until they are resolved, and how to refer them to the appropriate person for investigation and resolution.</w:t>
      </w:r>
    </w:p>
    <w:p w14:paraId="4F368FB9" w14:textId="77777777" w:rsidR="0083047A" w:rsidRPr="00A608EE" w:rsidRDefault="0083047A" w:rsidP="00A27AAA">
      <w:pPr>
        <w:numPr>
          <w:ilvl w:val="0"/>
          <w:numId w:val="188"/>
        </w:numPr>
        <w:jc w:val="both"/>
        <w:rPr>
          <w:rFonts w:asciiTheme="majorHAnsi" w:hAnsiTheme="majorHAnsi"/>
          <w:sz w:val="20"/>
          <w:szCs w:val="20"/>
          <w:lang w:eastAsia="fr-FR"/>
        </w:rPr>
      </w:pPr>
      <w:r w:rsidRPr="00A608EE">
        <w:rPr>
          <w:rFonts w:asciiTheme="majorHAnsi" w:hAnsiTheme="majorHAnsi"/>
          <w:sz w:val="20"/>
          <w:szCs w:val="20"/>
          <w:lang w:eastAsia="fr-FR"/>
        </w:rPr>
        <w:t>Policies and processes related to privacy of client data.</w:t>
      </w:r>
    </w:p>
    <w:p w14:paraId="431D11A2" w14:textId="77777777" w:rsidR="0083047A" w:rsidRPr="00A608EE" w:rsidRDefault="0083047A" w:rsidP="00EE208A">
      <w:pPr>
        <w:jc w:val="both"/>
        <w:rPr>
          <w:rFonts w:asciiTheme="majorHAnsi" w:hAnsiTheme="majorHAnsi"/>
          <w:sz w:val="20"/>
          <w:szCs w:val="20"/>
          <w:lang w:eastAsia="fr-FR"/>
        </w:rPr>
      </w:pPr>
    </w:p>
    <w:p w14:paraId="7B349A46" w14:textId="1A3D7779" w:rsidR="0083047A" w:rsidRPr="00A608EE" w:rsidRDefault="0083047A"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3.B.3</w:t>
      </w:r>
    </w:p>
    <w:p w14:paraId="48F47580" w14:textId="77777777" w:rsidR="0056094A" w:rsidRPr="00A608EE" w:rsidRDefault="0056094A" w:rsidP="00A27AAA">
      <w:pPr>
        <w:pStyle w:val="NormalWeb"/>
        <w:numPr>
          <w:ilvl w:val="0"/>
          <w:numId w:val="65"/>
        </w:numPr>
        <w:spacing w:before="0" w:beforeAutospacing="0" w:after="0" w:afterAutospacing="0"/>
        <w:jc w:val="both"/>
        <w:rPr>
          <w:rFonts w:asciiTheme="majorHAnsi" w:hAnsiTheme="majorHAnsi"/>
          <w:sz w:val="20"/>
          <w:szCs w:val="20"/>
        </w:rPr>
      </w:pPr>
      <w:hyperlink r:id="rId167" w:history="1">
        <w:r w:rsidRPr="00A608EE">
          <w:rPr>
            <w:rStyle w:val="Hyperlink"/>
            <w:rFonts w:asciiTheme="majorHAnsi" w:hAnsiTheme="majorHAnsi"/>
            <w:sz w:val="20"/>
            <w:szCs w:val="20"/>
          </w:rPr>
          <w:t>Friendship Bridge Manages Foreign Exchange Risk</w:t>
        </w:r>
      </w:hyperlink>
    </w:p>
    <w:p w14:paraId="654C9420" w14:textId="77777777" w:rsidR="0056094A" w:rsidRPr="00A608EE" w:rsidRDefault="0056094A" w:rsidP="00A27AAA">
      <w:pPr>
        <w:pStyle w:val="NormalWeb"/>
        <w:numPr>
          <w:ilvl w:val="0"/>
          <w:numId w:val="65"/>
        </w:numPr>
        <w:spacing w:before="0" w:beforeAutospacing="0" w:after="0" w:afterAutospacing="0"/>
        <w:jc w:val="both"/>
        <w:rPr>
          <w:rFonts w:asciiTheme="majorHAnsi" w:hAnsiTheme="majorHAnsi"/>
          <w:sz w:val="20"/>
          <w:szCs w:val="20"/>
        </w:rPr>
      </w:pPr>
      <w:hyperlink r:id="rId168" w:tgtFrame="_blank" w:history="1">
        <w:r w:rsidRPr="00A608EE">
          <w:rPr>
            <w:rStyle w:val="Hyperlink"/>
            <w:rFonts w:asciiTheme="majorHAnsi" w:hAnsiTheme="majorHAnsi"/>
            <w:sz w:val="20"/>
            <w:szCs w:val="20"/>
          </w:rPr>
          <w:t>Fraud in Mobile Financial Services Protecting Consumers, Providers, and the System</w:t>
        </w:r>
      </w:hyperlink>
    </w:p>
    <w:bookmarkEnd w:id="61"/>
    <w:p w14:paraId="6093372C" w14:textId="77777777" w:rsidR="009F621F" w:rsidRPr="00A608EE" w:rsidRDefault="009F621F" w:rsidP="00EE208A">
      <w:pPr>
        <w:pStyle w:val="NormalWeb"/>
        <w:spacing w:before="0" w:beforeAutospacing="0" w:after="0" w:afterAutospacing="0"/>
        <w:jc w:val="both"/>
        <w:rPr>
          <w:rFonts w:asciiTheme="majorHAnsi" w:hAnsiTheme="majorHAnsi"/>
          <w:sz w:val="20"/>
          <w:szCs w:val="20"/>
        </w:rPr>
      </w:pPr>
    </w:p>
    <w:p w14:paraId="14ECD393" w14:textId="77777777" w:rsidR="009917E5" w:rsidRPr="00A608EE" w:rsidRDefault="009917E5" w:rsidP="00EE208A">
      <w:pPr>
        <w:pStyle w:val="NormalWeb"/>
        <w:spacing w:before="0" w:beforeAutospacing="0" w:after="0" w:afterAutospacing="0"/>
        <w:jc w:val="both"/>
        <w:rPr>
          <w:rFonts w:asciiTheme="majorHAnsi" w:hAnsiTheme="majorHAnsi"/>
          <w:sz w:val="20"/>
          <w:szCs w:val="20"/>
        </w:rPr>
      </w:pPr>
    </w:p>
    <w:p w14:paraId="4F93B8C2" w14:textId="5A074174" w:rsidR="003C40FB" w:rsidRPr="00A608EE" w:rsidRDefault="003C40FB" w:rsidP="00EE208A">
      <w:pPr>
        <w:pStyle w:val="Heading4"/>
        <w:spacing w:before="0" w:line="240" w:lineRule="auto"/>
        <w:jc w:val="both"/>
      </w:pPr>
      <w:r w:rsidRPr="00A608EE">
        <w:rPr>
          <w:rStyle w:val="text-primary"/>
        </w:rPr>
        <w:t>3.B.3.3</w:t>
      </w:r>
      <w:r w:rsidRPr="00A608EE">
        <w:t xml:space="preserve"> </w:t>
      </w:r>
      <w:r w:rsidR="00EC40A1" w:rsidRPr="00A608EE">
        <w:t>The provider accepts alternative forms of collateral from clients whose gender or age creates barriers to access in the local context</w:t>
      </w:r>
      <w:r w:rsidR="002C363C" w:rsidRPr="00A608EE">
        <w:t>.</w:t>
      </w:r>
    </w:p>
    <w:p w14:paraId="579A9D26" w14:textId="77777777" w:rsidR="000A51B9" w:rsidRPr="00A608EE" w:rsidRDefault="000A51B9" w:rsidP="00EE208A">
      <w:pPr>
        <w:jc w:val="both"/>
        <w:rPr>
          <w:rFonts w:asciiTheme="majorHAnsi" w:hAnsiTheme="majorHAnsi" w:cstheme="majorHAnsi"/>
          <w:szCs w:val="20"/>
        </w:rPr>
      </w:pPr>
    </w:p>
    <w:p w14:paraId="10C9BCF4" w14:textId="453C8165" w:rsidR="00340A33"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40A33"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69A73BB9" w14:textId="77777777" w:rsidR="00EC40A1" w:rsidRPr="00A608EE" w:rsidRDefault="00EC40A1" w:rsidP="00A02AC4">
      <w:pPr>
        <w:pStyle w:val="paragraph"/>
        <w:spacing w:before="120" w:beforeAutospacing="0" w:after="120" w:afterAutospacing="0"/>
        <w:jc w:val="both"/>
        <w:textAlignment w:val="baseline"/>
        <w:rPr>
          <w:rFonts w:asciiTheme="majorHAnsi" w:hAnsiTheme="majorHAnsi" w:cstheme="majorHAnsi"/>
          <w:sz w:val="20"/>
          <w:szCs w:val="20"/>
        </w:rPr>
      </w:pPr>
      <w:r w:rsidRPr="00A608EE">
        <w:rPr>
          <w:rFonts w:asciiTheme="majorHAnsi" w:hAnsiTheme="majorHAnsi" w:cstheme="majorHAnsi"/>
          <w:sz w:val="20"/>
          <w:szCs w:val="20"/>
        </w:rPr>
        <w:t>Alternative forms of collateral may be using a guarantor or pledging a vehicle or any other asset that are taking into account the specific barriers of target groups such as women or young people.</w:t>
      </w:r>
    </w:p>
    <w:p w14:paraId="399DEBA0" w14:textId="6ED63D09" w:rsidR="00672763" w:rsidRPr="00A608EE" w:rsidRDefault="00672763" w:rsidP="00A02AC4">
      <w:pPr>
        <w:pStyle w:val="paragraph"/>
        <w:spacing w:before="120" w:beforeAutospacing="0" w:after="120" w:afterAutospacing="0"/>
        <w:jc w:val="both"/>
        <w:textAlignment w:val="baseline"/>
        <w:rPr>
          <w:rFonts w:asciiTheme="majorHAnsi" w:hAnsiTheme="majorHAnsi" w:cstheme="majorHAnsi"/>
          <w:sz w:val="20"/>
          <w:szCs w:val="20"/>
        </w:rPr>
      </w:pPr>
      <w:r w:rsidRPr="00A608EE">
        <w:rPr>
          <w:rFonts w:asciiTheme="majorHAnsi" w:hAnsiTheme="majorHAnsi"/>
          <w:noProof/>
          <w:sz w:val="20"/>
          <w:szCs w:val="20"/>
        </w:rPr>
        <w:drawing>
          <wp:anchor distT="0" distB="0" distL="114300" distR="114300" simplePos="0" relativeHeight="251838464" behindDoc="1" locked="0" layoutInCell="1" allowOverlap="1" wp14:anchorId="1697AA85" wp14:editId="7BB93874">
            <wp:simplePos x="0" y="0"/>
            <wp:positionH relativeFrom="margin">
              <wp:posOffset>12700</wp:posOffset>
            </wp:positionH>
            <wp:positionV relativeFrom="paragraph">
              <wp:posOffset>202565</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203718657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58BAF00B" w14:textId="5F4ED88B"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3D67F8A7"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cstheme="majorHAnsi"/>
          <w:sz w:val="20"/>
          <w:szCs w:val="20"/>
        </w:rPr>
      </w:pPr>
    </w:p>
    <w:p w14:paraId="2FE87F1D" w14:textId="2825322B" w:rsidR="005F4278" w:rsidRPr="00A608EE" w:rsidRDefault="00FC6779" w:rsidP="009078A3">
      <w:pPr>
        <w:pStyle w:val="paragraph"/>
        <w:spacing w:before="0" w:beforeAutospacing="0" w:after="0" w:afterAutospacing="0"/>
        <w:jc w:val="both"/>
        <w:textAlignment w:val="baseline"/>
        <w:rPr>
          <w:rFonts w:asciiTheme="majorHAnsi" w:hAnsiTheme="majorHAnsi" w:cs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5F4278" w:rsidRPr="00A608EE">
        <w:rPr>
          <w:rFonts w:asciiTheme="majorHAnsi" w:hAnsiTheme="majorHAnsi" w:cstheme="majorHAnsi"/>
          <w:sz w:val="20"/>
          <w:szCs w:val="20"/>
        </w:rPr>
        <w:t>The provider accepts alternative forms of collateral from clients whose gender, disability status or age creates barriers to access in the local context.</w:t>
      </w:r>
    </w:p>
    <w:p w14:paraId="13CA1224" w14:textId="3A2E123F" w:rsidR="00560451" w:rsidRPr="00A608EE" w:rsidRDefault="00E7693D" w:rsidP="009078A3">
      <w:pPr>
        <w:pStyle w:val="paragraph"/>
        <w:spacing w:before="0" w:beforeAutospacing="0" w:after="0" w:afterAutospacing="0"/>
        <w:jc w:val="both"/>
        <w:textAlignment w:val="baseline"/>
        <w:rPr>
          <w:rFonts w:asciiTheme="majorHAnsi" w:hAnsiTheme="majorHAnsi" w:cstheme="majorHAnsi"/>
          <w:sz w:val="20"/>
          <w:szCs w:val="20"/>
        </w:rPr>
      </w:pPr>
      <w:r w:rsidRPr="00A608EE">
        <w:rPr>
          <w:noProof/>
        </w:rPr>
        <w:lastRenderedPageBreak/>
        <mc:AlternateContent>
          <mc:Choice Requires="wps">
            <w:drawing>
              <wp:anchor distT="0" distB="0" distL="114300" distR="114300" simplePos="0" relativeHeight="251753472" behindDoc="0" locked="0" layoutInCell="1" allowOverlap="1" wp14:anchorId="55C971CE" wp14:editId="6117DB5E">
                <wp:simplePos x="0" y="0"/>
                <wp:positionH relativeFrom="margin">
                  <wp:align>left</wp:align>
                </wp:positionH>
                <wp:positionV relativeFrom="paragraph">
                  <wp:posOffset>295275</wp:posOffset>
                </wp:positionV>
                <wp:extent cx="1828800" cy="2673350"/>
                <wp:effectExtent l="0" t="0" r="24130" b="12700"/>
                <wp:wrapSquare wrapText="bothSides"/>
                <wp:docPr id="390942806" name="Cuadro de texto 1"/>
                <wp:cNvGraphicFramePr/>
                <a:graphic xmlns:a="http://schemas.openxmlformats.org/drawingml/2006/main">
                  <a:graphicData uri="http://schemas.microsoft.com/office/word/2010/wordprocessingShape">
                    <wps:wsp>
                      <wps:cNvSpPr txBox="1"/>
                      <wps:spPr>
                        <a:xfrm>
                          <a:off x="0" y="0"/>
                          <a:ext cx="1828800" cy="2673350"/>
                        </a:xfrm>
                        <a:prstGeom prst="rect">
                          <a:avLst/>
                        </a:prstGeom>
                        <a:noFill/>
                        <a:ln w="6350">
                          <a:solidFill>
                            <a:prstClr val="black"/>
                          </a:solidFill>
                        </a:ln>
                      </wps:spPr>
                      <wps:txbx>
                        <w:txbxContent>
                          <w:p w14:paraId="551BA845" w14:textId="082A7033" w:rsidR="00560451" w:rsidRPr="00820B09" w:rsidRDefault="00EB123D" w:rsidP="00560451">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560451" w:rsidRPr="00820B09">
                              <w:rPr>
                                <w:rFonts w:asciiTheme="majorHAnsi" w:hAnsiTheme="majorHAnsi"/>
                                <w:b/>
                                <w:bCs/>
                                <w:sz w:val="20"/>
                                <w:szCs w:val="20"/>
                                <w:lang w:eastAsia="fr-FR"/>
                              </w:rPr>
                              <w:t>. 3.B.</w:t>
                            </w:r>
                            <w:r w:rsidR="00E7693D" w:rsidRPr="00820B09">
                              <w:rPr>
                                <w:rFonts w:asciiTheme="majorHAnsi" w:hAnsiTheme="majorHAnsi"/>
                                <w:b/>
                                <w:bCs/>
                                <w:sz w:val="20"/>
                                <w:szCs w:val="20"/>
                                <w:lang w:eastAsia="fr-FR"/>
                              </w:rPr>
                              <w:t>3</w:t>
                            </w:r>
                            <w:r w:rsidR="00560451" w:rsidRPr="00820B09">
                              <w:rPr>
                                <w:rFonts w:asciiTheme="majorHAnsi" w:hAnsiTheme="majorHAnsi"/>
                                <w:b/>
                                <w:bCs/>
                                <w:sz w:val="20"/>
                                <w:szCs w:val="20"/>
                                <w:lang w:eastAsia="fr-FR"/>
                              </w:rPr>
                              <w:t>.</w:t>
                            </w:r>
                            <w:r w:rsidR="00E7693D" w:rsidRPr="00820B09">
                              <w:rPr>
                                <w:rFonts w:asciiTheme="majorHAnsi" w:hAnsiTheme="majorHAnsi"/>
                                <w:b/>
                                <w:bCs/>
                                <w:sz w:val="20"/>
                                <w:szCs w:val="20"/>
                                <w:lang w:eastAsia="fr-FR"/>
                              </w:rPr>
                              <w:t>3</w:t>
                            </w:r>
                            <w:r w:rsidR="00560451" w:rsidRPr="00820B09">
                              <w:rPr>
                                <w:rFonts w:asciiTheme="majorHAnsi" w:hAnsiTheme="majorHAnsi"/>
                                <w:b/>
                                <w:bCs/>
                                <w:sz w:val="20"/>
                                <w:szCs w:val="20"/>
                                <w:lang w:eastAsia="fr-FR"/>
                              </w:rPr>
                              <w:t xml:space="preserve"> </w:t>
                            </w:r>
                          </w:p>
                          <w:p w14:paraId="211342CC" w14:textId="77777777" w:rsidR="00560451" w:rsidRPr="00820B09" w:rsidRDefault="00560451" w:rsidP="00560451">
                            <w:pPr>
                              <w:jc w:val="both"/>
                              <w:rPr>
                                <w:rFonts w:asciiTheme="majorHAnsi" w:hAnsiTheme="majorHAnsi"/>
                                <w:sz w:val="20"/>
                                <w:szCs w:val="20"/>
                                <w:lang w:eastAsia="fr-FR"/>
                              </w:rPr>
                            </w:pPr>
                          </w:p>
                          <w:p w14:paraId="6484168D" w14:textId="28CFBCCA" w:rsidR="00560451" w:rsidRPr="00820B09" w:rsidRDefault="00560451" w:rsidP="00560451">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less likely to own assets </w:t>
                            </w:r>
                            <w:r w:rsidR="00E7693D" w:rsidRPr="00820B09">
                              <w:rPr>
                                <w:rFonts w:asciiTheme="majorHAnsi" w:hAnsiTheme="majorHAnsi"/>
                                <w:sz w:val="20"/>
                                <w:szCs w:val="20"/>
                                <w:lang w:eastAsia="fr-FR"/>
                              </w:rPr>
                              <w:t xml:space="preserve">for collateral, </w:t>
                            </w:r>
                            <w:r w:rsidRPr="00820B09">
                              <w:rPr>
                                <w:rFonts w:asciiTheme="majorHAnsi" w:hAnsiTheme="majorHAnsi"/>
                                <w:sz w:val="20"/>
                                <w:szCs w:val="20"/>
                                <w:lang w:eastAsia="fr-FR"/>
                              </w:rPr>
                              <w:t>such as land or property. Women with disabilities may also experience legal or cultural barriers to property ownership on the basis of their gender</w:t>
                            </w:r>
                            <w:r w:rsidR="00E7693D" w:rsidRPr="00820B09">
                              <w:rPr>
                                <w:rFonts w:asciiTheme="majorHAnsi" w:hAnsiTheme="majorHAnsi"/>
                                <w:sz w:val="20"/>
                                <w:szCs w:val="20"/>
                                <w:lang w:eastAsia="fr-FR"/>
                              </w:rPr>
                              <w:t xml:space="preserve"> as well as their disability, and y</w:t>
                            </w:r>
                            <w:r w:rsidRPr="00820B09">
                              <w:rPr>
                                <w:rFonts w:asciiTheme="majorHAnsi" w:hAnsiTheme="majorHAnsi"/>
                                <w:sz w:val="20"/>
                                <w:szCs w:val="20"/>
                                <w:lang w:eastAsia="fr-FR"/>
                              </w:rPr>
                              <w:t>oung persons with disabilities face additional age-related barriers to asset ownership and collateral access.</w:t>
                            </w:r>
                          </w:p>
                          <w:p w14:paraId="6A7FD879" w14:textId="77777777" w:rsidR="00E7693D" w:rsidRPr="00820B09" w:rsidRDefault="00E7693D" w:rsidP="00560451">
                            <w:pPr>
                              <w:jc w:val="both"/>
                              <w:rPr>
                                <w:rFonts w:asciiTheme="majorHAnsi" w:hAnsiTheme="majorHAnsi"/>
                                <w:sz w:val="20"/>
                                <w:szCs w:val="20"/>
                                <w:lang w:eastAsia="fr-FR"/>
                              </w:rPr>
                            </w:pPr>
                          </w:p>
                          <w:p w14:paraId="7E2895D0" w14:textId="77777777" w:rsidR="00C15ED9" w:rsidRPr="00820B09" w:rsidRDefault="00E7693D" w:rsidP="00560451">
                            <w:pPr>
                              <w:jc w:val="both"/>
                              <w:rPr>
                                <w:rFonts w:asciiTheme="majorHAnsi" w:hAnsiTheme="majorHAnsi"/>
                                <w:sz w:val="20"/>
                                <w:szCs w:val="20"/>
                                <w:lang w:eastAsia="fr-FR"/>
                              </w:rPr>
                            </w:pPr>
                            <w:r w:rsidRPr="00820B09">
                              <w:rPr>
                                <w:rFonts w:asciiTheme="majorHAnsi" w:hAnsiTheme="majorHAnsi"/>
                                <w:sz w:val="20"/>
                                <w:szCs w:val="20"/>
                                <w:lang w:eastAsia="fr-FR"/>
                              </w:rPr>
                              <w:t xml:space="preserve">Accepting alternative forms of collateral helps to overcome barriers to access for persons with disabilities. </w:t>
                            </w:r>
                            <w:r w:rsidR="00C15ED9" w:rsidRPr="00820B09">
                              <w:rPr>
                                <w:rFonts w:asciiTheme="majorHAnsi" w:hAnsiTheme="majorHAnsi"/>
                                <w:sz w:val="20"/>
                                <w:szCs w:val="20"/>
                                <w:lang w:eastAsia="fr-FR"/>
                              </w:rPr>
                              <w:t xml:space="preserve">Mechanisms that support collateral-free lending include co-borrower or guarantor arrangements with clients, and third-party guarantee schemes through partners such as NGOs or social investors. In some countries, government-backed guarantees or incentives support lending to vulnerable groups, including persons with disabilities. </w:t>
                            </w:r>
                          </w:p>
                          <w:p w14:paraId="1985E78D" w14:textId="77777777" w:rsidR="00C15ED9" w:rsidRPr="00820B09" w:rsidRDefault="00C15ED9" w:rsidP="00560451">
                            <w:pPr>
                              <w:jc w:val="both"/>
                              <w:rPr>
                                <w:rFonts w:asciiTheme="majorHAnsi" w:hAnsiTheme="majorHAnsi"/>
                                <w:sz w:val="20"/>
                                <w:szCs w:val="20"/>
                                <w:lang w:eastAsia="fr-FR"/>
                              </w:rPr>
                            </w:pPr>
                          </w:p>
                          <w:p w14:paraId="18DD08AF" w14:textId="367153E9" w:rsidR="00560451" w:rsidRPr="00820B09" w:rsidRDefault="00E7693D" w:rsidP="00560451">
                            <w:pPr>
                              <w:jc w:val="both"/>
                              <w:rPr>
                                <w:rFonts w:asciiTheme="majorHAnsi" w:hAnsiTheme="majorHAnsi"/>
                                <w:sz w:val="20"/>
                                <w:szCs w:val="20"/>
                                <w:lang w:eastAsia="fr-FR"/>
                              </w:rPr>
                            </w:pPr>
                            <w:r w:rsidRPr="00820B09">
                              <w:rPr>
                                <w:rFonts w:asciiTheme="majorHAnsi" w:hAnsiTheme="majorHAnsi"/>
                                <w:sz w:val="20"/>
                                <w:szCs w:val="20"/>
                                <w:lang w:eastAsia="fr-FR"/>
                              </w:rPr>
                              <w:t>For example, BRAC Myanmar provides a micro-finance loan for persons with disabilities which allows them to appoint a co-borrower as an alternative to collateral</w:t>
                            </w:r>
                            <w:r w:rsidR="003510A0" w:rsidRPr="00820B09">
                              <w:rPr>
                                <w:rFonts w:asciiTheme="majorHAnsi" w:hAnsiTheme="majorHAnsi"/>
                                <w:sz w:val="20"/>
                                <w:szCs w:val="20"/>
                                <w:lang w:eastAsia="fr-FR"/>
                              </w:rPr>
                              <w:t xml:space="preserve"> (see resources for this indicator)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C971CE" id="_x0000_s1046" type="#_x0000_t202" style="position:absolute;left:0;text-align:left;margin-left:0;margin-top:23.25pt;width:2in;height:210.5pt;z-index:25175347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" filled="f" strokeweight=".5pt">
                <v:textbox>
                  <w:txbxContent>
                    <w:p w14:paraId="551BA845" w14:textId="082A7033" w:rsidR="00560451" w:rsidRPr="00820B09" w:rsidRDefault="00EB123D" w:rsidP="00560451">
                      <w:pPr>
                        <w:jc w:val="both"/>
                        <w:rPr>
                          <w:rFonts w:asciiTheme="majorHAnsi" w:hAnsiTheme="majorHAnsi"/>
                          <w:b/>
                          <w:bCs/>
                          <w:sz w:val="20"/>
                          <w:szCs w:val="20"/>
                          <w:lang w:eastAsia="fr-FR"/>
                        </w:rPr>
                      </w:pPr>
                      <w:r w:rsidRPr="00820B09">
                        <w:rPr>
                          <w:rFonts w:asciiTheme="majorHAnsi" w:hAnsiTheme="majorHAnsi"/>
                          <w:b/>
                          <w:bCs/>
                          <w:sz w:val="20"/>
                          <w:szCs w:val="20"/>
                          <w:lang w:eastAsia="fr-FR"/>
                        </w:rPr>
                        <w:t>Disability Inclusion - Info Box</w:t>
                      </w:r>
                      <w:r w:rsidR="00560451" w:rsidRPr="00820B09">
                        <w:rPr>
                          <w:rFonts w:asciiTheme="majorHAnsi" w:hAnsiTheme="majorHAnsi"/>
                          <w:b/>
                          <w:bCs/>
                          <w:sz w:val="20"/>
                          <w:szCs w:val="20"/>
                          <w:lang w:eastAsia="fr-FR"/>
                        </w:rPr>
                        <w:t>. 3.B.</w:t>
                      </w:r>
                      <w:r w:rsidR="00E7693D" w:rsidRPr="00820B09">
                        <w:rPr>
                          <w:rFonts w:asciiTheme="majorHAnsi" w:hAnsiTheme="majorHAnsi"/>
                          <w:b/>
                          <w:bCs/>
                          <w:sz w:val="20"/>
                          <w:szCs w:val="20"/>
                          <w:lang w:eastAsia="fr-FR"/>
                        </w:rPr>
                        <w:t>3</w:t>
                      </w:r>
                      <w:r w:rsidR="00560451" w:rsidRPr="00820B09">
                        <w:rPr>
                          <w:rFonts w:asciiTheme="majorHAnsi" w:hAnsiTheme="majorHAnsi"/>
                          <w:b/>
                          <w:bCs/>
                          <w:sz w:val="20"/>
                          <w:szCs w:val="20"/>
                          <w:lang w:eastAsia="fr-FR"/>
                        </w:rPr>
                        <w:t>.</w:t>
                      </w:r>
                      <w:r w:rsidR="00E7693D" w:rsidRPr="00820B09">
                        <w:rPr>
                          <w:rFonts w:asciiTheme="majorHAnsi" w:hAnsiTheme="majorHAnsi"/>
                          <w:b/>
                          <w:bCs/>
                          <w:sz w:val="20"/>
                          <w:szCs w:val="20"/>
                          <w:lang w:eastAsia="fr-FR"/>
                        </w:rPr>
                        <w:t>3</w:t>
                      </w:r>
                      <w:r w:rsidR="00560451" w:rsidRPr="00820B09">
                        <w:rPr>
                          <w:rFonts w:asciiTheme="majorHAnsi" w:hAnsiTheme="majorHAnsi"/>
                          <w:b/>
                          <w:bCs/>
                          <w:sz w:val="20"/>
                          <w:szCs w:val="20"/>
                          <w:lang w:eastAsia="fr-FR"/>
                        </w:rPr>
                        <w:t xml:space="preserve"> </w:t>
                      </w:r>
                    </w:p>
                    <w:p w14:paraId="211342CC" w14:textId="77777777" w:rsidR="00560451" w:rsidRPr="00820B09" w:rsidRDefault="00560451" w:rsidP="00560451">
                      <w:pPr>
                        <w:jc w:val="both"/>
                        <w:rPr>
                          <w:rFonts w:asciiTheme="majorHAnsi" w:hAnsiTheme="majorHAnsi"/>
                          <w:sz w:val="20"/>
                          <w:szCs w:val="20"/>
                          <w:lang w:eastAsia="fr-FR"/>
                        </w:rPr>
                      </w:pPr>
                    </w:p>
                    <w:p w14:paraId="6484168D" w14:textId="28CFBCCA" w:rsidR="00560451" w:rsidRPr="00820B09" w:rsidRDefault="00560451" w:rsidP="00560451">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less likely to own assets </w:t>
                      </w:r>
                      <w:r w:rsidR="00E7693D" w:rsidRPr="00820B09">
                        <w:rPr>
                          <w:rFonts w:asciiTheme="majorHAnsi" w:hAnsiTheme="majorHAnsi"/>
                          <w:sz w:val="20"/>
                          <w:szCs w:val="20"/>
                          <w:lang w:eastAsia="fr-FR"/>
                        </w:rPr>
                        <w:t xml:space="preserve">for collateral, </w:t>
                      </w:r>
                      <w:r w:rsidRPr="00820B09">
                        <w:rPr>
                          <w:rFonts w:asciiTheme="majorHAnsi" w:hAnsiTheme="majorHAnsi"/>
                          <w:sz w:val="20"/>
                          <w:szCs w:val="20"/>
                          <w:lang w:eastAsia="fr-FR"/>
                        </w:rPr>
                        <w:t>such as land or property. Women with disabilities may also experience legal or cultural barriers to property ownership on the basis of their gender</w:t>
                      </w:r>
                      <w:r w:rsidR="00E7693D" w:rsidRPr="00820B09">
                        <w:rPr>
                          <w:rFonts w:asciiTheme="majorHAnsi" w:hAnsiTheme="majorHAnsi"/>
                          <w:sz w:val="20"/>
                          <w:szCs w:val="20"/>
                          <w:lang w:eastAsia="fr-FR"/>
                        </w:rPr>
                        <w:t xml:space="preserve"> as well as their disability, and y</w:t>
                      </w:r>
                      <w:r w:rsidRPr="00820B09">
                        <w:rPr>
                          <w:rFonts w:asciiTheme="majorHAnsi" w:hAnsiTheme="majorHAnsi"/>
                          <w:sz w:val="20"/>
                          <w:szCs w:val="20"/>
                          <w:lang w:eastAsia="fr-FR"/>
                        </w:rPr>
                        <w:t>oung persons with disabilities face additional age-related barriers to asset ownership and collateral access.</w:t>
                      </w:r>
                    </w:p>
                    <w:p w14:paraId="6A7FD879" w14:textId="77777777" w:rsidR="00E7693D" w:rsidRPr="00820B09" w:rsidRDefault="00E7693D" w:rsidP="00560451">
                      <w:pPr>
                        <w:jc w:val="both"/>
                        <w:rPr>
                          <w:rFonts w:asciiTheme="majorHAnsi" w:hAnsiTheme="majorHAnsi"/>
                          <w:sz w:val="20"/>
                          <w:szCs w:val="20"/>
                          <w:lang w:eastAsia="fr-FR"/>
                        </w:rPr>
                      </w:pPr>
                    </w:p>
                    <w:p w14:paraId="7E2895D0" w14:textId="77777777" w:rsidR="00C15ED9" w:rsidRPr="00820B09" w:rsidRDefault="00E7693D" w:rsidP="00560451">
                      <w:pPr>
                        <w:jc w:val="both"/>
                        <w:rPr>
                          <w:rFonts w:asciiTheme="majorHAnsi" w:hAnsiTheme="majorHAnsi"/>
                          <w:sz w:val="20"/>
                          <w:szCs w:val="20"/>
                          <w:lang w:eastAsia="fr-FR"/>
                        </w:rPr>
                      </w:pPr>
                      <w:r w:rsidRPr="00820B09">
                        <w:rPr>
                          <w:rFonts w:asciiTheme="majorHAnsi" w:hAnsiTheme="majorHAnsi"/>
                          <w:sz w:val="20"/>
                          <w:szCs w:val="20"/>
                          <w:lang w:eastAsia="fr-FR"/>
                        </w:rPr>
                        <w:t xml:space="preserve">Accepting alternative forms of collateral helps to overcome barriers to access for persons with disabilities. </w:t>
                      </w:r>
                      <w:r w:rsidR="00C15ED9" w:rsidRPr="00820B09">
                        <w:rPr>
                          <w:rFonts w:asciiTheme="majorHAnsi" w:hAnsiTheme="majorHAnsi"/>
                          <w:sz w:val="20"/>
                          <w:szCs w:val="20"/>
                          <w:lang w:eastAsia="fr-FR"/>
                        </w:rPr>
                        <w:t xml:space="preserve">Mechanisms that support collateral-free lending include co-borrower or guarantor arrangements with clients, and third-party guarantee schemes through partners such as NGOs or social investors. In some countries, government-backed guarantees or incentives support lending to vulnerable groups, including persons with disabilities. </w:t>
                      </w:r>
                    </w:p>
                    <w:p w14:paraId="1985E78D" w14:textId="77777777" w:rsidR="00C15ED9" w:rsidRPr="00820B09" w:rsidRDefault="00C15ED9" w:rsidP="00560451">
                      <w:pPr>
                        <w:jc w:val="both"/>
                        <w:rPr>
                          <w:rFonts w:asciiTheme="majorHAnsi" w:hAnsiTheme="majorHAnsi"/>
                          <w:sz w:val="20"/>
                          <w:szCs w:val="20"/>
                          <w:lang w:eastAsia="fr-FR"/>
                        </w:rPr>
                      </w:pPr>
                    </w:p>
                    <w:p w14:paraId="18DD08AF" w14:textId="367153E9" w:rsidR="00560451" w:rsidRPr="00820B09" w:rsidRDefault="00E7693D" w:rsidP="00560451">
                      <w:pPr>
                        <w:jc w:val="both"/>
                        <w:rPr>
                          <w:rFonts w:asciiTheme="majorHAnsi" w:hAnsiTheme="majorHAnsi"/>
                          <w:sz w:val="20"/>
                          <w:szCs w:val="20"/>
                          <w:lang w:eastAsia="fr-FR"/>
                        </w:rPr>
                      </w:pPr>
                      <w:r w:rsidRPr="00820B09">
                        <w:rPr>
                          <w:rFonts w:asciiTheme="majorHAnsi" w:hAnsiTheme="majorHAnsi"/>
                          <w:sz w:val="20"/>
                          <w:szCs w:val="20"/>
                          <w:lang w:eastAsia="fr-FR"/>
                        </w:rPr>
                        <w:t>For example, BRAC Myanmar provides a micro-finance loan for persons with disabilities which allows them to appoint a co-borrower as an alternative to collateral</w:t>
                      </w:r>
                      <w:r w:rsidR="003510A0" w:rsidRPr="00820B09">
                        <w:rPr>
                          <w:rFonts w:asciiTheme="majorHAnsi" w:hAnsiTheme="majorHAnsi"/>
                          <w:sz w:val="20"/>
                          <w:szCs w:val="20"/>
                          <w:lang w:eastAsia="fr-FR"/>
                        </w:rPr>
                        <w:t xml:space="preserve"> (see resources for this indicator)</w:t>
                      </w:r>
                    </w:p>
                  </w:txbxContent>
                </v:textbox>
                <w10:wrap type="square" anchorx="margin"/>
              </v:shape>
            </w:pict>
          </mc:Fallback>
        </mc:AlternateContent>
      </w:r>
    </w:p>
    <w:p w14:paraId="59293561" w14:textId="38AF5A75" w:rsidR="00560451" w:rsidRPr="00A608EE" w:rsidRDefault="00560451" w:rsidP="009078A3">
      <w:pPr>
        <w:pStyle w:val="paragraph"/>
        <w:spacing w:before="0" w:beforeAutospacing="0" w:after="0" w:afterAutospacing="0"/>
        <w:jc w:val="both"/>
        <w:textAlignment w:val="baseline"/>
        <w:rPr>
          <w:rFonts w:asciiTheme="majorHAnsi" w:hAnsiTheme="majorHAnsi" w:cstheme="majorHAnsi"/>
          <w:sz w:val="20"/>
          <w:szCs w:val="20"/>
        </w:rPr>
      </w:pPr>
    </w:p>
    <w:p w14:paraId="7BF8E10B" w14:textId="77777777" w:rsidR="00EC40A1" w:rsidRPr="00A608EE" w:rsidRDefault="00EC40A1" w:rsidP="00EE208A">
      <w:pPr>
        <w:pStyle w:val="NormalWeb"/>
        <w:spacing w:before="0" w:beforeAutospacing="0" w:after="0" w:afterAutospacing="0"/>
        <w:jc w:val="both"/>
        <w:rPr>
          <w:rFonts w:asciiTheme="majorHAnsi" w:hAnsiTheme="majorHAnsi" w:cstheme="majorHAnsi"/>
          <w:sz w:val="20"/>
          <w:szCs w:val="20"/>
        </w:rPr>
      </w:pPr>
    </w:p>
    <w:p w14:paraId="4FAB1813" w14:textId="6854100E" w:rsidR="00EC40A1" w:rsidRPr="00A608EE" w:rsidRDefault="00EC40A1" w:rsidP="00EE208A">
      <w:pPr>
        <w:pStyle w:val="NormalWeb"/>
        <w:spacing w:before="0" w:beforeAutospacing="0" w:after="0" w:afterAutospacing="0"/>
        <w:jc w:val="both"/>
        <w:rPr>
          <w:rFonts w:asciiTheme="majorHAnsi" w:hAnsiTheme="majorHAnsi" w:cstheme="majorHAnsi"/>
          <w:b/>
          <w:bCs/>
          <w:sz w:val="20"/>
          <w:szCs w:val="20"/>
        </w:rPr>
      </w:pPr>
      <w:r w:rsidRPr="00A608EE">
        <w:rPr>
          <w:rFonts w:asciiTheme="majorHAnsi" w:hAnsiTheme="majorHAnsi" w:cstheme="majorHAnsi"/>
          <w:b/>
          <w:bCs/>
          <w:sz w:val="20"/>
          <w:szCs w:val="20"/>
        </w:rPr>
        <w:t>Scoring guidance</w:t>
      </w:r>
    </w:p>
    <w:p w14:paraId="71C77202" w14:textId="77777777" w:rsidR="00EC40A1" w:rsidRPr="00A608EE" w:rsidRDefault="00EC40A1" w:rsidP="00A27AAA">
      <w:pPr>
        <w:pStyle w:val="NormalWeb"/>
        <w:numPr>
          <w:ilvl w:val="0"/>
          <w:numId w:val="189"/>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Score ’yes’ if the provider is using alternative forms of collateral for women, young, etc. to remove their specific barriers to access loans or not taking any guarantee or collateral.</w:t>
      </w:r>
    </w:p>
    <w:p w14:paraId="0B6DA027" w14:textId="77777777" w:rsidR="00EC40A1" w:rsidRPr="00A608EE" w:rsidRDefault="00EC40A1" w:rsidP="00A27AAA">
      <w:pPr>
        <w:pStyle w:val="NormalWeb"/>
        <w:numPr>
          <w:ilvl w:val="0"/>
          <w:numId w:val="189"/>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Score ’partially’ if the provider is using collateral that is removing only partially the specific barriers of women, youth, etc. to access loans.</w:t>
      </w:r>
    </w:p>
    <w:p w14:paraId="07A5C187" w14:textId="77777777" w:rsidR="00EC40A1" w:rsidRPr="00A608EE" w:rsidRDefault="00EC40A1" w:rsidP="00A27AAA">
      <w:pPr>
        <w:pStyle w:val="NormalWeb"/>
        <w:numPr>
          <w:ilvl w:val="0"/>
          <w:numId w:val="189"/>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Score ‘no’ if the provider is using collateral with no consideration given to remove any specific barrier of women, youth, etc. to access loans.</w:t>
      </w:r>
    </w:p>
    <w:p w14:paraId="618AFF85" w14:textId="77777777" w:rsidR="00EC40A1" w:rsidRPr="00A608EE" w:rsidRDefault="00EC40A1" w:rsidP="00EE208A">
      <w:pPr>
        <w:pStyle w:val="NormalWeb"/>
        <w:spacing w:before="0" w:beforeAutospacing="0" w:after="0" w:afterAutospacing="0"/>
        <w:jc w:val="both"/>
        <w:rPr>
          <w:rFonts w:asciiTheme="majorHAnsi" w:hAnsiTheme="majorHAnsi" w:cstheme="majorHAnsi"/>
          <w:sz w:val="20"/>
          <w:szCs w:val="20"/>
        </w:rPr>
      </w:pPr>
    </w:p>
    <w:p w14:paraId="7CFE04D9" w14:textId="0D7F23BF" w:rsidR="00EC40A1" w:rsidRPr="00A608EE" w:rsidRDefault="00EC40A1" w:rsidP="00EE208A">
      <w:pPr>
        <w:pStyle w:val="NormalWeb"/>
        <w:spacing w:before="0" w:beforeAutospacing="0" w:after="0" w:afterAutospacing="0"/>
        <w:jc w:val="both"/>
        <w:rPr>
          <w:rFonts w:asciiTheme="majorHAnsi" w:hAnsiTheme="majorHAnsi" w:cstheme="majorHAnsi"/>
          <w:b/>
          <w:bCs/>
          <w:sz w:val="20"/>
          <w:szCs w:val="20"/>
        </w:rPr>
      </w:pPr>
      <w:r w:rsidRPr="00A608EE">
        <w:rPr>
          <w:rFonts w:asciiTheme="majorHAnsi" w:hAnsiTheme="majorHAnsi" w:cstheme="majorHAnsi"/>
          <w:b/>
          <w:bCs/>
          <w:sz w:val="20"/>
          <w:szCs w:val="20"/>
        </w:rPr>
        <w:t>Sources of information</w:t>
      </w:r>
    </w:p>
    <w:p w14:paraId="380CEA80" w14:textId="77777777" w:rsidR="00EC40A1" w:rsidRPr="00A608EE" w:rsidRDefault="00EC40A1" w:rsidP="00A27AAA">
      <w:pPr>
        <w:pStyle w:val="NormalWeb"/>
        <w:numPr>
          <w:ilvl w:val="0"/>
          <w:numId w:val="190"/>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Product factsheets and brochures</w:t>
      </w:r>
    </w:p>
    <w:p w14:paraId="628CF91B" w14:textId="77777777" w:rsidR="00EC40A1" w:rsidRPr="00A608EE" w:rsidRDefault="00EC40A1" w:rsidP="00A27AAA">
      <w:pPr>
        <w:pStyle w:val="NormalWeb"/>
        <w:numPr>
          <w:ilvl w:val="0"/>
          <w:numId w:val="190"/>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Credit Policy &amp; Operational manual</w:t>
      </w:r>
    </w:p>
    <w:p w14:paraId="553D5B05" w14:textId="77777777" w:rsidR="00EC40A1" w:rsidRPr="00A608EE" w:rsidRDefault="00EC40A1" w:rsidP="00A27AAA">
      <w:pPr>
        <w:pStyle w:val="NormalWeb"/>
        <w:numPr>
          <w:ilvl w:val="0"/>
          <w:numId w:val="190"/>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Interviews with operations</w:t>
      </w:r>
    </w:p>
    <w:p w14:paraId="2DD9C355" w14:textId="77777777" w:rsidR="00EC40A1" w:rsidRPr="00A608EE" w:rsidRDefault="00EC40A1" w:rsidP="00A27AAA">
      <w:pPr>
        <w:pStyle w:val="NormalWeb"/>
        <w:numPr>
          <w:ilvl w:val="0"/>
          <w:numId w:val="190"/>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Interviews with loan officers</w:t>
      </w:r>
    </w:p>
    <w:p w14:paraId="162758AA" w14:textId="77777777" w:rsidR="00EC40A1" w:rsidRPr="00A608EE" w:rsidRDefault="00EC40A1" w:rsidP="00A27AAA">
      <w:pPr>
        <w:pStyle w:val="NormalWeb"/>
        <w:numPr>
          <w:ilvl w:val="0"/>
          <w:numId w:val="190"/>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Interviews with legal department</w:t>
      </w:r>
    </w:p>
    <w:p w14:paraId="7E8141DA" w14:textId="77777777" w:rsidR="00EC40A1" w:rsidRPr="00A608EE" w:rsidRDefault="00EC40A1" w:rsidP="00A27AAA">
      <w:pPr>
        <w:pStyle w:val="NormalWeb"/>
        <w:numPr>
          <w:ilvl w:val="0"/>
          <w:numId w:val="190"/>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Client interviews, incl. focus groups (optional)</w:t>
      </w:r>
    </w:p>
    <w:p w14:paraId="0E73DA01" w14:textId="77777777" w:rsidR="00EC40A1" w:rsidRPr="00A608EE" w:rsidRDefault="00EC40A1" w:rsidP="00EE208A">
      <w:pPr>
        <w:pStyle w:val="NormalWeb"/>
        <w:spacing w:before="0" w:beforeAutospacing="0" w:after="0" w:afterAutospacing="0"/>
        <w:jc w:val="both"/>
        <w:rPr>
          <w:rFonts w:asciiTheme="majorHAnsi" w:hAnsiTheme="majorHAnsi" w:cstheme="majorHAnsi"/>
          <w:sz w:val="20"/>
          <w:szCs w:val="20"/>
        </w:rPr>
      </w:pPr>
    </w:p>
    <w:p w14:paraId="3FC84F11" w14:textId="15DE5BC9" w:rsidR="00EC40A1" w:rsidRPr="00A608EE" w:rsidRDefault="00EC40A1" w:rsidP="00EE208A">
      <w:pPr>
        <w:pStyle w:val="NormalWeb"/>
        <w:spacing w:before="0" w:beforeAutospacing="0" w:after="0" w:afterAutospacing="0"/>
        <w:jc w:val="both"/>
        <w:rPr>
          <w:rFonts w:asciiTheme="majorHAnsi" w:hAnsiTheme="majorHAnsi" w:cstheme="majorHAnsi"/>
          <w:b/>
          <w:bCs/>
          <w:sz w:val="20"/>
          <w:szCs w:val="20"/>
        </w:rPr>
      </w:pPr>
      <w:r w:rsidRPr="00A608EE">
        <w:rPr>
          <w:rFonts w:asciiTheme="majorHAnsi" w:hAnsiTheme="majorHAnsi" w:cstheme="majorHAnsi"/>
          <w:b/>
          <w:bCs/>
          <w:sz w:val="20"/>
          <w:szCs w:val="20"/>
        </w:rPr>
        <w:t>Evidence to provide</w:t>
      </w:r>
    </w:p>
    <w:p w14:paraId="028E1738" w14:textId="77777777" w:rsidR="00EC40A1" w:rsidRPr="00A608EE" w:rsidRDefault="00EC40A1" w:rsidP="00EE208A">
      <w:pPr>
        <w:pStyle w:val="NormalWeb"/>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sz w:val="20"/>
          <w:szCs w:val="20"/>
        </w:rPr>
        <w:t>Identify whether there are specific client segments like women and youth that could be constrained by the collateral requirements in accessing loans. Explain whether and how the types of collateral that the provider requires are an alternative that does not create a barrier to access for women, young, etc.</w:t>
      </w:r>
    </w:p>
    <w:p w14:paraId="7CEE7B10" w14:textId="77777777" w:rsidR="001A4B53" w:rsidRPr="00A608EE" w:rsidRDefault="001A4B53" w:rsidP="00EE208A">
      <w:pPr>
        <w:pStyle w:val="NormalWeb"/>
        <w:spacing w:before="0" w:beforeAutospacing="0" w:after="0" w:afterAutospacing="0"/>
        <w:jc w:val="both"/>
        <w:rPr>
          <w:rFonts w:asciiTheme="majorHAnsi" w:hAnsiTheme="majorHAnsi" w:cstheme="majorHAnsi"/>
          <w:sz w:val="20"/>
          <w:szCs w:val="20"/>
        </w:rPr>
      </w:pPr>
    </w:p>
    <w:p w14:paraId="6A3B7DA1" w14:textId="66975030" w:rsidR="001A4B53" w:rsidRPr="00A608EE" w:rsidRDefault="001A4B53" w:rsidP="00EE208A">
      <w:pPr>
        <w:pStyle w:val="NormalWeb"/>
        <w:spacing w:before="0" w:beforeAutospacing="0" w:after="0" w:afterAutospacing="0"/>
        <w:jc w:val="both"/>
        <w:rPr>
          <w:rFonts w:asciiTheme="majorHAnsi" w:hAnsiTheme="majorHAnsi" w:cstheme="majorHAnsi"/>
          <w:b/>
          <w:bCs/>
          <w:sz w:val="20"/>
          <w:szCs w:val="20"/>
        </w:rPr>
      </w:pPr>
      <w:r w:rsidRPr="00A608EE">
        <w:rPr>
          <w:rFonts w:asciiTheme="majorHAnsi" w:hAnsiTheme="majorHAnsi" w:cstheme="majorHAnsi"/>
          <w:b/>
          <w:bCs/>
          <w:sz w:val="20"/>
          <w:szCs w:val="20"/>
        </w:rPr>
        <w:t>Resources for indicator 3.B.3.3</w:t>
      </w:r>
    </w:p>
    <w:p w14:paraId="70710AC9" w14:textId="4997266C" w:rsidR="001A4B53" w:rsidRPr="00A608EE" w:rsidRDefault="00281347" w:rsidP="00A27AAA">
      <w:pPr>
        <w:pStyle w:val="NormalWeb"/>
        <w:numPr>
          <w:ilvl w:val="0"/>
          <w:numId w:val="419"/>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b/>
          <w:bCs/>
          <w:sz w:val="20"/>
          <w:szCs w:val="20"/>
        </w:rPr>
        <w:t>[DI Focus]:</w:t>
      </w:r>
      <w:r w:rsidRPr="00A608EE">
        <w:rPr>
          <w:rFonts w:asciiTheme="majorHAnsi" w:hAnsiTheme="majorHAnsi" w:cstheme="majorHAnsi"/>
          <w:sz w:val="20"/>
          <w:szCs w:val="20"/>
        </w:rPr>
        <w:t xml:space="preserve"> </w:t>
      </w:r>
      <w:hyperlink r:id="rId169" w:history="1">
        <w:r w:rsidRPr="00A608EE">
          <w:rPr>
            <w:rStyle w:val="Hyperlink"/>
            <w:rFonts w:asciiTheme="majorHAnsi" w:hAnsiTheme="majorHAnsi" w:cstheme="majorHAnsi"/>
            <w:sz w:val="20"/>
            <w:szCs w:val="20"/>
          </w:rPr>
          <w:t>Designing holistic solutions for people with disabilities: Lessons from BRAC Myanmar</w:t>
        </w:r>
      </w:hyperlink>
    </w:p>
    <w:p w14:paraId="3A4164A9" w14:textId="77777777" w:rsidR="00340A33" w:rsidRPr="00A608EE" w:rsidRDefault="00340A33" w:rsidP="00EE208A">
      <w:pPr>
        <w:jc w:val="both"/>
        <w:rPr>
          <w:rFonts w:asciiTheme="majorHAnsi" w:hAnsiTheme="majorHAnsi"/>
          <w:szCs w:val="20"/>
        </w:rPr>
      </w:pPr>
    </w:p>
    <w:p w14:paraId="303DE12B" w14:textId="67FAADFE" w:rsidR="003C40FB" w:rsidRPr="00A608EE" w:rsidRDefault="003C40FB" w:rsidP="00EE208A">
      <w:pPr>
        <w:pStyle w:val="Heading4"/>
        <w:spacing w:before="0" w:line="240" w:lineRule="auto"/>
        <w:jc w:val="both"/>
      </w:pPr>
      <w:r w:rsidRPr="00A608EE">
        <w:rPr>
          <w:rStyle w:val="text-primary"/>
        </w:rPr>
        <w:t>3.B.3.7</w:t>
      </w:r>
      <w:r w:rsidRPr="00A608EE">
        <w:t xml:space="preserve"> </w:t>
      </w:r>
      <w:r w:rsidR="007221E6" w:rsidRPr="00A608EE">
        <w:t>If the provider uses agents, it monitors agent liquidity and whether agents respect client protection practices and has mechanisms to address problems as needed</w:t>
      </w:r>
      <w:r w:rsidR="008752C8" w:rsidRPr="00A608EE">
        <w:t>.</w:t>
      </w:r>
    </w:p>
    <w:p w14:paraId="7B5E348B" w14:textId="77777777" w:rsidR="00FF15DB" w:rsidRPr="00A608EE" w:rsidRDefault="00FF15DB" w:rsidP="00EE208A">
      <w:pPr>
        <w:jc w:val="both"/>
        <w:rPr>
          <w:rFonts w:asciiTheme="majorHAnsi" w:hAnsiTheme="majorHAnsi"/>
          <w:szCs w:val="20"/>
        </w:rPr>
      </w:pPr>
    </w:p>
    <w:p w14:paraId="0E6C75DD" w14:textId="60FBC508" w:rsidR="00340A33" w:rsidRPr="00A608EE" w:rsidRDefault="004F5FC3" w:rsidP="00EE208A">
      <w:pPr>
        <w:pStyle w:val="NormalWeb"/>
        <w:spacing w:before="0" w:beforeAutospacing="0" w:after="0" w:afterAutospacing="0"/>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40A33" w:rsidRPr="00A608EE">
        <w:rPr>
          <w:rFonts w:asciiTheme="majorHAnsi" w:hAnsiTheme="majorHAnsi"/>
          <w:b/>
          <w:bCs/>
          <w:color w:val="2145CC" w:themeColor="accent5" w:themeShade="BF"/>
          <w:sz w:val="20"/>
          <w:szCs w:val="20"/>
        </w:rPr>
        <w:t>SPI5 Full</w:t>
      </w:r>
      <w:r w:rsidR="00615EE5" w:rsidRPr="00A608EE">
        <w:rPr>
          <w:rFonts w:asciiTheme="majorHAnsi" w:hAnsiTheme="majorHAnsi"/>
          <w:b/>
          <w:bCs/>
          <w:color w:val="2145CC" w:themeColor="accent5" w:themeShade="BF"/>
          <w:sz w:val="20"/>
          <w:szCs w:val="20"/>
        </w:rPr>
        <w:t xml:space="preserve"> | </w:t>
      </w:r>
      <w:r w:rsidR="00340A33" w:rsidRPr="00A608EE">
        <w:rPr>
          <w:rFonts w:asciiTheme="majorHAnsi" w:hAnsiTheme="majorHAnsi"/>
          <w:b/>
          <w:bCs/>
          <w:color w:val="2145CC" w:themeColor="accent5" w:themeShade="BF"/>
          <w:sz w:val="20"/>
          <w:szCs w:val="20"/>
        </w:rPr>
        <w:t>CP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10179F0F" w14:textId="07952044" w:rsidR="007221E6" w:rsidRPr="00A608EE" w:rsidRDefault="009078A3"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r w:rsidR="007221E6" w:rsidRPr="00A608EE">
        <w:rPr>
          <w:rFonts w:asciiTheme="majorHAnsi" w:hAnsiTheme="majorHAnsi"/>
          <w:sz w:val="20"/>
          <w:szCs w:val="20"/>
        </w:rPr>
        <w:t>There are many different types of agents. The main distinction is whether they are working exclusively for the provider (</w:t>
      </w:r>
      <w:r w:rsidR="00221BCE" w:rsidRPr="00A608EE">
        <w:rPr>
          <w:rFonts w:asciiTheme="majorHAnsi" w:hAnsiTheme="majorHAnsi"/>
          <w:sz w:val="20"/>
          <w:szCs w:val="20"/>
        </w:rPr>
        <w:t>e.g.,</w:t>
      </w:r>
      <w:r w:rsidR="007221E6" w:rsidRPr="00A608EE">
        <w:rPr>
          <w:rFonts w:asciiTheme="majorHAnsi" w:hAnsiTheme="majorHAnsi"/>
          <w:sz w:val="20"/>
          <w:szCs w:val="20"/>
        </w:rPr>
        <w:t xml:space="preserve"> local people supporting branch staff in serving clients in their own communities on a commission basis like receiving a monthly percentage of the </w:t>
      </w:r>
      <w:r w:rsidR="007221E6" w:rsidRPr="00A608EE">
        <w:rPr>
          <w:rFonts w:asciiTheme="majorHAnsi" w:hAnsiTheme="majorHAnsi"/>
          <w:sz w:val="20"/>
          <w:szCs w:val="20"/>
        </w:rPr>
        <w:lastRenderedPageBreak/>
        <w:t>loan interest paid by the borrowers in the local community concerned) or as independent agents for other providers as well (</w:t>
      </w:r>
      <w:r w:rsidR="00221BCE" w:rsidRPr="00A608EE">
        <w:rPr>
          <w:rFonts w:asciiTheme="majorHAnsi" w:hAnsiTheme="majorHAnsi"/>
          <w:sz w:val="20"/>
          <w:szCs w:val="20"/>
        </w:rPr>
        <w:t>e.g.,</w:t>
      </w:r>
      <w:r w:rsidR="007221E6" w:rsidRPr="00A608EE">
        <w:rPr>
          <w:rFonts w:asciiTheme="majorHAnsi" w:hAnsiTheme="majorHAnsi"/>
          <w:sz w:val="20"/>
          <w:szCs w:val="20"/>
        </w:rPr>
        <w:t xml:space="preserve"> individual service providers or licensed mobile money providers). Many agents offer cash-in and cash-out services to the clients of the provider, but there are also agents who just collect loan repayments for the branch staff or do not handle cash at all. The provider needs to monitor agent liquidity (</w:t>
      </w:r>
      <w:r w:rsidR="00221BCE" w:rsidRPr="00A608EE">
        <w:rPr>
          <w:rFonts w:asciiTheme="majorHAnsi" w:hAnsiTheme="majorHAnsi"/>
          <w:sz w:val="20"/>
          <w:szCs w:val="20"/>
        </w:rPr>
        <w:t>i.e.,</w:t>
      </w:r>
      <w:r w:rsidR="007221E6" w:rsidRPr="00A608EE">
        <w:rPr>
          <w:rFonts w:asciiTheme="majorHAnsi" w:hAnsiTheme="majorHAnsi"/>
          <w:sz w:val="20"/>
          <w:szCs w:val="20"/>
        </w:rPr>
        <w:t xml:space="preserve"> whether clients are able to access funds at all times) only for its agents with cash-out functions. The provider must monitor compliance of all agents with its own client protection practices which is easier with exclusive agents compared to independent agents.</w:t>
      </w:r>
    </w:p>
    <w:p w14:paraId="43C77958" w14:textId="4B7D479D"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noProof/>
          <w:sz w:val="20"/>
          <w:szCs w:val="20"/>
        </w:rPr>
        <w:drawing>
          <wp:anchor distT="0" distB="0" distL="114300" distR="114300" simplePos="0" relativeHeight="251840512" behindDoc="1" locked="0" layoutInCell="1" allowOverlap="1" wp14:anchorId="53BDD74B" wp14:editId="58958918">
            <wp:simplePos x="0" y="0"/>
            <wp:positionH relativeFrom="margin">
              <wp:align>left</wp:align>
            </wp:positionH>
            <wp:positionV relativeFrom="paragraph">
              <wp:posOffset>146050</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66144133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41EA474B" w14:textId="1E41559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12FB879C"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p>
    <w:p w14:paraId="550C8135" w14:textId="3CC3014F" w:rsidR="009078A3"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9078A3" w:rsidRPr="00A608EE">
        <w:rPr>
          <w:rFonts w:asciiTheme="majorHAnsi" w:hAnsiTheme="majorHAnsi"/>
          <w:sz w:val="20"/>
          <w:szCs w:val="20"/>
          <w:lang w:eastAsia="fr-FR"/>
        </w:rPr>
        <w:t>If the provider uses agents, it should have procedures to ensure agents comply with its client protection policies, including specific client protection measures related to clients with disabilities, and that services provided by agents are accessible for clients with disabilities.</w:t>
      </w:r>
    </w:p>
    <w:p w14:paraId="31F1F239" w14:textId="77777777" w:rsidR="009078A3" w:rsidRPr="00A608EE" w:rsidRDefault="009078A3" w:rsidP="00EE208A">
      <w:pPr>
        <w:jc w:val="both"/>
        <w:rPr>
          <w:rFonts w:asciiTheme="majorHAnsi" w:hAnsiTheme="majorHAnsi"/>
          <w:sz w:val="20"/>
          <w:szCs w:val="20"/>
          <w:lang w:eastAsia="fr-FR"/>
        </w:rPr>
      </w:pPr>
    </w:p>
    <w:p w14:paraId="24EAE5CA" w14:textId="77777777" w:rsidR="007221E6" w:rsidRPr="00A608EE" w:rsidRDefault="007221E6"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627E4ECC" w14:textId="77777777" w:rsidR="007221E6" w:rsidRPr="00A608EE" w:rsidRDefault="007221E6" w:rsidP="00A27AAA">
      <w:pPr>
        <w:numPr>
          <w:ilvl w:val="0"/>
          <w:numId w:val="191"/>
        </w:numPr>
        <w:jc w:val="both"/>
        <w:rPr>
          <w:rFonts w:asciiTheme="majorHAnsi" w:hAnsiTheme="majorHAnsi"/>
          <w:sz w:val="20"/>
          <w:szCs w:val="20"/>
          <w:lang w:eastAsia="fr-FR"/>
        </w:rPr>
      </w:pPr>
      <w:r w:rsidRPr="00A608EE">
        <w:rPr>
          <w:rFonts w:asciiTheme="majorHAnsi" w:hAnsiTheme="majorHAnsi"/>
          <w:sz w:val="20"/>
          <w:szCs w:val="20"/>
          <w:lang w:eastAsia="fr-FR"/>
        </w:rPr>
        <w:t>Score ‘N/A’ if the provider does not use any type of agents.</w:t>
      </w:r>
    </w:p>
    <w:p w14:paraId="22A1CED7" w14:textId="77777777" w:rsidR="007221E6" w:rsidRPr="00A608EE" w:rsidRDefault="007221E6" w:rsidP="00A27AAA">
      <w:pPr>
        <w:numPr>
          <w:ilvl w:val="0"/>
          <w:numId w:val="191"/>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w:t>
      </w:r>
    </w:p>
    <w:p w14:paraId="3488C2B5" w14:textId="77777777" w:rsidR="007221E6" w:rsidRPr="00A608EE" w:rsidRDefault="007221E6" w:rsidP="00A27AAA">
      <w:pPr>
        <w:numPr>
          <w:ilvl w:val="1"/>
          <w:numId w:val="191"/>
        </w:numPr>
        <w:jc w:val="both"/>
        <w:rPr>
          <w:rFonts w:asciiTheme="majorHAnsi" w:hAnsiTheme="majorHAnsi"/>
          <w:sz w:val="20"/>
          <w:szCs w:val="20"/>
          <w:lang w:eastAsia="fr-FR"/>
        </w:rPr>
      </w:pPr>
      <w:r w:rsidRPr="00A608EE">
        <w:rPr>
          <w:rFonts w:asciiTheme="majorHAnsi" w:hAnsiTheme="majorHAnsi"/>
          <w:sz w:val="20"/>
          <w:szCs w:val="20"/>
          <w:lang w:eastAsia="fr-FR"/>
        </w:rPr>
        <w:t>is monitoring regularly (at least annually) that all its agents are complying with its own client protection practices, incl. easy access to a client complaints mechanism, and</w:t>
      </w:r>
    </w:p>
    <w:p w14:paraId="7DA260DB" w14:textId="77777777" w:rsidR="007221E6" w:rsidRPr="00A608EE" w:rsidRDefault="007221E6" w:rsidP="00A27AAA">
      <w:pPr>
        <w:numPr>
          <w:ilvl w:val="1"/>
          <w:numId w:val="191"/>
        </w:numPr>
        <w:jc w:val="both"/>
        <w:rPr>
          <w:rFonts w:asciiTheme="majorHAnsi" w:hAnsiTheme="majorHAnsi"/>
          <w:sz w:val="20"/>
          <w:szCs w:val="20"/>
          <w:lang w:eastAsia="fr-FR"/>
        </w:rPr>
      </w:pPr>
      <w:r w:rsidRPr="00A608EE">
        <w:rPr>
          <w:rFonts w:asciiTheme="majorHAnsi" w:hAnsiTheme="majorHAnsi"/>
          <w:sz w:val="20"/>
          <w:szCs w:val="20"/>
          <w:lang w:eastAsia="fr-FR"/>
        </w:rPr>
        <w:t>is addressing problems as needed.</w:t>
      </w:r>
    </w:p>
    <w:p w14:paraId="6F5D1E8D" w14:textId="6BA7C79C" w:rsidR="007221E6" w:rsidRPr="00A608EE" w:rsidRDefault="007221E6" w:rsidP="00EE208A">
      <w:pPr>
        <w:ind w:firstLine="708"/>
        <w:jc w:val="both"/>
        <w:rPr>
          <w:rFonts w:asciiTheme="majorHAnsi" w:hAnsiTheme="majorHAnsi"/>
          <w:sz w:val="20"/>
          <w:szCs w:val="20"/>
          <w:lang w:eastAsia="fr-FR"/>
        </w:rPr>
      </w:pPr>
      <w:r w:rsidRPr="00A608EE">
        <w:rPr>
          <w:rFonts w:asciiTheme="majorHAnsi" w:hAnsiTheme="majorHAnsi"/>
          <w:sz w:val="20"/>
          <w:szCs w:val="20"/>
          <w:lang w:eastAsia="fr-FR"/>
        </w:rPr>
        <w:t>In the case that the provider has agents with cash-out functions, it:</w:t>
      </w:r>
    </w:p>
    <w:p w14:paraId="6269EAE0" w14:textId="77777777" w:rsidR="007221E6" w:rsidRPr="00A608EE" w:rsidRDefault="007221E6" w:rsidP="00A27AAA">
      <w:pPr>
        <w:numPr>
          <w:ilvl w:val="1"/>
          <w:numId w:val="192"/>
        </w:numPr>
        <w:jc w:val="both"/>
        <w:rPr>
          <w:rFonts w:asciiTheme="majorHAnsi" w:hAnsiTheme="majorHAnsi"/>
          <w:sz w:val="20"/>
          <w:szCs w:val="20"/>
          <w:lang w:eastAsia="fr-FR"/>
        </w:rPr>
      </w:pPr>
      <w:r w:rsidRPr="00A608EE">
        <w:rPr>
          <w:rFonts w:asciiTheme="majorHAnsi" w:hAnsiTheme="majorHAnsi"/>
          <w:sz w:val="20"/>
          <w:szCs w:val="20"/>
          <w:lang w:eastAsia="fr-FR"/>
        </w:rPr>
        <w:t>is monitoring agent liquidity regularly (at least monthly on a sample basis) to ensure sufficient liquidity at all times for its clients, and</w:t>
      </w:r>
    </w:p>
    <w:p w14:paraId="146483B2" w14:textId="77777777" w:rsidR="007221E6" w:rsidRPr="00A608EE" w:rsidRDefault="007221E6" w:rsidP="00A27AAA">
      <w:pPr>
        <w:numPr>
          <w:ilvl w:val="1"/>
          <w:numId w:val="192"/>
        </w:numPr>
        <w:jc w:val="both"/>
        <w:rPr>
          <w:rFonts w:asciiTheme="majorHAnsi" w:hAnsiTheme="majorHAnsi"/>
          <w:sz w:val="20"/>
          <w:szCs w:val="20"/>
          <w:lang w:eastAsia="fr-FR"/>
        </w:rPr>
      </w:pPr>
      <w:r w:rsidRPr="00A608EE">
        <w:rPr>
          <w:rFonts w:asciiTheme="majorHAnsi" w:hAnsiTheme="majorHAnsi"/>
          <w:sz w:val="20"/>
          <w:szCs w:val="20"/>
          <w:lang w:eastAsia="fr-FR"/>
        </w:rPr>
        <w:t>is addressing problems as needed.</w:t>
      </w:r>
    </w:p>
    <w:p w14:paraId="6F1D01DA" w14:textId="77777777" w:rsidR="007221E6" w:rsidRPr="00A608EE" w:rsidRDefault="007221E6" w:rsidP="00A27AAA">
      <w:pPr>
        <w:numPr>
          <w:ilvl w:val="0"/>
          <w:numId w:val="193"/>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does not comply fully with one of the two above-mentioned conditions to ensure that all agents comply with its client protection practices, but complies fully with both conditions related to the agents with cash-out function or vice versa.</w:t>
      </w:r>
    </w:p>
    <w:p w14:paraId="46DCFF42" w14:textId="77777777" w:rsidR="007221E6" w:rsidRPr="00A608EE" w:rsidRDefault="007221E6" w:rsidP="00A27AAA">
      <w:pPr>
        <w:numPr>
          <w:ilvl w:val="0"/>
          <w:numId w:val="193"/>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does not meet both of the two above-mentioned conditions for monitoring the compliance of all agents with its client protection practices even if it monitors agent liquidity.</w:t>
      </w:r>
    </w:p>
    <w:p w14:paraId="099A1E56" w14:textId="77777777" w:rsidR="005A044D" w:rsidRPr="00A608EE" w:rsidRDefault="005A044D" w:rsidP="00EE208A">
      <w:pPr>
        <w:jc w:val="both"/>
        <w:rPr>
          <w:rFonts w:asciiTheme="majorHAnsi" w:hAnsiTheme="majorHAnsi"/>
          <w:szCs w:val="20"/>
        </w:rPr>
      </w:pPr>
    </w:p>
    <w:p w14:paraId="33993A8B" w14:textId="12CBED80" w:rsidR="003C5F5C" w:rsidRPr="00A608EE" w:rsidRDefault="003C5F5C" w:rsidP="00EE208A">
      <w:pPr>
        <w:pStyle w:val="Heading3"/>
        <w:spacing w:before="0" w:line="240" w:lineRule="auto"/>
        <w:jc w:val="both"/>
      </w:pPr>
      <w:bookmarkStart w:id="62" w:name="_Toc230938793"/>
      <w:r w:rsidRPr="00A608EE">
        <w:rPr>
          <w:rStyle w:val="text-primary"/>
        </w:rPr>
        <w:t>3.B.4</w:t>
      </w:r>
      <w:r w:rsidRPr="00A608EE">
        <w:t xml:space="preserve"> </w:t>
      </w:r>
      <w:r w:rsidR="00FA2471" w:rsidRPr="00A608EE">
        <w:t>The provider's products and services help clients reduce their vulnerability to shock and smooth consumption</w:t>
      </w:r>
      <w:r w:rsidR="00390A77" w:rsidRPr="00A608EE">
        <w:t>.</w:t>
      </w:r>
      <w:bookmarkEnd w:id="62"/>
    </w:p>
    <w:p w14:paraId="5F6CBB52" w14:textId="77777777" w:rsidR="005A044D" w:rsidRPr="00A608EE" w:rsidRDefault="005A044D" w:rsidP="00EE208A">
      <w:pPr>
        <w:jc w:val="both"/>
        <w:rPr>
          <w:rFonts w:asciiTheme="majorHAnsi" w:hAnsiTheme="majorHAnsi"/>
          <w:szCs w:val="20"/>
        </w:rPr>
      </w:pPr>
    </w:p>
    <w:p w14:paraId="0A195ABA" w14:textId="77777777" w:rsidR="00FA2471" w:rsidRPr="00A608EE" w:rsidRDefault="00FA247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Reducing Client Risks</w:t>
      </w:r>
    </w:p>
    <w:p w14:paraId="09BA5802" w14:textId="1670CEFF" w:rsidR="00FA2471" w:rsidRPr="00A608EE" w:rsidRDefault="00FA2471" w:rsidP="00EE208A">
      <w:pPr>
        <w:jc w:val="both"/>
        <w:rPr>
          <w:rFonts w:asciiTheme="majorHAnsi" w:hAnsiTheme="majorHAnsi"/>
          <w:sz w:val="20"/>
          <w:szCs w:val="20"/>
          <w:lang w:eastAsia="fr-FR"/>
        </w:rPr>
      </w:pPr>
      <w:r w:rsidRPr="00A608EE">
        <w:rPr>
          <w:rFonts w:asciiTheme="majorHAnsi" w:hAnsiTheme="majorHAnsi"/>
          <w:sz w:val="20"/>
          <w:szCs w:val="20"/>
          <w:lang w:eastAsia="fr-FR"/>
        </w:rPr>
        <w:t>Clients need a diverse and flexible set of products/services to reduce risks and cope with emergencies. The provider may offer some products and services like insurance, mobile money transfer, and non-financial services indirectly through partners. Example of products/services which help clients to reduce risks and cope with emergencies include:</w:t>
      </w:r>
    </w:p>
    <w:p w14:paraId="4CCEEE50" w14:textId="77777777" w:rsidR="00FA2471" w:rsidRPr="00A608EE" w:rsidRDefault="00FA2471"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t>Loans to cope with emergencies and reduce risks, including, but not limited to emergency loans;</w:t>
      </w:r>
    </w:p>
    <w:p w14:paraId="399945A2" w14:textId="77777777" w:rsidR="00FA2471" w:rsidRPr="00A608EE" w:rsidRDefault="00FA2471"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t>Rescheduling or restructuring of loans, when appropriate;</w:t>
      </w:r>
    </w:p>
    <w:p w14:paraId="48113822" w14:textId="77777777" w:rsidR="00FA2471" w:rsidRPr="00A608EE" w:rsidRDefault="00FA2471"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t>Savings to cope with emergencies and reduce risks, including products that allow clients to withdraw money rapidly and without complicated procedures;</w:t>
      </w:r>
    </w:p>
    <w:p w14:paraId="57A359D9" w14:textId="77777777" w:rsidR="00FA2471" w:rsidRPr="00A608EE" w:rsidRDefault="00FA2471"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t>Insurance, including, but not limited to coverage for credit-life, life, health, assets (e.g., home), and agriculture;</w:t>
      </w:r>
    </w:p>
    <w:p w14:paraId="30BAD072" w14:textId="77777777" w:rsidR="00FA2471" w:rsidRPr="00A608EE" w:rsidRDefault="00FA2471"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t>Payments/remittances services that allow clients to quickly receive funds from other people when needed;</w:t>
      </w:r>
    </w:p>
    <w:p w14:paraId="09DB6D80" w14:textId="77777777" w:rsidR="00FA2471" w:rsidRPr="00A608EE" w:rsidRDefault="2975F0E7"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t>Training services to strengthen clients’ capacities to prevent risks (e.g., health education), or to strengthen their capacities to cope with risks (e.g. women’s empowerment, or business skills);</w:t>
      </w:r>
    </w:p>
    <w:p w14:paraId="420470F0" w14:textId="7ACF3D75" w:rsidR="00FA2471" w:rsidRPr="00A608EE" w:rsidRDefault="00FA2471"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Funds or reserves earmarked in case of natural disasters, such as an emergency fund against which clients can borrow at zero interest; and</w:t>
      </w:r>
    </w:p>
    <w:p w14:paraId="3F6D6BD2" w14:textId="77777777" w:rsidR="00FA2471" w:rsidRPr="00A608EE" w:rsidRDefault="00FA2471" w:rsidP="00A27AAA">
      <w:pPr>
        <w:numPr>
          <w:ilvl w:val="0"/>
          <w:numId w:val="194"/>
        </w:numPr>
        <w:jc w:val="both"/>
        <w:rPr>
          <w:rFonts w:asciiTheme="majorHAnsi" w:hAnsiTheme="majorHAnsi"/>
          <w:sz w:val="20"/>
          <w:szCs w:val="20"/>
          <w:lang w:eastAsia="fr-FR"/>
        </w:rPr>
      </w:pPr>
      <w:r w:rsidRPr="00A608EE">
        <w:rPr>
          <w:rFonts w:asciiTheme="majorHAnsi" w:hAnsiTheme="majorHAnsi"/>
          <w:sz w:val="20"/>
          <w:szCs w:val="20"/>
          <w:lang w:eastAsia="fr-FR"/>
        </w:rPr>
        <w:t>Group risk transfer coverage for all clients against natural disasters and for all farmers against input losses through drought and flood. Group policy covers of the provider may be feasible and affordable if a substantive number of clients are covered (e.g. by insuring its agricultural loan portfolio against adverse weather events). Another option for the provider is to help clients linking   to partly or fully subsidized national agricultural insurance and/or social protection programs.</w:t>
      </w:r>
    </w:p>
    <w:p w14:paraId="51F8A8C4" w14:textId="77777777" w:rsidR="00FA2471" w:rsidRPr="00A608EE" w:rsidRDefault="00FA2471" w:rsidP="00EE208A">
      <w:pPr>
        <w:jc w:val="both"/>
        <w:rPr>
          <w:rFonts w:asciiTheme="majorHAnsi" w:hAnsiTheme="majorHAnsi"/>
          <w:b/>
          <w:bCs/>
          <w:sz w:val="20"/>
          <w:szCs w:val="20"/>
          <w:lang w:eastAsia="fr-FR"/>
        </w:rPr>
      </w:pPr>
    </w:p>
    <w:p w14:paraId="63CE3FD0" w14:textId="5DA9B103" w:rsidR="00FA2471" w:rsidRPr="00A608EE" w:rsidRDefault="00FA247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3.B.4</w:t>
      </w:r>
    </w:p>
    <w:p w14:paraId="6B2856D6" w14:textId="77777777" w:rsidR="002D1A22" w:rsidRPr="00A608EE" w:rsidRDefault="002D1A22" w:rsidP="00A27AAA">
      <w:pPr>
        <w:numPr>
          <w:ilvl w:val="0"/>
          <w:numId w:val="66"/>
        </w:numPr>
        <w:jc w:val="both"/>
        <w:rPr>
          <w:rFonts w:asciiTheme="majorHAnsi" w:hAnsiTheme="majorHAnsi"/>
          <w:sz w:val="20"/>
          <w:szCs w:val="20"/>
        </w:rPr>
      </w:pPr>
      <w:hyperlink r:id="rId170" w:tgtFrame="_blank" w:history="1">
        <w:r w:rsidRPr="00A608EE">
          <w:rPr>
            <w:rStyle w:val="Hyperlink"/>
            <w:rFonts w:asciiTheme="majorHAnsi" w:hAnsiTheme="majorHAnsi"/>
            <w:sz w:val="20"/>
            <w:szCs w:val="20"/>
          </w:rPr>
          <w:t>Microfund for Women (Jordan) Insurance Products</w:t>
        </w:r>
      </w:hyperlink>
    </w:p>
    <w:p w14:paraId="05983FC4" w14:textId="77777777" w:rsidR="002D1A22" w:rsidRPr="00A608EE" w:rsidRDefault="002D1A22" w:rsidP="00A27AAA">
      <w:pPr>
        <w:numPr>
          <w:ilvl w:val="0"/>
          <w:numId w:val="66"/>
        </w:numPr>
        <w:jc w:val="both"/>
        <w:rPr>
          <w:rFonts w:asciiTheme="majorHAnsi" w:hAnsiTheme="majorHAnsi"/>
          <w:sz w:val="20"/>
          <w:szCs w:val="20"/>
        </w:rPr>
      </w:pPr>
      <w:hyperlink r:id="rId171" w:tgtFrame="_blank" w:history="1">
        <w:r w:rsidRPr="00A608EE">
          <w:rPr>
            <w:rStyle w:val="Hyperlink"/>
            <w:rFonts w:asciiTheme="majorHAnsi" w:hAnsiTheme="majorHAnsi"/>
            <w:sz w:val="20"/>
            <w:szCs w:val="20"/>
          </w:rPr>
          <w:t>MUSOMA Uses Savings to Help Clients Reduce Risk and Manage Anticipated Needs</w:t>
        </w:r>
      </w:hyperlink>
    </w:p>
    <w:p w14:paraId="3CD2E499" w14:textId="77777777" w:rsidR="002D1A22" w:rsidRPr="00A608EE" w:rsidRDefault="002D1A22" w:rsidP="00A27AAA">
      <w:pPr>
        <w:numPr>
          <w:ilvl w:val="0"/>
          <w:numId w:val="66"/>
        </w:numPr>
        <w:jc w:val="both"/>
        <w:rPr>
          <w:rFonts w:asciiTheme="majorHAnsi" w:hAnsiTheme="majorHAnsi"/>
          <w:sz w:val="20"/>
          <w:szCs w:val="20"/>
        </w:rPr>
      </w:pPr>
      <w:hyperlink r:id="rId172" w:tgtFrame="_blank" w:history="1">
        <w:r w:rsidRPr="00A608EE">
          <w:rPr>
            <w:rStyle w:val="Hyperlink"/>
            <w:rFonts w:asciiTheme="majorHAnsi" w:hAnsiTheme="majorHAnsi"/>
            <w:sz w:val="20"/>
            <w:szCs w:val="20"/>
          </w:rPr>
          <w:t>Microfund for Women's Caregiver Experience Lessons from Jordan on Health Microinsurance</w:t>
        </w:r>
      </w:hyperlink>
    </w:p>
    <w:p w14:paraId="01988360" w14:textId="77777777" w:rsidR="002D1A22" w:rsidRPr="00A608EE" w:rsidRDefault="002D1A22" w:rsidP="00A27AAA">
      <w:pPr>
        <w:numPr>
          <w:ilvl w:val="0"/>
          <w:numId w:val="66"/>
        </w:numPr>
        <w:jc w:val="both"/>
        <w:rPr>
          <w:rFonts w:asciiTheme="majorHAnsi" w:hAnsiTheme="majorHAnsi"/>
          <w:sz w:val="20"/>
          <w:szCs w:val="20"/>
        </w:rPr>
      </w:pPr>
      <w:hyperlink r:id="rId173" w:tgtFrame="_blank" w:history="1">
        <w:r w:rsidRPr="00A608EE">
          <w:rPr>
            <w:rStyle w:val="Hyperlink"/>
            <w:rFonts w:asciiTheme="majorHAnsi" w:hAnsiTheme="majorHAnsi"/>
            <w:sz w:val="20"/>
            <w:szCs w:val="20"/>
          </w:rPr>
          <w:t>Designing Financial Services to Respond to Household Shocks</w:t>
        </w:r>
      </w:hyperlink>
    </w:p>
    <w:p w14:paraId="2017B59A" w14:textId="77777777" w:rsidR="00DA0B63" w:rsidRPr="00A608EE" w:rsidRDefault="00DA0B63" w:rsidP="00EE208A">
      <w:pPr>
        <w:jc w:val="both"/>
        <w:rPr>
          <w:rStyle w:val="Hyperlink"/>
          <w:rFonts w:asciiTheme="majorHAnsi" w:hAnsiTheme="majorHAnsi"/>
          <w:color w:val="auto"/>
          <w:szCs w:val="20"/>
          <w:u w:val="none"/>
        </w:rPr>
      </w:pPr>
    </w:p>
    <w:p w14:paraId="34BE535C" w14:textId="77777777" w:rsidR="000B0A8C" w:rsidRPr="00A608EE" w:rsidRDefault="000B0A8C" w:rsidP="00EE208A">
      <w:pPr>
        <w:jc w:val="both"/>
        <w:rPr>
          <w:rFonts w:asciiTheme="majorHAnsi" w:hAnsiTheme="majorHAnsi"/>
          <w:szCs w:val="20"/>
        </w:rPr>
      </w:pPr>
    </w:p>
    <w:p w14:paraId="3BBAE71E" w14:textId="0D447872" w:rsidR="003C5F5C" w:rsidRPr="00A608EE" w:rsidRDefault="003C5F5C" w:rsidP="00EE208A">
      <w:pPr>
        <w:pStyle w:val="Heading4"/>
        <w:spacing w:before="0" w:line="240" w:lineRule="auto"/>
        <w:jc w:val="both"/>
      </w:pPr>
      <w:r w:rsidRPr="00A608EE">
        <w:rPr>
          <w:rStyle w:val="text-primary"/>
        </w:rPr>
        <w:t xml:space="preserve">3.B.4.1 </w:t>
      </w:r>
      <w:r w:rsidR="006D1866" w:rsidRPr="00A608EE">
        <w:t>The provider offers products and services for basic needs, such as housing, energy, and education</w:t>
      </w:r>
      <w:r w:rsidR="00390A77" w:rsidRPr="00A608EE">
        <w:t>.</w:t>
      </w:r>
    </w:p>
    <w:p w14:paraId="3D90E64A" w14:textId="77777777" w:rsidR="00E65C40" w:rsidRPr="00A608EE" w:rsidRDefault="00E65C40" w:rsidP="00EE208A">
      <w:pPr>
        <w:pStyle w:val="NormalWeb"/>
        <w:spacing w:before="0" w:beforeAutospacing="0" w:after="0" w:afterAutospacing="0"/>
        <w:jc w:val="both"/>
        <w:rPr>
          <w:rFonts w:asciiTheme="majorHAnsi" w:hAnsiTheme="majorHAnsi"/>
          <w:sz w:val="20"/>
          <w:szCs w:val="20"/>
        </w:rPr>
      </w:pPr>
    </w:p>
    <w:p w14:paraId="5BDFC98F" w14:textId="1A9FA0AD" w:rsidR="00340A33" w:rsidRPr="00A608EE" w:rsidRDefault="004F5FC3" w:rsidP="00EE208A">
      <w:pPr>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340A33" w:rsidRPr="00A608EE">
        <w:rPr>
          <w:rFonts w:asciiTheme="majorHAnsi" w:hAnsiTheme="majorHAnsi"/>
          <w:b/>
          <w:bCs/>
          <w:color w:val="2145CC" w:themeColor="accent5" w:themeShade="BF"/>
          <w:sz w:val="20"/>
          <w:szCs w:val="20"/>
        </w:rPr>
        <w:t>SPI5 Entry</w:t>
      </w:r>
      <w:r w:rsidR="00615EE5" w:rsidRPr="00A608EE">
        <w:rPr>
          <w:rFonts w:asciiTheme="majorHAnsi" w:hAnsiTheme="majorHAnsi"/>
          <w:b/>
          <w:bCs/>
          <w:color w:val="2145CC" w:themeColor="accent5" w:themeShade="BF"/>
          <w:sz w:val="20"/>
          <w:szCs w:val="20"/>
        </w:rPr>
        <w:t xml:space="preserve"> | </w:t>
      </w:r>
      <w:r w:rsidR="00340A33"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62CE6C0E" w14:textId="46A4B6DB" w:rsidR="009078A3" w:rsidRPr="00A608EE" w:rsidRDefault="009078A3"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r w:rsidR="006D1866" w:rsidRPr="00A608EE">
        <w:rPr>
          <w:rFonts w:asciiTheme="majorHAnsi" w:hAnsiTheme="majorHAnsi"/>
          <w:sz w:val="20"/>
          <w:szCs w:val="20"/>
        </w:rPr>
        <w:t>Providers should support clients and their household members in getting access to basic needs to ensure the minimum required quality of their living standards.</w:t>
      </w:r>
    </w:p>
    <w:p w14:paraId="37151FBC" w14:textId="0AADB9DB"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noProof/>
          <w:sz w:val="20"/>
          <w:szCs w:val="20"/>
        </w:rPr>
        <w:drawing>
          <wp:anchor distT="0" distB="0" distL="114300" distR="114300" simplePos="0" relativeHeight="251842560" behindDoc="1" locked="0" layoutInCell="1" allowOverlap="1" wp14:anchorId="011B999F" wp14:editId="79E4C63A">
            <wp:simplePos x="0" y="0"/>
            <wp:positionH relativeFrom="margin">
              <wp:align>left</wp:align>
            </wp:positionH>
            <wp:positionV relativeFrom="paragraph">
              <wp:posOffset>202565</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39179369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0752733D" w14:textId="1FE7622A"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09AE85DF"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p>
    <w:p w14:paraId="344BA4F7" w14:textId="0FC937E1" w:rsidR="009078A3" w:rsidRPr="00A608EE" w:rsidRDefault="00FC6779" w:rsidP="009078A3">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9078A3" w:rsidRPr="00A608EE">
        <w:rPr>
          <w:rFonts w:asciiTheme="majorHAnsi" w:hAnsiTheme="majorHAnsi"/>
          <w:sz w:val="20"/>
          <w:szCs w:val="20"/>
          <w:lang w:eastAsia="fr-FR"/>
        </w:rPr>
        <w:t>The provider offers products and service for basic needs, such as housing, energy, and education, that are:</w:t>
      </w:r>
    </w:p>
    <w:p w14:paraId="550476D0" w14:textId="4D6571E0" w:rsidR="009078A3" w:rsidRPr="00A608EE" w:rsidRDefault="00FB7DAC" w:rsidP="00A27AAA">
      <w:pPr>
        <w:pStyle w:val="ListParagraph"/>
        <w:numPr>
          <w:ilvl w:val="0"/>
          <w:numId w:val="391"/>
        </w:numPr>
        <w:jc w:val="both"/>
        <w:rPr>
          <w:rFonts w:asciiTheme="majorHAnsi" w:hAnsiTheme="majorHAnsi"/>
          <w:szCs w:val="20"/>
          <w:lang w:eastAsia="fr-FR"/>
        </w:rPr>
      </w:pPr>
      <w:r w:rsidRPr="00A608EE">
        <w:rPr>
          <w:rFonts w:asciiTheme="majorHAnsi" w:hAnsiTheme="majorHAnsi"/>
          <w:szCs w:val="20"/>
          <w:lang w:eastAsia="fr-FR"/>
        </w:rPr>
        <w:t>A</w:t>
      </w:r>
      <w:r w:rsidR="009078A3" w:rsidRPr="00A608EE">
        <w:rPr>
          <w:rFonts w:asciiTheme="majorHAnsi" w:hAnsiTheme="majorHAnsi"/>
          <w:szCs w:val="20"/>
          <w:lang w:eastAsia="fr-FR"/>
        </w:rPr>
        <w:t>ccessible and available to persons with disabilities on an equal basis with others;</w:t>
      </w:r>
    </w:p>
    <w:p w14:paraId="274EF6A9" w14:textId="7BBF77F8" w:rsidR="009078A3" w:rsidRPr="00A608EE" w:rsidRDefault="00FB7DAC" w:rsidP="00A27AAA">
      <w:pPr>
        <w:pStyle w:val="ListParagraph"/>
        <w:numPr>
          <w:ilvl w:val="0"/>
          <w:numId w:val="391"/>
        </w:numPr>
        <w:jc w:val="both"/>
        <w:rPr>
          <w:rFonts w:asciiTheme="majorHAnsi" w:hAnsiTheme="majorHAnsi"/>
          <w:szCs w:val="20"/>
          <w:lang w:eastAsia="fr-FR"/>
        </w:rPr>
      </w:pPr>
      <w:r w:rsidRPr="00A608EE">
        <w:rPr>
          <w:rFonts w:asciiTheme="majorHAnsi" w:hAnsiTheme="majorHAnsi"/>
          <w:szCs w:val="20"/>
          <w:lang w:eastAsia="fr-FR"/>
        </w:rPr>
        <w:t>D</w:t>
      </w:r>
      <w:r w:rsidR="009078A3" w:rsidRPr="00A608EE">
        <w:rPr>
          <w:rFonts w:asciiTheme="majorHAnsi" w:hAnsiTheme="majorHAnsi"/>
          <w:szCs w:val="20"/>
          <w:lang w:eastAsia="fr-FR"/>
        </w:rPr>
        <w:t xml:space="preserve">o not exclude or discriminate against persons with disabilities; and </w:t>
      </w:r>
    </w:p>
    <w:p w14:paraId="7D1C384E" w14:textId="7B6A5808" w:rsidR="009078A3" w:rsidRPr="00A608EE" w:rsidRDefault="00B672A4" w:rsidP="00A27AAA">
      <w:pPr>
        <w:pStyle w:val="ListParagraph"/>
        <w:numPr>
          <w:ilvl w:val="0"/>
          <w:numId w:val="391"/>
        </w:numPr>
        <w:jc w:val="both"/>
        <w:rPr>
          <w:rFonts w:asciiTheme="majorHAnsi" w:hAnsiTheme="majorHAnsi"/>
          <w:szCs w:val="20"/>
          <w:lang w:eastAsia="fr-FR"/>
        </w:rPr>
      </w:pPr>
      <w:r w:rsidRPr="00A608EE">
        <w:rPr>
          <w:noProof/>
        </w:rPr>
        <w:lastRenderedPageBreak/>
        <mc:AlternateContent>
          <mc:Choice Requires="wps">
            <w:drawing>
              <wp:anchor distT="0" distB="0" distL="114300" distR="114300" simplePos="0" relativeHeight="251755520" behindDoc="0" locked="0" layoutInCell="1" allowOverlap="1" wp14:anchorId="15BF120C" wp14:editId="550F173B">
                <wp:simplePos x="0" y="0"/>
                <wp:positionH relativeFrom="margin">
                  <wp:align>left</wp:align>
                </wp:positionH>
                <wp:positionV relativeFrom="paragraph">
                  <wp:posOffset>329565</wp:posOffset>
                </wp:positionV>
                <wp:extent cx="1828800" cy="3670300"/>
                <wp:effectExtent l="0" t="0" r="24130" b="25400"/>
                <wp:wrapSquare wrapText="bothSides"/>
                <wp:docPr id="640776240" name="Cuadro de texto 1"/>
                <wp:cNvGraphicFramePr/>
                <a:graphic xmlns:a="http://schemas.openxmlformats.org/drawingml/2006/main">
                  <a:graphicData uri="http://schemas.microsoft.com/office/word/2010/wordprocessingShape">
                    <wps:wsp>
                      <wps:cNvSpPr txBox="1"/>
                      <wps:spPr>
                        <a:xfrm>
                          <a:off x="0" y="0"/>
                          <a:ext cx="1828800" cy="3670300"/>
                        </a:xfrm>
                        <a:prstGeom prst="rect">
                          <a:avLst/>
                        </a:prstGeom>
                        <a:noFill/>
                        <a:ln w="6350">
                          <a:solidFill>
                            <a:prstClr val="black"/>
                          </a:solidFill>
                        </a:ln>
                      </wps:spPr>
                      <wps:txbx>
                        <w:txbxContent>
                          <w:p w14:paraId="4D7E63A0" w14:textId="382748AD" w:rsidR="00991A56" w:rsidRPr="00820B09" w:rsidRDefault="00EB123D" w:rsidP="00991A56">
                            <w:pPr>
                              <w:jc w:val="both"/>
                              <w:rPr>
                                <w:rFonts w:asciiTheme="majorHAnsi" w:hAnsiTheme="majorHAnsi"/>
                                <w:b/>
                                <w:bCs/>
                                <w:sz w:val="20"/>
                                <w:szCs w:val="15"/>
                                <w:lang w:eastAsia="fr-FR"/>
                              </w:rPr>
                            </w:pPr>
                            <w:r w:rsidRPr="00820B09">
                              <w:rPr>
                                <w:rFonts w:asciiTheme="majorHAnsi" w:hAnsiTheme="majorHAnsi"/>
                                <w:b/>
                                <w:bCs/>
                                <w:sz w:val="20"/>
                                <w:szCs w:val="15"/>
                                <w:lang w:eastAsia="fr-FR"/>
                              </w:rPr>
                              <w:t>Disability Inclusion - Info Box:</w:t>
                            </w:r>
                            <w:r w:rsidR="00991A56" w:rsidRPr="00820B09">
                              <w:rPr>
                                <w:rFonts w:asciiTheme="majorHAnsi" w:hAnsiTheme="majorHAnsi"/>
                                <w:b/>
                                <w:bCs/>
                                <w:sz w:val="20"/>
                                <w:szCs w:val="15"/>
                                <w:lang w:eastAsia="fr-FR"/>
                              </w:rPr>
                              <w:t>3.B.4.1</w:t>
                            </w:r>
                          </w:p>
                          <w:p w14:paraId="04C0C93F" w14:textId="77777777" w:rsidR="00991A56" w:rsidRPr="00820B09" w:rsidRDefault="00991A56"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 </w:t>
                            </w:r>
                          </w:p>
                          <w:p w14:paraId="4001C053" w14:textId="09A91BB7" w:rsidR="00991A56" w:rsidRPr="00820B09" w:rsidRDefault="00991A56"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The provider's products and services </w:t>
                            </w:r>
                            <w:r w:rsidR="00B672A4" w:rsidRPr="00820B09">
                              <w:rPr>
                                <w:rFonts w:asciiTheme="majorHAnsi" w:hAnsiTheme="majorHAnsi"/>
                                <w:sz w:val="20"/>
                                <w:szCs w:val="15"/>
                                <w:lang w:eastAsia="fr-FR"/>
                              </w:rPr>
                              <w:t>should</w:t>
                            </w:r>
                            <w:r w:rsidRPr="00820B09">
                              <w:rPr>
                                <w:rFonts w:asciiTheme="majorHAnsi" w:hAnsiTheme="majorHAnsi"/>
                                <w:sz w:val="20"/>
                                <w:szCs w:val="15"/>
                                <w:lang w:eastAsia="fr-FR"/>
                              </w:rPr>
                              <w:t xml:space="preserve"> not have eligibility criteria that directly or indirectly discriminate against or exclude persons with disabilities. </w:t>
                            </w:r>
                            <w:r w:rsidR="00C15ED9" w:rsidRPr="00820B09">
                              <w:rPr>
                                <w:rFonts w:asciiTheme="majorHAnsi" w:hAnsiTheme="majorHAnsi"/>
                                <w:sz w:val="20"/>
                                <w:szCs w:val="15"/>
                                <w:lang w:eastAsia="fr-FR"/>
                              </w:rPr>
                              <w:t>C</w:t>
                            </w:r>
                            <w:r w:rsidRPr="00820B09">
                              <w:rPr>
                                <w:rFonts w:asciiTheme="majorHAnsi" w:hAnsiTheme="majorHAnsi"/>
                                <w:sz w:val="20"/>
                                <w:szCs w:val="15"/>
                                <w:lang w:eastAsia="fr-FR"/>
                              </w:rPr>
                              <w:t>riteria that exclude persons from holding products or services</w:t>
                            </w:r>
                            <w:r w:rsidR="00C15ED9" w:rsidRPr="00820B09">
                              <w:rPr>
                                <w:rFonts w:asciiTheme="majorHAnsi" w:hAnsiTheme="majorHAnsi"/>
                                <w:sz w:val="20"/>
                                <w:szCs w:val="15"/>
                                <w:lang w:eastAsia="fr-FR"/>
                              </w:rPr>
                              <w:t xml:space="preserve"> on the basis of their disability or a medical diagnosis</w:t>
                            </w:r>
                            <w:r w:rsidRPr="00820B09">
                              <w:rPr>
                                <w:rFonts w:asciiTheme="majorHAnsi" w:hAnsiTheme="majorHAnsi"/>
                                <w:sz w:val="20"/>
                                <w:szCs w:val="15"/>
                                <w:lang w:eastAsia="fr-FR"/>
                              </w:rPr>
                              <w:t>, or requires them to appoint a third party to access or use their accounts</w:t>
                            </w:r>
                            <w:r w:rsidR="00C15ED9" w:rsidRPr="00820B09">
                              <w:rPr>
                                <w:rFonts w:asciiTheme="majorHAnsi" w:hAnsiTheme="majorHAnsi"/>
                                <w:sz w:val="20"/>
                                <w:szCs w:val="15"/>
                                <w:lang w:eastAsia="fr-FR"/>
                              </w:rPr>
                              <w:t xml:space="preserve"> on their behalf, constitute direct discrimination.</w:t>
                            </w:r>
                          </w:p>
                          <w:p w14:paraId="0D80CB3B" w14:textId="77777777" w:rsidR="00991A56" w:rsidRPr="00820B09" w:rsidRDefault="00991A56" w:rsidP="00991A56">
                            <w:pPr>
                              <w:jc w:val="both"/>
                              <w:rPr>
                                <w:rFonts w:asciiTheme="majorHAnsi" w:hAnsiTheme="majorHAnsi"/>
                                <w:sz w:val="20"/>
                                <w:szCs w:val="15"/>
                                <w:lang w:eastAsia="fr-FR"/>
                              </w:rPr>
                            </w:pPr>
                          </w:p>
                          <w:p w14:paraId="1E3BF5EA" w14:textId="2059D3D4" w:rsidR="00991A56" w:rsidRPr="00820B09" w:rsidRDefault="0034690B"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Apply </w:t>
                            </w:r>
                            <w:r w:rsidR="00991A56" w:rsidRPr="00820B09">
                              <w:rPr>
                                <w:rFonts w:asciiTheme="majorHAnsi" w:hAnsiTheme="majorHAnsi"/>
                                <w:sz w:val="20"/>
                                <w:szCs w:val="15"/>
                                <w:lang w:eastAsia="fr-FR"/>
                              </w:rPr>
                              <w:t>inclusive design processes to ensure the needs of persons with disabilities within the</w:t>
                            </w:r>
                            <w:r w:rsidRPr="00820B09">
                              <w:rPr>
                                <w:rFonts w:asciiTheme="majorHAnsi" w:hAnsiTheme="majorHAnsi"/>
                                <w:sz w:val="20"/>
                                <w:szCs w:val="15"/>
                                <w:lang w:eastAsia="fr-FR"/>
                              </w:rPr>
                              <w:t xml:space="preserve"> </w:t>
                            </w:r>
                            <w:r w:rsidR="00991A56" w:rsidRPr="00820B09">
                              <w:rPr>
                                <w:rFonts w:asciiTheme="majorHAnsi" w:hAnsiTheme="majorHAnsi"/>
                                <w:sz w:val="20"/>
                                <w:szCs w:val="15"/>
                                <w:lang w:eastAsia="fr-FR"/>
                              </w:rPr>
                              <w:t>target client base are taken into account when designing or upgrading products and services, and address barriers to access and usage</w:t>
                            </w:r>
                            <w:r w:rsidRPr="00820B09">
                              <w:rPr>
                                <w:rFonts w:asciiTheme="majorHAnsi" w:hAnsiTheme="majorHAnsi"/>
                                <w:sz w:val="20"/>
                                <w:szCs w:val="15"/>
                                <w:lang w:eastAsia="fr-FR"/>
                              </w:rPr>
                              <w:t xml:space="preserve"> </w:t>
                            </w:r>
                            <w:r w:rsidR="00B672A4" w:rsidRPr="00820B09">
                              <w:rPr>
                                <w:rFonts w:asciiTheme="majorHAnsi" w:hAnsiTheme="majorHAnsi"/>
                                <w:sz w:val="20"/>
                                <w:szCs w:val="15"/>
                                <w:lang w:eastAsia="fr-FR"/>
                              </w:rPr>
                              <w:t xml:space="preserve">by providing flexible options for access and servicing </w:t>
                            </w:r>
                            <w:r w:rsidRPr="00820B09">
                              <w:rPr>
                                <w:rFonts w:asciiTheme="majorHAnsi" w:hAnsiTheme="majorHAnsi"/>
                                <w:sz w:val="20"/>
                                <w:szCs w:val="15"/>
                                <w:lang w:eastAsia="fr-FR"/>
                              </w:rPr>
                              <w:t>(see indicator 3.A.1.1</w:t>
                            </w:r>
                            <w:r w:rsidR="003510A0" w:rsidRPr="00820B09">
                              <w:rPr>
                                <w:rFonts w:asciiTheme="majorHAnsi" w:hAnsiTheme="majorHAnsi"/>
                                <w:sz w:val="20"/>
                                <w:szCs w:val="15"/>
                                <w:lang w:eastAsia="fr-FR"/>
                              </w:rPr>
                              <w:t>, and resources for this indicator</w:t>
                            </w:r>
                            <w:r w:rsidRPr="00820B09">
                              <w:rPr>
                                <w:rFonts w:asciiTheme="majorHAnsi" w:hAnsiTheme="majorHAnsi"/>
                                <w:sz w:val="20"/>
                                <w:szCs w:val="15"/>
                                <w:lang w:eastAsia="fr-FR"/>
                              </w:rPr>
                              <w:t>)</w:t>
                            </w:r>
                            <w:r w:rsidR="00991A56" w:rsidRPr="00820B09">
                              <w:rPr>
                                <w:rFonts w:asciiTheme="majorHAnsi" w:hAnsiTheme="majorHAnsi"/>
                                <w:sz w:val="20"/>
                                <w:szCs w:val="15"/>
                                <w:lang w:eastAsia="fr-FR"/>
                              </w:rPr>
                              <w:t xml:space="preserve">. </w:t>
                            </w:r>
                          </w:p>
                          <w:p w14:paraId="7D55C99A" w14:textId="77777777" w:rsidR="00991A56" w:rsidRPr="00820B09" w:rsidRDefault="00991A56" w:rsidP="00991A56">
                            <w:pPr>
                              <w:jc w:val="both"/>
                              <w:rPr>
                                <w:rFonts w:asciiTheme="majorHAnsi" w:hAnsiTheme="majorHAnsi"/>
                                <w:sz w:val="20"/>
                                <w:szCs w:val="15"/>
                                <w:lang w:eastAsia="fr-FR"/>
                              </w:rPr>
                            </w:pPr>
                          </w:p>
                          <w:p w14:paraId="5F24109B" w14:textId="43617CA5" w:rsidR="00991A56" w:rsidRPr="00820B09" w:rsidRDefault="00991A56" w:rsidP="00991A56">
                            <w:pPr>
                              <w:jc w:val="both"/>
                              <w:rPr>
                                <w:rFonts w:asciiTheme="majorHAnsi" w:hAnsiTheme="majorHAnsi"/>
                                <w:sz w:val="20"/>
                                <w:szCs w:val="15"/>
                                <w:lang w:eastAsia="fr-FR"/>
                              </w:rPr>
                            </w:pPr>
                            <w:r w:rsidRPr="00820B09">
                              <w:rPr>
                                <w:rFonts w:asciiTheme="majorHAnsi" w:hAnsiTheme="majorHAnsi"/>
                                <w:sz w:val="20"/>
                                <w:szCs w:val="15"/>
                                <w:lang w:eastAsia="fr-FR"/>
                              </w:rPr>
                              <w:t>Providers</w:t>
                            </w:r>
                            <w:r w:rsidR="0034690B" w:rsidRPr="00820B09">
                              <w:rPr>
                                <w:rFonts w:asciiTheme="majorHAnsi" w:hAnsiTheme="majorHAnsi"/>
                                <w:sz w:val="20"/>
                                <w:szCs w:val="15"/>
                                <w:lang w:eastAsia="fr-FR"/>
                              </w:rPr>
                              <w:t xml:space="preserve"> </w:t>
                            </w:r>
                            <w:r w:rsidRPr="00820B09">
                              <w:rPr>
                                <w:rFonts w:asciiTheme="majorHAnsi" w:hAnsiTheme="majorHAnsi"/>
                                <w:sz w:val="20"/>
                                <w:szCs w:val="15"/>
                                <w:lang w:eastAsia="fr-FR"/>
                              </w:rPr>
                              <w:t>focus</w:t>
                            </w:r>
                            <w:r w:rsidR="0034690B" w:rsidRPr="00820B09">
                              <w:rPr>
                                <w:rFonts w:asciiTheme="majorHAnsi" w:hAnsiTheme="majorHAnsi"/>
                                <w:sz w:val="20"/>
                                <w:szCs w:val="15"/>
                                <w:lang w:eastAsia="fr-FR"/>
                              </w:rPr>
                              <w:t>ed</w:t>
                            </w:r>
                            <w:r w:rsidRPr="00820B09">
                              <w:rPr>
                                <w:rFonts w:asciiTheme="majorHAnsi" w:hAnsiTheme="majorHAnsi"/>
                                <w:sz w:val="20"/>
                                <w:szCs w:val="15"/>
                                <w:lang w:eastAsia="fr-FR"/>
                              </w:rPr>
                              <w:t xml:space="preserve"> on serving clients with disabilities may offer </w:t>
                            </w:r>
                            <w:r w:rsidR="0034690B" w:rsidRPr="00820B09">
                              <w:rPr>
                                <w:rFonts w:asciiTheme="majorHAnsi" w:hAnsiTheme="majorHAnsi"/>
                                <w:sz w:val="20"/>
                                <w:szCs w:val="15"/>
                                <w:lang w:eastAsia="fr-FR"/>
                              </w:rPr>
                              <w:t xml:space="preserve">products and services for </w:t>
                            </w:r>
                            <w:r w:rsidRPr="00820B09">
                              <w:rPr>
                                <w:rFonts w:asciiTheme="majorHAnsi" w:hAnsiTheme="majorHAnsi"/>
                                <w:sz w:val="20"/>
                                <w:szCs w:val="15"/>
                                <w:lang w:eastAsia="fr-FR"/>
                              </w:rPr>
                              <w:t xml:space="preserve">basic needs that are specific to clients with disabilities. These may include loans to purchase assistive devices (such as wheelchairs or mobility aids) and assistive technology (such as screen readers), or loans for </w:t>
                            </w:r>
                            <w:r w:rsidR="0034690B" w:rsidRPr="00820B09">
                              <w:rPr>
                                <w:rFonts w:asciiTheme="majorHAnsi" w:hAnsiTheme="majorHAnsi"/>
                                <w:sz w:val="20"/>
                                <w:szCs w:val="15"/>
                                <w:lang w:eastAsia="fr-FR"/>
                              </w:rPr>
                              <w:t xml:space="preserve">modifications </w:t>
                            </w:r>
                            <w:r w:rsidRPr="00820B09">
                              <w:rPr>
                                <w:rFonts w:asciiTheme="majorHAnsi" w:hAnsiTheme="majorHAnsi"/>
                                <w:sz w:val="20"/>
                                <w:szCs w:val="15"/>
                                <w:lang w:eastAsia="fr-FR"/>
                              </w:rPr>
                              <w:t xml:space="preserve">to improve </w:t>
                            </w:r>
                            <w:r w:rsidR="0034690B" w:rsidRPr="00820B09">
                              <w:rPr>
                                <w:rFonts w:asciiTheme="majorHAnsi" w:hAnsiTheme="majorHAnsi"/>
                                <w:sz w:val="20"/>
                                <w:szCs w:val="15"/>
                                <w:lang w:eastAsia="fr-FR"/>
                              </w:rPr>
                              <w:t xml:space="preserve">the </w:t>
                            </w:r>
                            <w:r w:rsidRPr="00820B09">
                              <w:rPr>
                                <w:rFonts w:asciiTheme="majorHAnsi" w:hAnsiTheme="majorHAnsi"/>
                                <w:sz w:val="20"/>
                                <w:szCs w:val="15"/>
                                <w:lang w:eastAsia="fr-FR"/>
                              </w:rPr>
                              <w:t>accessibility</w:t>
                            </w:r>
                            <w:r w:rsidR="0034690B" w:rsidRPr="00820B09">
                              <w:rPr>
                                <w:rFonts w:asciiTheme="majorHAnsi" w:hAnsiTheme="majorHAnsi"/>
                                <w:sz w:val="20"/>
                                <w:szCs w:val="15"/>
                                <w:lang w:eastAsia="fr-FR"/>
                              </w:rPr>
                              <w:t xml:space="preserve"> of their home</w:t>
                            </w:r>
                            <w:r w:rsidRPr="00820B09">
                              <w:rPr>
                                <w:rFonts w:asciiTheme="majorHAnsi" w:hAnsiTheme="majorHAnsi"/>
                                <w:sz w:val="20"/>
                                <w:szCs w:val="15"/>
                                <w:lang w:eastAsia="fr-FR"/>
                              </w:rPr>
                              <w:t>, or to purchase accessible housing.</w:t>
                            </w:r>
                            <w:r w:rsidR="0034690B" w:rsidRPr="00820B09">
                              <w:rPr>
                                <w:rFonts w:asciiTheme="majorHAnsi" w:hAnsiTheme="majorHAnsi"/>
                                <w:sz w:val="20"/>
                                <w:szCs w:val="15"/>
                                <w:lang w:eastAsia="fr-FR"/>
                              </w:rPr>
                              <w:t xml:space="preserve"> </w:t>
                            </w:r>
                            <w:r w:rsidRPr="00820B09">
                              <w:rPr>
                                <w:rFonts w:asciiTheme="majorHAnsi" w:hAnsiTheme="majorHAnsi"/>
                                <w:sz w:val="20"/>
                                <w:szCs w:val="15"/>
                                <w:lang w:eastAsia="fr-FR"/>
                              </w:rPr>
                              <w:t xml:space="preserve"> </w:t>
                            </w:r>
                          </w:p>
                          <w:p w14:paraId="740DE364" w14:textId="77777777" w:rsidR="00B672A4" w:rsidRPr="00820B09" w:rsidRDefault="00B672A4" w:rsidP="00991A56">
                            <w:pPr>
                              <w:jc w:val="both"/>
                              <w:rPr>
                                <w:rFonts w:asciiTheme="majorHAnsi" w:hAnsiTheme="majorHAnsi"/>
                                <w:sz w:val="20"/>
                                <w:szCs w:val="15"/>
                                <w:lang w:eastAsia="fr-FR"/>
                              </w:rPr>
                            </w:pPr>
                          </w:p>
                          <w:p w14:paraId="5F5A013F" w14:textId="34DF3934" w:rsidR="00B672A4" w:rsidRPr="00820B09" w:rsidRDefault="00B672A4"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For example </w:t>
                            </w:r>
                            <w:hyperlink r:id="rId174" w:history="1">
                              <w:r w:rsidRPr="00820B09">
                                <w:rPr>
                                  <w:rStyle w:val="Hyperlink"/>
                                  <w:rFonts w:asciiTheme="majorHAnsi" w:hAnsiTheme="majorHAnsi"/>
                                  <w:sz w:val="20"/>
                                  <w:szCs w:val="15"/>
                                  <w:lang w:eastAsia="fr-FR"/>
                                </w:rPr>
                                <w:t>Parabank</w:t>
                              </w:r>
                            </w:hyperlink>
                            <w:r w:rsidRPr="00820B09">
                              <w:rPr>
                                <w:rFonts w:asciiTheme="majorHAnsi" w:hAnsiTheme="majorHAnsi"/>
                                <w:sz w:val="20"/>
                                <w:szCs w:val="15"/>
                                <w:lang w:eastAsia="fr-FR"/>
                              </w:rPr>
                              <w:t>, a Brazilian fintech focusing on the financial inclusion of persons with disabilities and their family members. offers digital checking account and payments options accessible in multiple formats, as well as loans for assistive devices.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BF120C" id="_x0000_s1047" type="#_x0000_t202" style="position:absolute;left:0;text-align:left;margin-left:0;margin-top:25.95pt;width:2in;height:289pt;z-index:251755520;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" filled="f" strokeweight=".5pt">
                <v:textbox>
                  <w:txbxContent>
                    <w:p w14:paraId="4D7E63A0" w14:textId="382748AD" w:rsidR="00991A56" w:rsidRPr="00820B09" w:rsidRDefault="00EB123D" w:rsidP="00991A56">
                      <w:pPr>
                        <w:jc w:val="both"/>
                        <w:rPr>
                          <w:rFonts w:asciiTheme="majorHAnsi" w:hAnsiTheme="majorHAnsi"/>
                          <w:b/>
                          <w:bCs/>
                          <w:sz w:val="20"/>
                          <w:szCs w:val="15"/>
                          <w:lang w:eastAsia="fr-FR"/>
                        </w:rPr>
                      </w:pPr>
                      <w:r w:rsidRPr="00820B09">
                        <w:rPr>
                          <w:rFonts w:asciiTheme="majorHAnsi" w:hAnsiTheme="majorHAnsi"/>
                          <w:b/>
                          <w:bCs/>
                          <w:sz w:val="20"/>
                          <w:szCs w:val="15"/>
                          <w:lang w:eastAsia="fr-FR"/>
                        </w:rPr>
                        <w:t>Disability Inclusion - Info Box:</w:t>
                      </w:r>
                      <w:r w:rsidR="00991A56" w:rsidRPr="00820B09">
                        <w:rPr>
                          <w:rFonts w:asciiTheme="majorHAnsi" w:hAnsiTheme="majorHAnsi"/>
                          <w:b/>
                          <w:bCs/>
                          <w:sz w:val="20"/>
                          <w:szCs w:val="15"/>
                          <w:lang w:eastAsia="fr-FR"/>
                        </w:rPr>
                        <w:t>3.B.4.1</w:t>
                      </w:r>
                    </w:p>
                    <w:p w14:paraId="04C0C93F" w14:textId="77777777" w:rsidR="00991A56" w:rsidRPr="00820B09" w:rsidRDefault="00991A56"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 </w:t>
                      </w:r>
                    </w:p>
                    <w:p w14:paraId="4001C053" w14:textId="09A91BB7" w:rsidR="00991A56" w:rsidRPr="00820B09" w:rsidRDefault="00991A56"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The provider's products and services </w:t>
                      </w:r>
                      <w:r w:rsidR="00B672A4" w:rsidRPr="00820B09">
                        <w:rPr>
                          <w:rFonts w:asciiTheme="majorHAnsi" w:hAnsiTheme="majorHAnsi"/>
                          <w:sz w:val="20"/>
                          <w:szCs w:val="15"/>
                          <w:lang w:eastAsia="fr-FR"/>
                        </w:rPr>
                        <w:t>should</w:t>
                      </w:r>
                      <w:r w:rsidRPr="00820B09">
                        <w:rPr>
                          <w:rFonts w:asciiTheme="majorHAnsi" w:hAnsiTheme="majorHAnsi"/>
                          <w:sz w:val="20"/>
                          <w:szCs w:val="15"/>
                          <w:lang w:eastAsia="fr-FR"/>
                        </w:rPr>
                        <w:t xml:space="preserve"> not have eligibility criteria that directly or indirectly discriminate against or exclude persons with disabilities. </w:t>
                      </w:r>
                      <w:r w:rsidR="00C15ED9" w:rsidRPr="00820B09">
                        <w:rPr>
                          <w:rFonts w:asciiTheme="majorHAnsi" w:hAnsiTheme="majorHAnsi"/>
                          <w:sz w:val="20"/>
                          <w:szCs w:val="15"/>
                          <w:lang w:eastAsia="fr-FR"/>
                        </w:rPr>
                        <w:t>C</w:t>
                      </w:r>
                      <w:r w:rsidRPr="00820B09">
                        <w:rPr>
                          <w:rFonts w:asciiTheme="majorHAnsi" w:hAnsiTheme="majorHAnsi"/>
                          <w:sz w:val="20"/>
                          <w:szCs w:val="15"/>
                          <w:lang w:eastAsia="fr-FR"/>
                        </w:rPr>
                        <w:t>riteria that exclude persons from holding products or services</w:t>
                      </w:r>
                      <w:r w:rsidR="00C15ED9" w:rsidRPr="00820B09">
                        <w:rPr>
                          <w:rFonts w:asciiTheme="majorHAnsi" w:hAnsiTheme="majorHAnsi"/>
                          <w:sz w:val="20"/>
                          <w:szCs w:val="15"/>
                          <w:lang w:eastAsia="fr-FR"/>
                        </w:rPr>
                        <w:t xml:space="preserve"> on the basis of their disability or a medical diagnosis</w:t>
                      </w:r>
                      <w:r w:rsidRPr="00820B09">
                        <w:rPr>
                          <w:rFonts w:asciiTheme="majorHAnsi" w:hAnsiTheme="majorHAnsi"/>
                          <w:sz w:val="20"/>
                          <w:szCs w:val="15"/>
                          <w:lang w:eastAsia="fr-FR"/>
                        </w:rPr>
                        <w:t>, or requires them to appoint a third party to access or use their accounts</w:t>
                      </w:r>
                      <w:r w:rsidR="00C15ED9" w:rsidRPr="00820B09">
                        <w:rPr>
                          <w:rFonts w:asciiTheme="majorHAnsi" w:hAnsiTheme="majorHAnsi"/>
                          <w:sz w:val="20"/>
                          <w:szCs w:val="15"/>
                          <w:lang w:eastAsia="fr-FR"/>
                        </w:rPr>
                        <w:t xml:space="preserve"> on their behalf, constitute direct discrimination.</w:t>
                      </w:r>
                    </w:p>
                    <w:p w14:paraId="0D80CB3B" w14:textId="77777777" w:rsidR="00991A56" w:rsidRPr="00820B09" w:rsidRDefault="00991A56" w:rsidP="00991A56">
                      <w:pPr>
                        <w:jc w:val="both"/>
                        <w:rPr>
                          <w:rFonts w:asciiTheme="majorHAnsi" w:hAnsiTheme="majorHAnsi"/>
                          <w:sz w:val="20"/>
                          <w:szCs w:val="15"/>
                          <w:lang w:eastAsia="fr-FR"/>
                        </w:rPr>
                      </w:pPr>
                    </w:p>
                    <w:p w14:paraId="1E3BF5EA" w14:textId="2059D3D4" w:rsidR="00991A56" w:rsidRPr="00820B09" w:rsidRDefault="0034690B"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Apply </w:t>
                      </w:r>
                      <w:r w:rsidR="00991A56" w:rsidRPr="00820B09">
                        <w:rPr>
                          <w:rFonts w:asciiTheme="majorHAnsi" w:hAnsiTheme="majorHAnsi"/>
                          <w:sz w:val="20"/>
                          <w:szCs w:val="15"/>
                          <w:lang w:eastAsia="fr-FR"/>
                        </w:rPr>
                        <w:t>inclusive design processes to ensure the needs of persons with disabilities within the</w:t>
                      </w:r>
                      <w:r w:rsidRPr="00820B09">
                        <w:rPr>
                          <w:rFonts w:asciiTheme="majorHAnsi" w:hAnsiTheme="majorHAnsi"/>
                          <w:sz w:val="20"/>
                          <w:szCs w:val="15"/>
                          <w:lang w:eastAsia="fr-FR"/>
                        </w:rPr>
                        <w:t xml:space="preserve"> </w:t>
                      </w:r>
                      <w:r w:rsidR="00991A56" w:rsidRPr="00820B09">
                        <w:rPr>
                          <w:rFonts w:asciiTheme="majorHAnsi" w:hAnsiTheme="majorHAnsi"/>
                          <w:sz w:val="20"/>
                          <w:szCs w:val="15"/>
                          <w:lang w:eastAsia="fr-FR"/>
                        </w:rPr>
                        <w:t>target client base are taken into account when designing or upgrading products and services, and address barriers to access and usage</w:t>
                      </w:r>
                      <w:r w:rsidRPr="00820B09">
                        <w:rPr>
                          <w:rFonts w:asciiTheme="majorHAnsi" w:hAnsiTheme="majorHAnsi"/>
                          <w:sz w:val="20"/>
                          <w:szCs w:val="15"/>
                          <w:lang w:eastAsia="fr-FR"/>
                        </w:rPr>
                        <w:t xml:space="preserve"> </w:t>
                      </w:r>
                      <w:r w:rsidR="00B672A4" w:rsidRPr="00820B09">
                        <w:rPr>
                          <w:rFonts w:asciiTheme="majorHAnsi" w:hAnsiTheme="majorHAnsi"/>
                          <w:sz w:val="20"/>
                          <w:szCs w:val="15"/>
                          <w:lang w:eastAsia="fr-FR"/>
                        </w:rPr>
                        <w:t xml:space="preserve">by providing flexible options for access and servicing </w:t>
                      </w:r>
                      <w:r w:rsidRPr="00820B09">
                        <w:rPr>
                          <w:rFonts w:asciiTheme="majorHAnsi" w:hAnsiTheme="majorHAnsi"/>
                          <w:sz w:val="20"/>
                          <w:szCs w:val="15"/>
                          <w:lang w:eastAsia="fr-FR"/>
                        </w:rPr>
                        <w:t>(see indicator 3.A.1.1</w:t>
                      </w:r>
                      <w:r w:rsidR="003510A0" w:rsidRPr="00820B09">
                        <w:rPr>
                          <w:rFonts w:asciiTheme="majorHAnsi" w:hAnsiTheme="majorHAnsi"/>
                          <w:sz w:val="20"/>
                          <w:szCs w:val="15"/>
                          <w:lang w:eastAsia="fr-FR"/>
                        </w:rPr>
                        <w:t>, and resources for this indicator</w:t>
                      </w:r>
                      <w:r w:rsidRPr="00820B09">
                        <w:rPr>
                          <w:rFonts w:asciiTheme="majorHAnsi" w:hAnsiTheme="majorHAnsi"/>
                          <w:sz w:val="20"/>
                          <w:szCs w:val="15"/>
                          <w:lang w:eastAsia="fr-FR"/>
                        </w:rPr>
                        <w:t>)</w:t>
                      </w:r>
                      <w:r w:rsidR="00991A56" w:rsidRPr="00820B09">
                        <w:rPr>
                          <w:rFonts w:asciiTheme="majorHAnsi" w:hAnsiTheme="majorHAnsi"/>
                          <w:sz w:val="20"/>
                          <w:szCs w:val="15"/>
                          <w:lang w:eastAsia="fr-FR"/>
                        </w:rPr>
                        <w:t xml:space="preserve">. </w:t>
                      </w:r>
                    </w:p>
                    <w:p w14:paraId="7D55C99A" w14:textId="77777777" w:rsidR="00991A56" w:rsidRPr="00820B09" w:rsidRDefault="00991A56" w:rsidP="00991A56">
                      <w:pPr>
                        <w:jc w:val="both"/>
                        <w:rPr>
                          <w:rFonts w:asciiTheme="majorHAnsi" w:hAnsiTheme="majorHAnsi"/>
                          <w:sz w:val="20"/>
                          <w:szCs w:val="15"/>
                          <w:lang w:eastAsia="fr-FR"/>
                        </w:rPr>
                      </w:pPr>
                    </w:p>
                    <w:p w14:paraId="5F24109B" w14:textId="43617CA5" w:rsidR="00991A56" w:rsidRPr="00820B09" w:rsidRDefault="00991A56" w:rsidP="00991A56">
                      <w:pPr>
                        <w:jc w:val="both"/>
                        <w:rPr>
                          <w:rFonts w:asciiTheme="majorHAnsi" w:hAnsiTheme="majorHAnsi"/>
                          <w:sz w:val="20"/>
                          <w:szCs w:val="15"/>
                          <w:lang w:eastAsia="fr-FR"/>
                        </w:rPr>
                      </w:pPr>
                      <w:r w:rsidRPr="00820B09">
                        <w:rPr>
                          <w:rFonts w:asciiTheme="majorHAnsi" w:hAnsiTheme="majorHAnsi"/>
                          <w:sz w:val="20"/>
                          <w:szCs w:val="15"/>
                          <w:lang w:eastAsia="fr-FR"/>
                        </w:rPr>
                        <w:t>Providers</w:t>
                      </w:r>
                      <w:r w:rsidR="0034690B" w:rsidRPr="00820B09">
                        <w:rPr>
                          <w:rFonts w:asciiTheme="majorHAnsi" w:hAnsiTheme="majorHAnsi"/>
                          <w:sz w:val="20"/>
                          <w:szCs w:val="15"/>
                          <w:lang w:eastAsia="fr-FR"/>
                        </w:rPr>
                        <w:t xml:space="preserve"> </w:t>
                      </w:r>
                      <w:r w:rsidRPr="00820B09">
                        <w:rPr>
                          <w:rFonts w:asciiTheme="majorHAnsi" w:hAnsiTheme="majorHAnsi"/>
                          <w:sz w:val="20"/>
                          <w:szCs w:val="15"/>
                          <w:lang w:eastAsia="fr-FR"/>
                        </w:rPr>
                        <w:t>focus</w:t>
                      </w:r>
                      <w:r w:rsidR="0034690B" w:rsidRPr="00820B09">
                        <w:rPr>
                          <w:rFonts w:asciiTheme="majorHAnsi" w:hAnsiTheme="majorHAnsi"/>
                          <w:sz w:val="20"/>
                          <w:szCs w:val="15"/>
                          <w:lang w:eastAsia="fr-FR"/>
                        </w:rPr>
                        <w:t>ed</w:t>
                      </w:r>
                      <w:r w:rsidRPr="00820B09">
                        <w:rPr>
                          <w:rFonts w:asciiTheme="majorHAnsi" w:hAnsiTheme="majorHAnsi"/>
                          <w:sz w:val="20"/>
                          <w:szCs w:val="15"/>
                          <w:lang w:eastAsia="fr-FR"/>
                        </w:rPr>
                        <w:t xml:space="preserve"> on serving clients with disabilities may offer </w:t>
                      </w:r>
                      <w:r w:rsidR="0034690B" w:rsidRPr="00820B09">
                        <w:rPr>
                          <w:rFonts w:asciiTheme="majorHAnsi" w:hAnsiTheme="majorHAnsi"/>
                          <w:sz w:val="20"/>
                          <w:szCs w:val="15"/>
                          <w:lang w:eastAsia="fr-FR"/>
                        </w:rPr>
                        <w:t xml:space="preserve">products and services for </w:t>
                      </w:r>
                      <w:r w:rsidRPr="00820B09">
                        <w:rPr>
                          <w:rFonts w:asciiTheme="majorHAnsi" w:hAnsiTheme="majorHAnsi"/>
                          <w:sz w:val="20"/>
                          <w:szCs w:val="15"/>
                          <w:lang w:eastAsia="fr-FR"/>
                        </w:rPr>
                        <w:t xml:space="preserve">basic needs that are specific to clients with disabilities. These may include loans to purchase assistive devices (such as wheelchairs or mobility aids) and assistive technology (such as screen readers), or loans for </w:t>
                      </w:r>
                      <w:r w:rsidR="0034690B" w:rsidRPr="00820B09">
                        <w:rPr>
                          <w:rFonts w:asciiTheme="majorHAnsi" w:hAnsiTheme="majorHAnsi"/>
                          <w:sz w:val="20"/>
                          <w:szCs w:val="15"/>
                          <w:lang w:eastAsia="fr-FR"/>
                        </w:rPr>
                        <w:t xml:space="preserve">modifications </w:t>
                      </w:r>
                      <w:r w:rsidRPr="00820B09">
                        <w:rPr>
                          <w:rFonts w:asciiTheme="majorHAnsi" w:hAnsiTheme="majorHAnsi"/>
                          <w:sz w:val="20"/>
                          <w:szCs w:val="15"/>
                          <w:lang w:eastAsia="fr-FR"/>
                        </w:rPr>
                        <w:t xml:space="preserve">to improve </w:t>
                      </w:r>
                      <w:r w:rsidR="0034690B" w:rsidRPr="00820B09">
                        <w:rPr>
                          <w:rFonts w:asciiTheme="majorHAnsi" w:hAnsiTheme="majorHAnsi"/>
                          <w:sz w:val="20"/>
                          <w:szCs w:val="15"/>
                          <w:lang w:eastAsia="fr-FR"/>
                        </w:rPr>
                        <w:t xml:space="preserve">the </w:t>
                      </w:r>
                      <w:r w:rsidRPr="00820B09">
                        <w:rPr>
                          <w:rFonts w:asciiTheme="majorHAnsi" w:hAnsiTheme="majorHAnsi"/>
                          <w:sz w:val="20"/>
                          <w:szCs w:val="15"/>
                          <w:lang w:eastAsia="fr-FR"/>
                        </w:rPr>
                        <w:t>accessibility</w:t>
                      </w:r>
                      <w:r w:rsidR="0034690B" w:rsidRPr="00820B09">
                        <w:rPr>
                          <w:rFonts w:asciiTheme="majorHAnsi" w:hAnsiTheme="majorHAnsi"/>
                          <w:sz w:val="20"/>
                          <w:szCs w:val="15"/>
                          <w:lang w:eastAsia="fr-FR"/>
                        </w:rPr>
                        <w:t xml:space="preserve"> of their home</w:t>
                      </w:r>
                      <w:r w:rsidRPr="00820B09">
                        <w:rPr>
                          <w:rFonts w:asciiTheme="majorHAnsi" w:hAnsiTheme="majorHAnsi"/>
                          <w:sz w:val="20"/>
                          <w:szCs w:val="15"/>
                          <w:lang w:eastAsia="fr-FR"/>
                        </w:rPr>
                        <w:t>, or to purchase accessible housing.</w:t>
                      </w:r>
                      <w:r w:rsidR="0034690B" w:rsidRPr="00820B09">
                        <w:rPr>
                          <w:rFonts w:asciiTheme="majorHAnsi" w:hAnsiTheme="majorHAnsi"/>
                          <w:sz w:val="20"/>
                          <w:szCs w:val="15"/>
                          <w:lang w:eastAsia="fr-FR"/>
                        </w:rPr>
                        <w:t xml:space="preserve"> </w:t>
                      </w:r>
                      <w:r w:rsidRPr="00820B09">
                        <w:rPr>
                          <w:rFonts w:asciiTheme="majorHAnsi" w:hAnsiTheme="majorHAnsi"/>
                          <w:sz w:val="20"/>
                          <w:szCs w:val="15"/>
                          <w:lang w:eastAsia="fr-FR"/>
                        </w:rPr>
                        <w:t xml:space="preserve"> </w:t>
                      </w:r>
                    </w:p>
                    <w:p w14:paraId="740DE364" w14:textId="77777777" w:rsidR="00B672A4" w:rsidRPr="00820B09" w:rsidRDefault="00B672A4" w:rsidP="00991A56">
                      <w:pPr>
                        <w:jc w:val="both"/>
                        <w:rPr>
                          <w:rFonts w:asciiTheme="majorHAnsi" w:hAnsiTheme="majorHAnsi"/>
                          <w:sz w:val="20"/>
                          <w:szCs w:val="15"/>
                          <w:lang w:eastAsia="fr-FR"/>
                        </w:rPr>
                      </w:pPr>
                    </w:p>
                    <w:p w14:paraId="5F5A013F" w14:textId="34DF3934" w:rsidR="00B672A4" w:rsidRPr="00820B09" w:rsidRDefault="00B672A4" w:rsidP="00991A56">
                      <w:pPr>
                        <w:jc w:val="both"/>
                        <w:rPr>
                          <w:rFonts w:asciiTheme="majorHAnsi" w:hAnsiTheme="majorHAnsi"/>
                          <w:sz w:val="20"/>
                          <w:szCs w:val="15"/>
                          <w:lang w:eastAsia="fr-FR"/>
                        </w:rPr>
                      </w:pPr>
                      <w:r w:rsidRPr="00820B09">
                        <w:rPr>
                          <w:rFonts w:asciiTheme="majorHAnsi" w:hAnsiTheme="majorHAnsi"/>
                          <w:sz w:val="20"/>
                          <w:szCs w:val="15"/>
                          <w:lang w:eastAsia="fr-FR"/>
                        </w:rPr>
                        <w:t xml:space="preserve">For example </w:t>
                      </w:r>
                      <w:hyperlink r:id="rId175" w:history="1">
                        <w:r w:rsidRPr="00820B09">
                          <w:rPr>
                            <w:rStyle w:val="Hyperlink"/>
                            <w:rFonts w:asciiTheme="majorHAnsi" w:hAnsiTheme="majorHAnsi"/>
                            <w:sz w:val="20"/>
                            <w:szCs w:val="15"/>
                            <w:lang w:eastAsia="fr-FR"/>
                          </w:rPr>
                          <w:t>Parabank</w:t>
                        </w:r>
                      </w:hyperlink>
                      <w:r w:rsidRPr="00820B09">
                        <w:rPr>
                          <w:rFonts w:asciiTheme="majorHAnsi" w:hAnsiTheme="majorHAnsi"/>
                          <w:sz w:val="20"/>
                          <w:szCs w:val="15"/>
                          <w:lang w:eastAsia="fr-FR"/>
                        </w:rPr>
                        <w:t>, a Brazilian fintech focusing on the financial inclusion of persons with disabilities and their family members. offers digital checking account and payments options accessible in multiple formats, as well as loans for assistive devices.</w:t>
                      </w:r>
                    </w:p>
                  </w:txbxContent>
                </v:textbox>
                <w10:wrap type="square" anchorx="margin"/>
              </v:shape>
            </w:pict>
          </mc:Fallback>
        </mc:AlternateContent>
      </w:r>
      <w:r w:rsidR="00FB7DAC" w:rsidRPr="00A608EE">
        <w:rPr>
          <w:rFonts w:asciiTheme="majorHAnsi" w:hAnsiTheme="majorHAnsi"/>
          <w:szCs w:val="20"/>
          <w:lang w:eastAsia="fr-FR"/>
        </w:rPr>
        <w:t>A</w:t>
      </w:r>
      <w:r w:rsidR="009078A3" w:rsidRPr="00A608EE">
        <w:rPr>
          <w:rFonts w:asciiTheme="majorHAnsi" w:hAnsiTheme="majorHAnsi"/>
          <w:szCs w:val="20"/>
          <w:lang w:eastAsia="fr-FR"/>
        </w:rPr>
        <w:t>re responsive to their needs.</w:t>
      </w:r>
    </w:p>
    <w:p w14:paraId="4DE1A8B9" w14:textId="51E5A18C" w:rsidR="009078A3" w:rsidRPr="00A608EE" w:rsidRDefault="009078A3" w:rsidP="009078A3">
      <w:pPr>
        <w:jc w:val="both"/>
        <w:rPr>
          <w:rFonts w:asciiTheme="majorHAnsi" w:hAnsiTheme="majorHAnsi"/>
          <w:szCs w:val="20"/>
          <w:lang w:eastAsia="fr-FR"/>
        </w:rPr>
      </w:pPr>
    </w:p>
    <w:p w14:paraId="441D5CB8" w14:textId="77777777" w:rsidR="00571480" w:rsidRPr="00A608EE" w:rsidRDefault="00571480" w:rsidP="00EE208A">
      <w:pPr>
        <w:jc w:val="both"/>
        <w:rPr>
          <w:rFonts w:asciiTheme="majorHAnsi" w:hAnsiTheme="majorHAnsi"/>
          <w:b/>
          <w:bCs/>
          <w:sz w:val="20"/>
          <w:szCs w:val="20"/>
          <w:lang w:eastAsia="fr-FR"/>
        </w:rPr>
      </w:pPr>
    </w:p>
    <w:p w14:paraId="436D538B" w14:textId="77777777" w:rsidR="00571480" w:rsidRPr="00A608EE" w:rsidRDefault="00571480" w:rsidP="00EE208A">
      <w:pPr>
        <w:jc w:val="both"/>
        <w:rPr>
          <w:rFonts w:asciiTheme="majorHAnsi" w:hAnsiTheme="majorHAnsi"/>
          <w:b/>
          <w:bCs/>
          <w:sz w:val="20"/>
          <w:szCs w:val="20"/>
          <w:lang w:eastAsia="fr-FR"/>
        </w:rPr>
      </w:pPr>
    </w:p>
    <w:p w14:paraId="6A04A48D" w14:textId="357ACF3E" w:rsidR="006D1866" w:rsidRPr="00A608EE" w:rsidRDefault="006D1866"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4F299608" w14:textId="0E1135DE" w:rsidR="006D1866" w:rsidRPr="00A608EE" w:rsidRDefault="006D1866" w:rsidP="00A27AAA">
      <w:pPr>
        <w:numPr>
          <w:ilvl w:val="0"/>
          <w:numId w:val="195"/>
        </w:numPr>
        <w:jc w:val="both"/>
        <w:rPr>
          <w:rFonts w:asciiTheme="majorHAnsi" w:hAnsiTheme="majorHAnsi"/>
          <w:sz w:val="20"/>
          <w:szCs w:val="20"/>
          <w:lang w:eastAsia="fr-FR"/>
        </w:rPr>
      </w:pPr>
      <w:r w:rsidRPr="00A608EE">
        <w:rPr>
          <w:rFonts w:asciiTheme="majorHAnsi" w:hAnsiTheme="majorHAnsi"/>
          <w:sz w:val="20"/>
          <w:szCs w:val="20"/>
          <w:lang w:eastAsia="fr-FR"/>
        </w:rPr>
        <w:t>Score ’yes’ either if the provider (1) offers several targeted, specially designed products and services to help clients in meeting their basic needs (such as housing, energy, health, and education) or (2) demonstrates that its products and services are flexible enough to meet clients’ basic needs.</w:t>
      </w:r>
    </w:p>
    <w:p w14:paraId="096D7E76" w14:textId="77777777" w:rsidR="006D1866" w:rsidRPr="00A608EE" w:rsidRDefault="006D1866" w:rsidP="00A27AAA">
      <w:pPr>
        <w:numPr>
          <w:ilvl w:val="0"/>
          <w:numId w:val="195"/>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does not meet fully both above-mentioned conditions. For instance, it may offer just one specially designed product/service to help clients in meeting their basic needs or its existing products/services have limited flexibility for clients to meet their basic needs.</w:t>
      </w:r>
    </w:p>
    <w:p w14:paraId="48992845" w14:textId="77777777" w:rsidR="006D1866" w:rsidRPr="00A608EE" w:rsidRDefault="006D1866" w:rsidP="00A27AAA">
      <w:pPr>
        <w:numPr>
          <w:ilvl w:val="0"/>
          <w:numId w:val="195"/>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does not meet both above-mentioned conditions. The provider does not offer a single product/service that helps clients meeting their basic needs and the existing products/services are too inflexible and their use too restrictive to help clients in meeting their basic needs.</w:t>
      </w:r>
    </w:p>
    <w:p w14:paraId="4BB960C2" w14:textId="77777777" w:rsidR="006D1866" w:rsidRPr="00A608EE" w:rsidRDefault="006D1866" w:rsidP="00EE208A">
      <w:pPr>
        <w:jc w:val="both"/>
        <w:rPr>
          <w:rFonts w:asciiTheme="majorHAnsi" w:hAnsiTheme="majorHAnsi"/>
          <w:sz w:val="20"/>
          <w:szCs w:val="20"/>
          <w:lang w:eastAsia="fr-FR"/>
        </w:rPr>
      </w:pPr>
    </w:p>
    <w:p w14:paraId="36AAA9C5" w14:textId="23CEB318" w:rsidR="006D1866" w:rsidRPr="00A608EE" w:rsidRDefault="006D1866"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 of information</w:t>
      </w:r>
    </w:p>
    <w:p w14:paraId="4C3FC814" w14:textId="77777777" w:rsidR="006D1866" w:rsidRPr="00A608EE" w:rsidRDefault="006D1866" w:rsidP="00A27AAA">
      <w:pPr>
        <w:numPr>
          <w:ilvl w:val="0"/>
          <w:numId w:val="196"/>
        </w:numPr>
        <w:jc w:val="both"/>
        <w:rPr>
          <w:rFonts w:asciiTheme="majorHAnsi" w:hAnsiTheme="majorHAnsi"/>
          <w:sz w:val="20"/>
          <w:szCs w:val="20"/>
          <w:lang w:eastAsia="fr-FR"/>
        </w:rPr>
      </w:pPr>
      <w:r w:rsidRPr="00A608EE">
        <w:rPr>
          <w:rFonts w:asciiTheme="majorHAnsi" w:hAnsiTheme="majorHAnsi"/>
          <w:sz w:val="20"/>
          <w:szCs w:val="20"/>
          <w:lang w:eastAsia="fr-FR"/>
        </w:rPr>
        <w:t>Product factsheets and brochures</w:t>
      </w:r>
    </w:p>
    <w:p w14:paraId="45EB751E" w14:textId="77777777" w:rsidR="006D1866" w:rsidRPr="00A608EE" w:rsidRDefault="006D1866" w:rsidP="00A27AAA">
      <w:pPr>
        <w:numPr>
          <w:ilvl w:val="0"/>
          <w:numId w:val="196"/>
        </w:numPr>
        <w:jc w:val="both"/>
        <w:rPr>
          <w:rFonts w:asciiTheme="majorHAnsi" w:hAnsiTheme="majorHAnsi"/>
          <w:sz w:val="20"/>
          <w:szCs w:val="20"/>
          <w:lang w:eastAsia="fr-FR"/>
        </w:rPr>
      </w:pPr>
      <w:r w:rsidRPr="00A608EE">
        <w:rPr>
          <w:rFonts w:asciiTheme="majorHAnsi" w:hAnsiTheme="majorHAnsi"/>
          <w:sz w:val="20"/>
          <w:szCs w:val="20"/>
          <w:lang w:eastAsia="fr-FR"/>
        </w:rPr>
        <w:t>Client interviews</w:t>
      </w:r>
    </w:p>
    <w:p w14:paraId="40D418F8" w14:textId="77777777" w:rsidR="006D1866" w:rsidRPr="00A608EE" w:rsidRDefault="006D1866" w:rsidP="00EE208A">
      <w:pPr>
        <w:jc w:val="both"/>
        <w:rPr>
          <w:rFonts w:asciiTheme="majorHAnsi" w:hAnsiTheme="majorHAnsi"/>
          <w:sz w:val="20"/>
          <w:szCs w:val="20"/>
          <w:lang w:eastAsia="fr-FR"/>
        </w:rPr>
      </w:pPr>
    </w:p>
    <w:p w14:paraId="74F8CF2B" w14:textId="1BB66F2F" w:rsidR="006D1866" w:rsidRPr="00A608EE" w:rsidRDefault="006D1866"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0830AB92" w14:textId="77777777" w:rsidR="006D1866" w:rsidRPr="00A608EE" w:rsidRDefault="006D1866" w:rsidP="00A27AAA">
      <w:pPr>
        <w:numPr>
          <w:ilvl w:val="0"/>
          <w:numId w:val="197"/>
        </w:numPr>
        <w:jc w:val="both"/>
        <w:rPr>
          <w:rFonts w:asciiTheme="majorHAnsi" w:hAnsiTheme="majorHAnsi"/>
          <w:sz w:val="20"/>
          <w:szCs w:val="20"/>
          <w:lang w:eastAsia="fr-FR"/>
        </w:rPr>
      </w:pPr>
      <w:r w:rsidRPr="00A608EE">
        <w:rPr>
          <w:rFonts w:asciiTheme="majorHAnsi" w:hAnsiTheme="majorHAnsi"/>
          <w:sz w:val="20"/>
          <w:szCs w:val="20"/>
          <w:lang w:eastAsia="fr-FR"/>
        </w:rPr>
        <w:t>Product manuals and marketing materials should include products and product terms that allow clients to meet basic needs.</w:t>
      </w:r>
    </w:p>
    <w:p w14:paraId="21CBB4EC" w14:textId="75C8F427" w:rsidR="00910B31" w:rsidRPr="00A608EE" w:rsidRDefault="006D1866" w:rsidP="00A27AAA">
      <w:pPr>
        <w:numPr>
          <w:ilvl w:val="0"/>
          <w:numId w:val="197"/>
        </w:numPr>
        <w:jc w:val="both"/>
        <w:rPr>
          <w:rFonts w:asciiTheme="majorHAnsi" w:hAnsiTheme="majorHAnsi"/>
          <w:sz w:val="20"/>
          <w:szCs w:val="20"/>
          <w:lang w:eastAsia="fr-FR"/>
        </w:rPr>
      </w:pPr>
      <w:r w:rsidRPr="00A608EE">
        <w:rPr>
          <w:rFonts w:asciiTheme="majorHAnsi" w:hAnsiTheme="majorHAnsi"/>
          <w:sz w:val="20"/>
          <w:szCs w:val="20"/>
          <w:lang w:eastAsia="fr-FR"/>
        </w:rPr>
        <w:t>The general loan or savings account products should not have use restrictions and have flexible enough terms that clients can use them to meet their basic needs.</w:t>
      </w:r>
    </w:p>
    <w:p w14:paraId="690E1B4E" w14:textId="77777777" w:rsidR="003510A0" w:rsidRPr="00A608EE" w:rsidRDefault="003510A0" w:rsidP="003510A0">
      <w:pPr>
        <w:jc w:val="both"/>
        <w:rPr>
          <w:rFonts w:asciiTheme="majorHAnsi" w:hAnsiTheme="majorHAnsi"/>
          <w:sz w:val="20"/>
          <w:szCs w:val="20"/>
          <w:lang w:eastAsia="fr-FR"/>
        </w:rPr>
      </w:pPr>
    </w:p>
    <w:p w14:paraId="0387E379" w14:textId="323BC504" w:rsidR="003510A0" w:rsidRPr="00A608EE" w:rsidRDefault="003510A0" w:rsidP="003510A0">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3.B.4.1:</w:t>
      </w:r>
    </w:p>
    <w:p w14:paraId="0066B903" w14:textId="77777777" w:rsidR="003510A0" w:rsidRPr="00A608EE" w:rsidRDefault="003510A0" w:rsidP="00A27AAA">
      <w:pPr>
        <w:pStyle w:val="ListParagraph"/>
        <w:numPr>
          <w:ilvl w:val="0"/>
          <w:numId w:val="7"/>
        </w:numPr>
        <w:rPr>
          <w:rStyle w:val="Hyperlink"/>
          <w:rFonts w:asciiTheme="majorHAnsi" w:eastAsia="Times New Roman" w:hAnsiTheme="majorHAnsi" w:cs="Times New Roman"/>
          <w:color w:val="auto"/>
          <w:szCs w:val="20"/>
          <w:u w:val="none"/>
          <w:lang w:eastAsia="es-ES_tradnl"/>
        </w:rPr>
      </w:pPr>
      <w:r w:rsidRPr="00A608EE">
        <w:rPr>
          <w:rStyle w:val="Hyperlink"/>
          <w:rFonts w:asciiTheme="majorHAnsi" w:hAnsiTheme="majorHAnsi"/>
          <w:b/>
          <w:bCs/>
          <w:color w:val="auto"/>
          <w:szCs w:val="20"/>
          <w:u w:val="none"/>
        </w:rPr>
        <w:t>[DI Focus]:</w:t>
      </w:r>
      <w:r w:rsidRPr="00A608EE">
        <w:rPr>
          <w:rStyle w:val="Hyperlink"/>
          <w:rFonts w:asciiTheme="majorHAnsi" w:hAnsiTheme="majorHAnsi"/>
          <w:color w:val="auto"/>
          <w:szCs w:val="20"/>
          <w:u w:val="none"/>
        </w:rPr>
        <w:t xml:space="preserve"> </w:t>
      </w:r>
      <w:hyperlink r:id="rId176" w:history="1">
        <w:r w:rsidRPr="00A608EE">
          <w:rPr>
            <w:rStyle w:val="Hyperlink"/>
            <w:rFonts w:asciiTheme="majorHAnsi" w:eastAsia="Times New Roman" w:hAnsiTheme="majorHAnsi" w:cs="Times New Roman"/>
            <w:szCs w:val="20"/>
            <w:lang w:eastAsia="es-ES_tradnl"/>
          </w:rPr>
          <w:t>Asian Development Bank (ADB), ‘Implementing Inclusive Design Principles in Banking Organizations’: Provides guidelines for FSPs on applying participatory design processes, with case studies and examples</w:t>
        </w:r>
      </w:hyperlink>
    </w:p>
    <w:p w14:paraId="7C0056C7" w14:textId="77777777" w:rsidR="00340A33" w:rsidRPr="00A608EE" w:rsidRDefault="00340A33" w:rsidP="00EE208A">
      <w:pPr>
        <w:jc w:val="both"/>
        <w:rPr>
          <w:rFonts w:asciiTheme="majorHAnsi" w:hAnsiTheme="majorHAnsi"/>
          <w:szCs w:val="20"/>
        </w:rPr>
      </w:pPr>
    </w:p>
    <w:p w14:paraId="3C8D45ED" w14:textId="3AD9CD60" w:rsidR="00E65C40" w:rsidRPr="00A608EE" w:rsidRDefault="003C5F5C" w:rsidP="00EE208A">
      <w:pPr>
        <w:pStyle w:val="Heading4"/>
        <w:spacing w:before="0" w:line="240" w:lineRule="auto"/>
        <w:jc w:val="both"/>
      </w:pPr>
      <w:r w:rsidRPr="00A608EE">
        <w:rPr>
          <w:rStyle w:val="text-primary"/>
        </w:rPr>
        <w:t>3.B.4.2</w:t>
      </w:r>
      <w:r w:rsidRPr="00A608EE">
        <w:t xml:space="preserve"> </w:t>
      </w:r>
      <w:r w:rsidR="006D1866" w:rsidRPr="00A608EE">
        <w:t>The provider offers products and services that help clients maintain stable levels of expenditure despite income fluctuation or emergencies. Select all that apply</w:t>
      </w:r>
      <w:r w:rsidR="000C05A6" w:rsidRPr="00A608EE">
        <w:t>:</w:t>
      </w:r>
    </w:p>
    <w:p w14:paraId="62C848EC" w14:textId="0746A66D" w:rsidR="006D1866" w:rsidRPr="00A608EE" w:rsidRDefault="006D1866" w:rsidP="00EE208A">
      <w:pPr>
        <w:pStyle w:val="NormalWeb"/>
        <w:spacing w:before="0" w:beforeAutospacing="0" w:after="0" w:afterAutospacing="0"/>
        <w:ind w:left="708"/>
        <w:jc w:val="both"/>
        <w:rPr>
          <w:rFonts w:asciiTheme="majorHAnsi" w:hAnsiTheme="majorHAnsi" w:cstheme="majorHAnsi"/>
          <w:i/>
          <w:sz w:val="20"/>
          <w:szCs w:val="20"/>
        </w:rPr>
      </w:pPr>
      <w:r w:rsidRPr="00A608EE">
        <w:rPr>
          <w:rFonts w:asciiTheme="majorHAnsi" w:hAnsiTheme="majorHAnsi" w:cstheme="majorHAnsi"/>
          <w:i/>
          <w:sz w:val="20"/>
          <w:szCs w:val="20"/>
        </w:rPr>
        <w:t>3.B.4.2.1 Emergency loans</w:t>
      </w:r>
    </w:p>
    <w:p w14:paraId="38A25FB9" w14:textId="77777777" w:rsidR="006D1866" w:rsidRPr="00A608EE" w:rsidRDefault="006D1866" w:rsidP="00EE208A">
      <w:pPr>
        <w:pStyle w:val="NormalWeb"/>
        <w:spacing w:before="0" w:beforeAutospacing="0" w:after="0" w:afterAutospacing="0"/>
        <w:ind w:left="708"/>
        <w:jc w:val="both"/>
        <w:rPr>
          <w:rFonts w:asciiTheme="majorHAnsi" w:hAnsiTheme="majorHAnsi" w:cstheme="majorHAnsi"/>
          <w:i/>
          <w:sz w:val="20"/>
          <w:szCs w:val="20"/>
        </w:rPr>
      </w:pPr>
      <w:r w:rsidRPr="00A608EE">
        <w:rPr>
          <w:rFonts w:asciiTheme="majorHAnsi" w:hAnsiTheme="majorHAnsi" w:cstheme="majorHAnsi"/>
          <w:i/>
          <w:sz w:val="20"/>
          <w:szCs w:val="20"/>
        </w:rPr>
        <w:t>3.B.4.2.2 Savings with an easy withdrawal process</w:t>
      </w:r>
    </w:p>
    <w:p w14:paraId="483F1BD1" w14:textId="77777777" w:rsidR="006D1866" w:rsidRPr="00A608EE" w:rsidRDefault="006D1866" w:rsidP="00EE208A">
      <w:pPr>
        <w:pStyle w:val="NormalWeb"/>
        <w:spacing w:before="0" w:beforeAutospacing="0" w:after="0" w:afterAutospacing="0"/>
        <w:ind w:left="708"/>
        <w:jc w:val="both"/>
        <w:rPr>
          <w:rFonts w:asciiTheme="majorHAnsi" w:hAnsiTheme="majorHAnsi" w:cstheme="majorHAnsi"/>
          <w:i/>
          <w:sz w:val="20"/>
          <w:szCs w:val="20"/>
        </w:rPr>
      </w:pPr>
      <w:r w:rsidRPr="00A608EE">
        <w:rPr>
          <w:rFonts w:asciiTheme="majorHAnsi" w:hAnsiTheme="majorHAnsi" w:cstheme="majorHAnsi"/>
          <w:i/>
          <w:sz w:val="20"/>
          <w:szCs w:val="20"/>
        </w:rPr>
        <w:t>3.B.4.2.3 Voluntary insurance</w:t>
      </w:r>
    </w:p>
    <w:p w14:paraId="70E124B1" w14:textId="381AF213" w:rsidR="003C5F5C" w:rsidRPr="00A608EE" w:rsidRDefault="006D1866" w:rsidP="00EE208A">
      <w:pPr>
        <w:pStyle w:val="NormalWeb"/>
        <w:spacing w:before="0" w:beforeAutospacing="0" w:after="0" w:afterAutospacing="0"/>
        <w:ind w:left="708"/>
        <w:jc w:val="both"/>
        <w:rPr>
          <w:rFonts w:asciiTheme="majorHAnsi" w:hAnsiTheme="majorHAnsi" w:cstheme="majorHAnsi"/>
          <w:i/>
          <w:iCs/>
          <w:sz w:val="20"/>
          <w:szCs w:val="20"/>
        </w:rPr>
      </w:pPr>
      <w:r w:rsidRPr="00A608EE">
        <w:rPr>
          <w:rFonts w:asciiTheme="majorHAnsi" w:hAnsiTheme="majorHAnsi" w:cstheme="majorHAnsi"/>
          <w:i/>
          <w:sz w:val="20"/>
          <w:szCs w:val="20"/>
        </w:rPr>
        <w:t>3.B.4.2.4 Non-financial services</w:t>
      </w:r>
    </w:p>
    <w:p w14:paraId="0AD1C0C2" w14:textId="77777777" w:rsidR="00072C93" w:rsidRPr="00A608EE" w:rsidRDefault="00072C93" w:rsidP="00EE208A">
      <w:pPr>
        <w:jc w:val="both"/>
        <w:rPr>
          <w:rFonts w:asciiTheme="majorHAnsi" w:hAnsiTheme="majorHAnsi"/>
          <w:szCs w:val="20"/>
        </w:rPr>
      </w:pPr>
    </w:p>
    <w:p w14:paraId="4B4370E5" w14:textId="1F06E3A8" w:rsidR="00340A33" w:rsidRPr="00A608EE" w:rsidRDefault="004F5FC3" w:rsidP="00EE208A">
      <w:pPr>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340A33" w:rsidRPr="00A608EE">
        <w:rPr>
          <w:rFonts w:asciiTheme="majorHAnsi" w:hAnsiTheme="majorHAnsi"/>
          <w:b/>
          <w:bCs/>
          <w:color w:val="2145CC" w:themeColor="accent5" w:themeShade="BF"/>
          <w:sz w:val="20"/>
          <w:szCs w:val="20"/>
        </w:rPr>
        <w:t>ALINUS</w:t>
      </w:r>
      <w:r w:rsidR="00615EE5" w:rsidRPr="00A608EE">
        <w:rPr>
          <w:rFonts w:asciiTheme="majorHAnsi" w:hAnsiTheme="majorHAnsi"/>
          <w:b/>
          <w:bCs/>
          <w:color w:val="2145CC" w:themeColor="accent5" w:themeShade="BF"/>
          <w:sz w:val="20"/>
          <w:szCs w:val="20"/>
        </w:rPr>
        <w:t xml:space="preserve"> | </w:t>
      </w:r>
      <w:r w:rsidR="00340A33" w:rsidRPr="00A608EE">
        <w:rPr>
          <w:rFonts w:asciiTheme="majorHAnsi" w:hAnsiTheme="majorHAnsi"/>
          <w:b/>
          <w:bCs/>
          <w:color w:val="2145CC" w:themeColor="accent5" w:themeShade="BF"/>
          <w:sz w:val="20"/>
          <w:szCs w:val="20"/>
        </w:rPr>
        <w:t>SPI5 Entry</w:t>
      </w:r>
      <w:r w:rsidR="00615EE5" w:rsidRPr="00A608EE">
        <w:rPr>
          <w:rFonts w:asciiTheme="majorHAnsi" w:hAnsiTheme="majorHAnsi"/>
          <w:b/>
          <w:bCs/>
          <w:color w:val="2145CC" w:themeColor="accent5" w:themeShade="BF"/>
          <w:sz w:val="20"/>
          <w:szCs w:val="20"/>
        </w:rPr>
        <w:t xml:space="preserve"> | </w:t>
      </w:r>
      <w:r w:rsidR="00340A33"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754EED4F" w14:textId="67753084" w:rsidR="00340A33" w:rsidRPr="00A608EE" w:rsidRDefault="00340A33" w:rsidP="00EE208A">
      <w:pPr>
        <w:jc w:val="both"/>
        <w:rPr>
          <w:rFonts w:asciiTheme="majorHAnsi" w:hAnsiTheme="majorHAnsi"/>
          <w:b/>
          <w:bCs/>
          <w:color w:val="2145CC" w:themeColor="accent5" w:themeShade="BF"/>
          <w:sz w:val="20"/>
          <w:szCs w:val="20"/>
        </w:rPr>
      </w:pPr>
      <w:r w:rsidRPr="00A608EE">
        <w:rPr>
          <w:rFonts w:asciiTheme="majorHAnsi" w:hAnsiTheme="majorHAnsi"/>
          <w:b/>
          <w:bCs/>
          <w:color w:val="2145CC" w:themeColor="accent5" w:themeShade="BF"/>
          <w:sz w:val="20"/>
          <w:szCs w:val="20"/>
        </w:rPr>
        <w:t>D</w:t>
      </w:r>
      <w:r w:rsidR="006D1866" w:rsidRPr="00A608EE">
        <w:rPr>
          <w:rFonts w:asciiTheme="majorHAnsi" w:hAnsiTheme="majorHAnsi"/>
          <w:b/>
          <w:bCs/>
          <w:color w:val="2145CC" w:themeColor="accent5" w:themeShade="BF"/>
          <w:sz w:val="20"/>
          <w:szCs w:val="20"/>
        </w:rPr>
        <w:t>e</w:t>
      </w:r>
      <w:r w:rsidRPr="00A608EE">
        <w:rPr>
          <w:rFonts w:asciiTheme="majorHAnsi" w:hAnsiTheme="majorHAnsi"/>
          <w:b/>
          <w:bCs/>
          <w:color w:val="2145CC" w:themeColor="accent5" w:themeShade="BF"/>
          <w:sz w:val="20"/>
          <w:szCs w:val="20"/>
        </w:rPr>
        <w:t>tail 3.B.4.2.2: Option “</w:t>
      </w:r>
      <w:r w:rsidR="006D1866" w:rsidRPr="00A608EE">
        <w:rPr>
          <w:rFonts w:asciiTheme="majorHAnsi" w:hAnsiTheme="majorHAnsi"/>
          <w:b/>
          <w:bCs/>
          <w:color w:val="2145CC" w:themeColor="accent5" w:themeShade="BF"/>
          <w:sz w:val="20"/>
          <w:szCs w:val="20"/>
        </w:rPr>
        <w:t>Savings</w:t>
      </w:r>
      <w:r w:rsidRPr="00A608EE">
        <w:rPr>
          <w:rFonts w:asciiTheme="majorHAnsi" w:hAnsiTheme="majorHAnsi"/>
          <w:b/>
          <w:bCs/>
          <w:color w:val="2145CC" w:themeColor="accent5" w:themeShade="BF"/>
          <w:sz w:val="20"/>
          <w:szCs w:val="20"/>
        </w:rPr>
        <w:t>”</w:t>
      </w:r>
    </w:p>
    <w:p w14:paraId="6FF2F405" w14:textId="3503A246" w:rsidR="00340A33" w:rsidRPr="00A608EE" w:rsidRDefault="00340A33" w:rsidP="00EE208A">
      <w:pPr>
        <w:jc w:val="both"/>
        <w:rPr>
          <w:rFonts w:asciiTheme="majorHAnsi" w:hAnsiTheme="majorHAnsi"/>
          <w:b/>
          <w:bCs/>
          <w:color w:val="2145CC" w:themeColor="accent5" w:themeShade="BF"/>
          <w:sz w:val="20"/>
          <w:szCs w:val="20"/>
        </w:rPr>
      </w:pPr>
      <w:r w:rsidRPr="00A608EE">
        <w:rPr>
          <w:rFonts w:asciiTheme="majorHAnsi" w:hAnsiTheme="majorHAnsi"/>
          <w:b/>
          <w:bCs/>
          <w:color w:val="2145CC" w:themeColor="accent5" w:themeShade="BF"/>
          <w:sz w:val="20"/>
          <w:szCs w:val="20"/>
        </w:rPr>
        <w:t>D</w:t>
      </w:r>
      <w:r w:rsidR="006D1866" w:rsidRPr="00A608EE">
        <w:rPr>
          <w:rFonts w:asciiTheme="majorHAnsi" w:hAnsiTheme="majorHAnsi"/>
          <w:b/>
          <w:bCs/>
          <w:color w:val="2145CC" w:themeColor="accent5" w:themeShade="BF"/>
          <w:sz w:val="20"/>
          <w:szCs w:val="20"/>
        </w:rPr>
        <w:t>et</w:t>
      </w:r>
      <w:r w:rsidRPr="00A608EE">
        <w:rPr>
          <w:rFonts w:asciiTheme="majorHAnsi" w:hAnsiTheme="majorHAnsi"/>
          <w:b/>
          <w:bCs/>
          <w:color w:val="2145CC" w:themeColor="accent5" w:themeShade="BF"/>
          <w:sz w:val="20"/>
          <w:szCs w:val="20"/>
        </w:rPr>
        <w:t>ail 3.B.4.2.3: Option “</w:t>
      </w:r>
      <w:r w:rsidR="006D1866" w:rsidRPr="00A608EE">
        <w:rPr>
          <w:rFonts w:asciiTheme="majorHAnsi" w:hAnsiTheme="majorHAnsi"/>
          <w:b/>
          <w:bCs/>
          <w:color w:val="2145CC" w:themeColor="accent5" w:themeShade="BF"/>
          <w:sz w:val="20"/>
          <w:szCs w:val="20"/>
        </w:rPr>
        <w:t>Insurance</w:t>
      </w:r>
      <w:r w:rsidRPr="00A608EE">
        <w:rPr>
          <w:rFonts w:asciiTheme="majorHAnsi" w:hAnsiTheme="majorHAnsi"/>
          <w:b/>
          <w:bCs/>
          <w:color w:val="2145CC" w:themeColor="accent5" w:themeShade="BF"/>
          <w:sz w:val="20"/>
          <w:szCs w:val="20"/>
        </w:rPr>
        <w:t>”</w:t>
      </w:r>
    </w:p>
    <w:p w14:paraId="56885BA0" w14:textId="15C7A64A" w:rsidR="00340A33" w:rsidRPr="00A608EE" w:rsidRDefault="00340A33" w:rsidP="00EE208A">
      <w:pPr>
        <w:jc w:val="both"/>
        <w:rPr>
          <w:rFonts w:asciiTheme="majorHAnsi" w:hAnsiTheme="majorHAnsi"/>
          <w:b/>
          <w:bCs/>
          <w:color w:val="2145CC" w:themeColor="accent5" w:themeShade="BF"/>
          <w:sz w:val="20"/>
          <w:szCs w:val="20"/>
        </w:rPr>
      </w:pPr>
      <w:r w:rsidRPr="00A608EE">
        <w:rPr>
          <w:rFonts w:asciiTheme="majorHAnsi" w:hAnsiTheme="majorHAnsi"/>
          <w:b/>
          <w:bCs/>
          <w:color w:val="2145CC" w:themeColor="accent5" w:themeShade="BF"/>
          <w:sz w:val="20"/>
          <w:szCs w:val="20"/>
        </w:rPr>
        <w:t>D</w:t>
      </w:r>
      <w:r w:rsidR="006D1866" w:rsidRPr="00A608EE">
        <w:rPr>
          <w:rFonts w:asciiTheme="majorHAnsi" w:hAnsiTheme="majorHAnsi"/>
          <w:b/>
          <w:bCs/>
          <w:color w:val="2145CC" w:themeColor="accent5" w:themeShade="BF"/>
          <w:sz w:val="20"/>
          <w:szCs w:val="20"/>
        </w:rPr>
        <w:t>e</w:t>
      </w:r>
      <w:r w:rsidRPr="00A608EE">
        <w:rPr>
          <w:rFonts w:asciiTheme="majorHAnsi" w:hAnsiTheme="majorHAnsi"/>
          <w:b/>
          <w:bCs/>
          <w:color w:val="2145CC" w:themeColor="accent5" w:themeShade="BF"/>
          <w:sz w:val="20"/>
          <w:szCs w:val="20"/>
        </w:rPr>
        <w:t xml:space="preserve">tail 3.B.4.2.4: SPI5 Full </w:t>
      </w:r>
    </w:p>
    <w:p w14:paraId="4008FB88" w14:textId="77777777" w:rsidR="005C74D3" w:rsidRPr="00A608EE" w:rsidRDefault="005C74D3" w:rsidP="00A02AC4">
      <w:pPr>
        <w:pStyle w:val="paragraph"/>
        <w:spacing w:before="120" w:beforeAutospacing="0" w:after="120" w:afterAutospacing="0"/>
        <w:jc w:val="both"/>
        <w:textAlignment w:val="baseline"/>
        <w:rPr>
          <w:rFonts w:asciiTheme="majorHAnsi" w:hAnsiTheme="majorHAnsi" w:cstheme="majorHAnsi"/>
          <w:sz w:val="20"/>
          <w:szCs w:val="20"/>
        </w:rPr>
      </w:pPr>
      <w:r w:rsidRPr="00A608EE">
        <w:rPr>
          <w:rFonts w:asciiTheme="majorHAnsi" w:hAnsiTheme="majorHAnsi" w:cstheme="majorHAnsi"/>
          <w:sz w:val="20"/>
          <w:szCs w:val="20"/>
        </w:rPr>
        <w:t>Reducing vulnerability calls for financial and non-financial services that allow clients to cope with risks and emergencies. Understanding clients’ situations through market research makes it possible to design products that allow clients to manage risks and cope with emergencies.</w:t>
      </w:r>
    </w:p>
    <w:p w14:paraId="038532DF" w14:textId="094D9E69" w:rsidR="009078A3" w:rsidRPr="00A608EE" w:rsidRDefault="005C74D3" w:rsidP="00221BCE">
      <w:p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The insurance claims process should not put an undue burden on the client to follow up and inquire about the claims progress, resubmit the paperwork, or travel in person to request or provide information. Clients have preferably more than one channel for submitting or following up on a claim.</w:t>
      </w:r>
    </w:p>
    <w:p w14:paraId="0F9A90E6" w14:textId="77777777" w:rsidR="00672763" w:rsidRPr="00A608EE" w:rsidRDefault="00672763" w:rsidP="00221BCE">
      <w:pPr>
        <w:jc w:val="both"/>
        <w:rPr>
          <w:rFonts w:asciiTheme="majorHAnsi" w:hAnsiTheme="majorHAnsi" w:cstheme="majorHAnsi"/>
          <w:sz w:val="20"/>
          <w:szCs w:val="20"/>
          <w:lang w:eastAsia="fr-FR"/>
        </w:rPr>
      </w:pPr>
    </w:p>
    <w:p w14:paraId="6E5F76D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44608" behindDoc="1" locked="0" layoutInCell="1" allowOverlap="1" wp14:anchorId="5F6048D6" wp14:editId="2BF89123">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18472869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893EFB3" w14:textId="77777777" w:rsidR="00672763" w:rsidRPr="00A608EE" w:rsidRDefault="00672763" w:rsidP="00221BCE">
      <w:pPr>
        <w:jc w:val="both"/>
        <w:rPr>
          <w:rStyle w:val="normaltextrun"/>
          <w:rFonts w:asciiTheme="majorHAnsi" w:hAnsiTheme="majorHAnsi" w:cstheme="majorHAnsi"/>
          <w:sz w:val="20"/>
          <w:szCs w:val="20"/>
          <w:lang w:eastAsia="fr-FR"/>
        </w:rPr>
      </w:pPr>
    </w:p>
    <w:p w14:paraId="763E6609" w14:textId="184B8172" w:rsidR="009078A3" w:rsidRPr="00A608EE" w:rsidRDefault="00FC6779" w:rsidP="009078A3">
      <w:pPr>
        <w:jc w:val="both"/>
        <w:rPr>
          <w:rFonts w:asciiTheme="majorHAnsi" w:hAnsiTheme="majorHAnsi" w:cs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9078A3" w:rsidRPr="00A608EE">
        <w:rPr>
          <w:rFonts w:asciiTheme="majorHAnsi" w:hAnsiTheme="majorHAnsi" w:cstheme="majorHAnsi"/>
          <w:sz w:val="20"/>
          <w:szCs w:val="20"/>
          <w:lang w:eastAsia="fr-FR"/>
        </w:rPr>
        <w:t>The provider offers products and services that help persons with disability maintain stable levels of expenditure despite income fluctuation or emergencies, that are:</w:t>
      </w:r>
    </w:p>
    <w:p w14:paraId="52DD514B" w14:textId="1A74A99E" w:rsidR="009078A3" w:rsidRPr="00A608EE" w:rsidRDefault="00221BCE" w:rsidP="00A27AAA">
      <w:pPr>
        <w:pStyle w:val="ListParagraph"/>
        <w:numPr>
          <w:ilvl w:val="0"/>
          <w:numId w:val="392"/>
        </w:numPr>
        <w:jc w:val="both"/>
        <w:rPr>
          <w:rFonts w:asciiTheme="majorHAnsi" w:hAnsiTheme="majorHAnsi" w:cstheme="majorHAnsi"/>
          <w:szCs w:val="20"/>
          <w:lang w:eastAsia="fr-FR"/>
        </w:rPr>
      </w:pPr>
      <w:r w:rsidRPr="00A608EE">
        <w:rPr>
          <w:rFonts w:asciiTheme="majorHAnsi" w:hAnsiTheme="majorHAnsi" w:cstheme="majorHAnsi"/>
          <w:szCs w:val="20"/>
          <w:lang w:eastAsia="fr-FR"/>
        </w:rPr>
        <w:t>A</w:t>
      </w:r>
      <w:r w:rsidR="009078A3" w:rsidRPr="00A608EE">
        <w:rPr>
          <w:rFonts w:asciiTheme="majorHAnsi" w:hAnsiTheme="majorHAnsi" w:cstheme="majorHAnsi"/>
          <w:szCs w:val="20"/>
          <w:lang w:eastAsia="fr-FR"/>
        </w:rPr>
        <w:t xml:space="preserve">ccessible and available to persons with disabilities on an equal basis with others; </w:t>
      </w:r>
    </w:p>
    <w:p w14:paraId="0F8484FD" w14:textId="4E800AE8" w:rsidR="009078A3" w:rsidRPr="00A608EE" w:rsidRDefault="00221BCE" w:rsidP="00A27AAA">
      <w:pPr>
        <w:pStyle w:val="ListParagraph"/>
        <w:numPr>
          <w:ilvl w:val="0"/>
          <w:numId w:val="392"/>
        </w:numPr>
        <w:jc w:val="both"/>
        <w:rPr>
          <w:rFonts w:asciiTheme="majorHAnsi" w:hAnsiTheme="majorHAnsi" w:cstheme="majorHAnsi"/>
          <w:szCs w:val="20"/>
          <w:lang w:eastAsia="fr-FR"/>
        </w:rPr>
      </w:pPr>
      <w:r w:rsidRPr="00A608EE">
        <w:rPr>
          <w:rFonts w:asciiTheme="majorHAnsi" w:hAnsiTheme="majorHAnsi" w:cstheme="majorHAnsi"/>
          <w:szCs w:val="20"/>
          <w:lang w:eastAsia="fr-FR"/>
        </w:rPr>
        <w:t>D</w:t>
      </w:r>
      <w:r w:rsidR="009078A3" w:rsidRPr="00A608EE">
        <w:rPr>
          <w:rFonts w:asciiTheme="majorHAnsi" w:hAnsiTheme="majorHAnsi" w:cstheme="majorHAnsi"/>
          <w:szCs w:val="20"/>
          <w:lang w:eastAsia="fr-FR"/>
        </w:rPr>
        <w:t>o not exclude or discriminate against persons with disabilities; and</w:t>
      </w:r>
    </w:p>
    <w:p w14:paraId="24F82ED8" w14:textId="738570F2" w:rsidR="005C74D3" w:rsidRPr="00A608EE" w:rsidRDefault="00221BCE" w:rsidP="00A27AAA">
      <w:pPr>
        <w:pStyle w:val="ListParagraph"/>
        <w:numPr>
          <w:ilvl w:val="0"/>
          <w:numId w:val="392"/>
        </w:numPr>
        <w:jc w:val="both"/>
        <w:rPr>
          <w:rFonts w:asciiTheme="majorHAnsi" w:hAnsiTheme="majorHAnsi" w:cstheme="majorHAnsi"/>
          <w:szCs w:val="20"/>
          <w:lang w:eastAsia="fr-FR"/>
        </w:rPr>
      </w:pPr>
      <w:r w:rsidRPr="00A608EE">
        <w:rPr>
          <w:rFonts w:asciiTheme="majorHAnsi" w:hAnsiTheme="majorHAnsi" w:cstheme="majorHAnsi"/>
          <w:szCs w:val="20"/>
          <w:lang w:eastAsia="fr-FR"/>
        </w:rPr>
        <w:t>A</w:t>
      </w:r>
      <w:r w:rsidR="009078A3" w:rsidRPr="00A608EE">
        <w:rPr>
          <w:rFonts w:asciiTheme="majorHAnsi" w:hAnsiTheme="majorHAnsi" w:cstheme="majorHAnsi"/>
          <w:szCs w:val="20"/>
          <w:lang w:eastAsia="fr-FR"/>
        </w:rPr>
        <w:t>re responsive to their needs.</w:t>
      </w:r>
    </w:p>
    <w:p w14:paraId="38AAC277" w14:textId="77777777" w:rsidR="009078A3" w:rsidRPr="00A608EE" w:rsidRDefault="009078A3" w:rsidP="009078A3">
      <w:pPr>
        <w:jc w:val="both"/>
        <w:rPr>
          <w:rFonts w:asciiTheme="majorHAnsi" w:hAnsiTheme="majorHAnsi" w:cstheme="majorHAnsi"/>
          <w:sz w:val="20"/>
          <w:szCs w:val="20"/>
          <w:lang w:eastAsia="fr-FR"/>
        </w:rPr>
      </w:pPr>
    </w:p>
    <w:p w14:paraId="4DC996A3" w14:textId="4C7D944A" w:rsidR="009078A3" w:rsidRPr="00A608EE" w:rsidRDefault="009078A3" w:rsidP="009078A3">
      <w:pPr>
        <w:jc w:val="both"/>
        <w:rPr>
          <w:rFonts w:asciiTheme="majorHAnsi" w:hAnsiTheme="majorHAnsi" w:cstheme="majorHAnsi"/>
          <w:szCs w:val="20"/>
          <w:lang w:eastAsia="fr-FR"/>
        </w:rPr>
      </w:pPr>
      <w:r w:rsidRPr="00A608EE">
        <w:rPr>
          <w:noProof/>
        </w:rPr>
        <w:lastRenderedPageBreak/>
        <mc:AlternateContent>
          <mc:Choice Requires="wps">
            <w:drawing>
              <wp:anchor distT="0" distB="0" distL="114300" distR="114300" simplePos="0" relativeHeight="251696128" behindDoc="0" locked="0" layoutInCell="1" allowOverlap="1" wp14:anchorId="08AEC97B" wp14:editId="6F02886D">
                <wp:simplePos x="0" y="0"/>
                <wp:positionH relativeFrom="margin">
                  <wp:align>left</wp:align>
                </wp:positionH>
                <wp:positionV relativeFrom="paragraph">
                  <wp:posOffset>1905</wp:posOffset>
                </wp:positionV>
                <wp:extent cx="1828800" cy="5880100"/>
                <wp:effectExtent l="0" t="0" r="24130" b="25400"/>
                <wp:wrapSquare wrapText="bothSides"/>
                <wp:docPr id="1435358270" name="Cuadro de texto 1"/>
                <wp:cNvGraphicFramePr/>
                <a:graphic xmlns:a="http://schemas.openxmlformats.org/drawingml/2006/main">
                  <a:graphicData uri="http://schemas.microsoft.com/office/word/2010/wordprocessingShape">
                    <wps:wsp>
                      <wps:cNvSpPr txBox="1"/>
                      <wps:spPr>
                        <a:xfrm>
                          <a:off x="0" y="0"/>
                          <a:ext cx="1828800" cy="5880100"/>
                        </a:xfrm>
                        <a:prstGeom prst="rect">
                          <a:avLst/>
                        </a:prstGeom>
                        <a:noFill/>
                        <a:ln w="6350">
                          <a:solidFill>
                            <a:prstClr val="black"/>
                          </a:solidFill>
                        </a:ln>
                      </wps:spPr>
                      <wps:txbx>
                        <w:txbxContent>
                          <w:p w14:paraId="1B3EA7EF" w14:textId="0DF7AF12" w:rsidR="009078A3" w:rsidRPr="00820B09" w:rsidRDefault="00EB123D" w:rsidP="009078A3">
                            <w:pPr>
                              <w:jc w:val="both"/>
                              <w:rPr>
                                <w:rFonts w:asciiTheme="majorHAnsi" w:hAnsiTheme="majorHAnsi" w:cstheme="majorHAnsi"/>
                                <w:b/>
                                <w:bCs/>
                                <w:sz w:val="20"/>
                                <w:szCs w:val="15"/>
                                <w:lang w:eastAsia="fr-FR"/>
                              </w:rPr>
                            </w:pPr>
                            <w:r w:rsidRPr="00820B09">
                              <w:rPr>
                                <w:rFonts w:asciiTheme="majorHAnsi" w:hAnsiTheme="majorHAnsi" w:cstheme="majorHAnsi"/>
                                <w:b/>
                                <w:bCs/>
                                <w:sz w:val="20"/>
                                <w:szCs w:val="15"/>
                                <w:lang w:eastAsia="fr-FR"/>
                              </w:rPr>
                              <w:t>Disability Inclusion - Info Box</w:t>
                            </w:r>
                            <w:r w:rsidR="009078A3" w:rsidRPr="00820B09">
                              <w:rPr>
                                <w:rFonts w:asciiTheme="majorHAnsi" w:hAnsiTheme="majorHAnsi" w:cstheme="majorHAnsi"/>
                                <w:b/>
                                <w:bCs/>
                                <w:sz w:val="20"/>
                                <w:szCs w:val="15"/>
                                <w:lang w:eastAsia="fr-FR"/>
                              </w:rPr>
                              <w:t xml:space="preserve"> 3.B.4.2</w:t>
                            </w:r>
                          </w:p>
                          <w:p w14:paraId="4DBD2C01" w14:textId="77777777" w:rsidR="009078A3" w:rsidRPr="00820B09" w:rsidRDefault="009078A3" w:rsidP="009078A3">
                            <w:pPr>
                              <w:jc w:val="both"/>
                              <w:rPr>
                                <w:rFonts w:asciiTheme="majorHAnsi" w:hAnsiTheme="majorHAnsi" w:cstheme="majorHAnsi"/>
                                <w:sz w:val="20"/>
                                <w:szCs w:val="15"/>
                                <w:lang w:eastAsia="fr-FR"/>
                              </w:rPr>
                            </w:pPr>
                          </w:p>
                          <w:p w14:paraId="6D4DF455" w14:textId="34ACF048" w:rsidR="009078A3" w:rsidRPr="00820B09" w:rsidRDefault="009078A3" w:rsidP="009078A3">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 xml:space="preserve">The provider's products and services </w:t>
                            </w:r>
                            <w:r w:rsidR="00B672A4" w:rsidRPr="00820B09">
                              <w:rPr>
                                <w:rFonts w:asciiTheme="majorHAnsi" w:hAnsiTheme="majorHAnsi" w:cstheme="majorHAnsi"/>
                                <w:sz w:val="20"/>
                                <w:szCs w:val="15"/>
                                <w:lang w:eastAsia="fr-FR"/>
                              </w:rPr>
                              <w:t>should</w:t>
                            </w:r>
                            <w:r w:rsidRPr="00820B09">
                              <w:rPr>
                                <w:rFonts w:asciiTheme="majorHAnsi" w:hAnsiTheme="majorHAnsi" w:cstheme="majorHAnsi"/>
                                <w:sz w:val="20"/>
                                <w:szCs w:val="15"/>
                                <w:lang w:eastAsia="fr-FR"/>
                              </w:rPr>
                              <w:t xml:space="preserve"> not have eligibility criteria that directly or indirectly discriminate against or exclude persons with disabilities.</w:t>
                            </w:r>
                            <w:r w:rsidR="00B672A4" w:rsidRPr="00820B09">
                              <w:rPr>
                                <w:rFonts w:asciiTheme="majorHAnsi" w:hAnsiTheme="majorHAnsi" w:cstheme="majorHAnsi"/>
                                <w:sz w:val="20"/>
                                <w:szCs w:val="15"/>
                                <w:lang w:eastAsia="fr-FR"/>
                              </w:rPr>
                              <w:t xml:space="preserve"> </w:t>
                            </w:r>
                            <w:r w:rsidR="00B672A4" w:rsidRPr="00820B09">
                              <w:rPr>
                                <w:rFonts w:asciiTheme="majorHAnsi" w:hAnsiTheme="majorHAnsi"/>
                                <w:sz w:val="20"/>
                                <w:szCs w:val="15"/>
                                <w:lang w:eastAsia="fr-FR"/>
                              </w:rPr>
                              <w:t>Direct discrimination includes criteria that exclude persons from holding products or services, or requires them to appoint a third party in order to access or use their accounts,</w:t>
                            </w:r>
                            <w:r w:rsidR="00E40ACC" w:rsidRPr="00820B09">
                              <w:rPr>
                                <w:rFonts w:asciiTheme="majorHAnsi" w:hAnsiTheme="majorHAnsi"/>
                                <w:sz w:val="20"/>
                                <w:szCs w:val="15"/>
                                <w:lang w:eastAsia="fr-FR"/>
                              </w:rPr>
                              <w:t xml:space="preserve"> </w:t>
                            </w:r>
                            <w:r w:rsidR="00B672A4" w:rsidRPr="00820B09">
                              <w:rPr>
                                <w:rFonts w:asciiTheme="majorHAnsi" w:hAnsiTheme="majorHAnsi"/>
                                <w:sz w:val="20"/>
                                <w:szCs w:val="15"/>
                                <w:lang w:eastAsia="fr-FR"/>
                              </w:rPr>
                              <w:t>on the basis of their disability or a medical diagnosis.</w:t>
                            </w:r>
                          </w:p>
                          <w:p w14:paraId="62A35624" w14:textId="77777777" w:rsidR="009078A3" w:rsidRPr="00820B09" w:rsidRDefault="009078A3" w:rsidP="009078A3">
                            <w:pPr>
                              <w:jc w:val="both"/>
                              <w:rPr>
                                <w:rFonts w:asciiTheme="majorHAnsi" w:hAnsiTheme="majorHAnsi" w:cstheme="majorHAnsi"/>
                                <w:sz w:val="20"/>
                                <w:szCs w:val="15"/>
                                <w:lang w:eastAsia="fr-FR"/>
                              </w:rPr>
                            </w:pPr>
                          </w:p>
                          <w:p w14:paraId="347DBBB3" w14:textId="67FBF390" w:rsidR="00B672A4" w:rsidRPr="00820B09" w:rsidRDefault="00B672A4" w:rsidP="009B4D49">
                            <w:pPr>
                              <w:pStyle w:val="NormalWeb"/>
                              <w:spacing w:before="0" w:beforeAutospacing="0" w:after="0" w:afterAutospacing="0"/>
                              <w:jc w:val="both"/>
                              <w:rPr>
                                <w:rFonts w:asciiTheme="majorHAnsi" w:hAnsiTheme="majorHAnsi"/>
                                <w:sz w:val="20"/>
                                <w:szCs w:val="20"/>
                              </w:rPr>
                            </w:pPr>
                            <w:r w:rsidRPr="00820B09">
                              <w:rPr>
                                <w:rFonts w:asciiTheme="majorHAnsi" w:hAnsiTheme="majorHAnsi"/>
                                <w:sz w:val="20"/>
                                <w:szCs w:val="20"/>
                              </w:rPr>
                              <w:t xml:space="preserve">Persons with disabilities are more exposed to financial shocks and emergencies, as a result of </w:t>
                            </w:r>
                            <w:r w:rsidR="009B4D49" w:rsidRPr="00820B09">
                              <w:rPr>
                                <w:rFonts w:asciiTheme="majorHAnsi" w:hAnsiTheme="majorHAnsi"/>
                                <w:sz w:val="20"/>
                                <w:szCs w:val="20"/>
                              </w:rPr>
                              <w:t>both income fluctuations</w:t>
                            </w:r>
                            <w:r w:rsidRPr="00820B09">
                              <w:rPr>
                                <w:rFonts w:asciiTheme="majorHAnsi" w:hAnsiTheme="majorHAnsi"/>
                                <w:sz w:val="20"/>
                                <w:szCs w:val="20"/>
                              </w:rPr>
                              <w:t xml:space="preserve"> and </w:t>
                            </w:r>
                            <w:r w:rsidR="009B4D49" w:rsidRPr="00820B09">
                              <w:rPr>
                                <w:rFonts w:asciiTheme="majorHAnsi" w:hAnsiTheme="majorHAnsi"/>
                                <w:sz w:val="20"/>
                                <w:szCs w:val="20"/>
                              </w:rPr>
                              <w:t xml:space="preserve">unexpected expenses. As a result of </w:t>
                            </w:r>
                            <w:r w:rsidRPr="00820B09">
                              <w:rPr>
                                <w:rFonts w:asciiTheme="majorHAnsi" w:hAnsiTheme="majorHAnsi"/>
                                <w:sz w:val="20"/>
                                <w:szCs w:val="20"/>
                              </w:rPr>
                              <w:t>exclusion from</w:t>
                            </w:r>
                            <w:r w:rsidR="009E3DA1" w:rsidRPr="00820B09">
                              <w:rPr>
                                <w:rFonts w:asciiTheme="majorHAnsi" w:hAnsiTheme="majorHAnsi"/>
                                <w:sz w:val="20"/>
                                <w:szCs w:val="20"/>
                              </w:rPr>
                              <w:t xml:space="preserve"> formal </w:t>
                            </w:r>
                            <w:r w:rsidRPr="00820B09">
                              <w:rPr>
                                <w:rFonts w:asciiTheme="majorHAnsi" w:hAnsiTheme="majorHAnsi"/>
                                <w:sz w:val="20"/>
                                <w:szCs w:val="20"/>
                              </w:rPr>
                              <w:t xml:space="preserve">employment, </w:t>
                            </w:r>
                            <w:r w:rsidR="009B4D49" w:rsidRPr="00820B09">
                              <w:rPr>
                                <w:rFonts w:asciiTheme="majorHAnsi" w:hAnsiTheme="majorHAnsi"/>
                                <w:sz w:val="20"/>
                                <w:szCs w:val="20"/>
                              </w:rPr>
                              <w:t>they a</w:t>
                            </w:r>
                            <w:r w:rsidRPr="00820B09">
                              <w:rPr>
                                <w:rFonts w:asciiTheme="majorHAnsi" w:hAnsiTheme="majorHAnsi"/>
                                <w:sz w:val="20"/>
                                <w:szCs w:val="20"/>
                              </w:rPr>
                              <w:t xml:space="preserve">re more likely to </w:t>
                            </w:r>
                            <w:r w:rsidR="009E3DA1" w:rsidRPr="00820B09">
                              <w:rPr>
                                <w:rFonts w:asciiTheme="majorHAnsi" w:hAnsiTheme="majorHAnsi"/>
                                <w:sz w:val="20"/>
                                <w:szCs w:val="20"/>
                              </w:rPr>
                              <w:t>have lower and irregular income</w:t>
                            </w:r>
                            <w:r w:rsidR="009B4D49" w:rsidRPr="00820B09">
                              <w:rPr>
                                <w:rFonts w:asciiTheme="majorHAnsi" w:hAnsiTheme="majorHAnsi"/>
                                <w:sz w:val="20"/>
                                <w:szCs w:val="20"/>
                              </w:rPr>
                              <w:t xml:space="preserve">. They </w:t>
                            </w:r>
                            <w:r w:rsidRPr="00820B09">
                              <w:rPr>
                                <w:rFonts w:asciiTheme="majorHAnsi" w:hAnsiTheme="majorHAnsi"/>
                                <w:sz w:val="20"/>
                                <w:szCs w:val="20"/>
                              </w:rPr>
                              <w:t>are also at higher risk of health shocks</w:t>
                            </w:r>
                            <w:r w:rsidR="009B4D49" w:rsidRPr="00820B09">
                              <w:rPr>
                                <w:rFonts w:asciiTheme="majorHAnsi" w:hAnsiTheme="majorHAnsi"/>
                                <w:sz w:val="20"/>
                                <w:szCs w:val="20"/>
                              </w:rPr>
                              <w:t xml:space="preserve">, and are more vulnerable in disaster or emergency situations. </w:t>
                            </w:r>
                            <w:r w:rsidRPr="00820B09">
                              <w:rPr>
                                <w:rFonts w:asciiTheme="majorHAnsi" w:hAnsiTheme="majorHAnsi"/>
                                <w:sz w:val="20"/>
                                <w:szCs w:val="20"/>
                              </w:rPr>
                              <w:t xml:space="preserve">Furthermore, many persons with disabilities incur additional expenses related to assistive devices, healthcare, medication, personal assistance, transportation, and accessible housing or technology. </w:t>
                            </w:r>
                          </w:p>
                          <w:p w14:paraId="096EC54E" w14:textId="77777777" w:rsidR="008D74A3" w:rsidRPr="00820B09" w:rsidRDefault="008D74A3" w:rsidP="001901BE">
                            <w:pPr>
                              <w:jc w:val="both"/>
                              <w:rPr>
                                <w:rFonts w:asciiTheme="majorHAnsi" w:hAnsiTheme="majorHAnsi" w:cstheme="majorHAnsi"/>
                                <w:sz w:val="20"/>
                                <w:szCs w:val="15"/>
                                <w:lang w:eastAsia="fr-FR"/>
                              </w:rPr>
                            </w:pPr>
                          </w:p>
                          <w:p w14:paraId="7446354B" w14:textId="713B4263" w:rsidR="009078A3" w:rsidRPr="00820B09" w:rsidRDefault="009B4D49" w:rsidP="001901BE">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 xml:space="preserve">As a result, they may have greater needs for </w:t>
                            </w:r>
                            <w:r w:rsidR="009078A3" w:rsidRPr="00820B09">
                              <w:rPr>
                                <w:rFonts w:asciiTheme="majorHAnsi" w:hAnsiTheme="majorHAnsi" w:cstheme="majorHAnsi"/>
                                <w:sz w:val="20"/>
                                <w:szCs w:val="15"/>
                                <w:lang w:eastAsia="fr-FR"/>
                              </w:rPr>
                              <w:t xml:space="preserve">products and services that </w:t>
                            </w:r>
                            <w:r w:rsidRPr="00820B09">
                              <w:rPr>
                                <w:rFonts w:asciiTheme="majorHAnsi" w:hAnsiTheme="majorHAnsi" w:cstheme="majorHAnsi"/>
                                <w:sz w:val="20"/>
                                <w:szCs w:val="15"/>
                                <w:lang w:eastAsia="fr-FR"/>
                              </w:rPr>
                              <w:t xml:space="preserve">help them to manage fluctuating cash flows and financial emergencies.  </w:t>
                            </w:r>
                            <w:r w:rsidR="000F3547" w:rsidRPr="00820B09">
                              <w:rPr>
                                <w:rFonts w:asciiTheme="majorHAnsi" w:hAnsiTheme="majorHAnsi" w:cstheme="majorHAnsi"/>
                                <w:sz w:val="20"/>
                                <w:szCs w:val="15"/>
                                <w:lang w:eastAsia="fr-FR"/>
                              </w:rPr>
                              <w:t xml:space="preserve"> </w:t>
                            </w:r>
                            <w:r w:rsidR="000F3547" w:rsidRPr="00820B09">
                              <w:rPr>
                                <w:rFonts w:asciiTheme="majorHAnsi" w:hAnsiTheme="majorHAnsi"/>
                                <w:sz w:val="20"/>
                                <w:szCs w:val="20"/>
                              </w:rPr>
                              <w:t xml:space="preserve">For </w:t>
                            </w:r>
                            <w:r w:rsidR="000F3547" w:rsidRPr="00820B09">
                              <w:rPr>
                                <w:rFonts w:asciiTheme="majorHAnsi" w:hAnsiTheme="majorHAnsi" w:cstheme="majorHAnsi"/>
                                <w:sz w:val="20"/>
                                <w:szCs w:val="15"/>
                                <w:lang w:eastAsia="fr-FR"/>
                              </w:rPr>
                              <w:t>example, BRAC Myanmar offers a voucher facility for persons with disabilities which they can apply to postpone one loan repayment whenever they are facing any emergency issue</w:t>
                            </w:r>
                            <w:r w:rsidR="000F3547" w:rsidRPr="00820B09">
                              <w:rPr>
                                <w:rFonts w:asciiTheme="majorHAnsi" w:hAnsiTheme="majorHAnsi" w:cstheme="majorHAnsi"/>
                                <w:sz w:val="20"/>
                                <w:szCs w:val="15"/>
                              </w:rPr>
                              <w:t>.</w:t>
                            </w:r>
                            <w:r w:rsidR="00972C9C" w:rsidRPr="00820B09">
                              <w:rPr>
                                <w:rFonts w:asciiTheme="majorHAnsi" w:hAnsiTheme="majorHAnsi" w:cstheme="majorHAnsi"/>
                                <w:sz w:val="20"/>
                                <w:szCs w:val="15"/>
                                <w:lang w:eastAsia="fr-FR"/>
                              </w:rPr>
                              <w:t xml:space="preserve"> </w:t>
                            </w:r>
                            <w:r w:rsidR="000F3547" w:rsidRPr="00820B09">
                              <w:rPr>
                                <w:rFonts w:asciiTheme="majorHAnsi" w:hAnsiTheme="majorHAnsi" w:cstheme="majorHAnsi"/>
                                <w:sz w:val="20"/>
                                <w:szCs w:val="15"/>
                                <w:lang w:eastAsia="fr-FR"/>
                              </w:rPr>
                              <w:t>Offering basic savings accounts with no or low minimum deposits and multiple access channels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loans with flexible repayment schedules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accessible money-management tools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and inclusive financial literacy and capability trainings (see indicator 3.B.5.1) help</w:t>
                            </w:r>
                            <w:r w:rsidR="000F3547" w:rsidRPr="00820B09">
                              <w:rPr>
                                <w:rFonts w:asciiTheme="majorHAnsi" w:hAnsiTheme="majorHAnsi" w:cstheme="majorHAnsi"/>
                                <w:sz w:val="20"/>
                                <w:szCs w:val="15"/>
                              </w:rPr>
                              <w:t>s</w:t>
                            </w:r>
                            <w:r w:rsidR="000F3547" w:rsidRPr="00820B09">
                              <w:rPr>
                                <w:rFonts w:asciiTheme="majorHAnsi" w:hAnsiTheme="majorHAnsi" w:cstheme="majorHAnsi"/>
                                <w:sz w:val="20"/>
                                <w:szCs w:val="15"/>
                                <w:lang w:eastAsia="fr-FR"/>
                              </w:rPr>
                              <w:t xml:space="preserve"> to overcome access barriers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and support persons with disabilities to </w:t>
                            </w:r>
                            <w:r w:rsidR="000F3547" w:rsidRPr="00820B09">
                              <w:rPr>
                                <w:rFonts w:asciiTheme="majorHAnsi" w:hAnsiTheme="majorHAnsi" w:cstheme="majorHAnsi"/>
                                <w:sz w:val="20"/>
                                <w:szCs w:val="15"/>
                              </w:rPr>
                              <w:t>manage</w:t>
                            </w:r>
                            <w:r w:rsidR="000F3547" w:rsidRPr="00820B09">
                              <w:rPr>
                                <w:rFonts w:asciiTheme="majorHAnsi" w:hAnsiTheme="majorHAnsi" w:cstheme="majorHAnsi"/>
                                <w:sz w:val="20"/>
                                <w:szCs w:val="15"/>
                                <w:lang w:eastAsia="fr-FR"/>
                              </w:rPr>
                              <w:t xml:space="preserve"> </w:t>
                            </w:r>
                            <w:r w:rsidR="000F3547" w:rsidRPr="00820B09">
                              <w:rPr>
                                <w:rFonts w:asciiTheme="majorHAnsi" w:hAnsiTheme="majorHAnsi" w:cstheme="majorHAnsi"/>
                                <w:sz w:val="20"/>
                                <w:szCs w:val="15"/>
                              </w:rPr>
                              <w:t>their cashflow</w:t>
                            </w:r>
                            <w:r w:rsidR="000F3547" w:rsidRPr="00820B09">
                              <w:rPr>
                                <w:rFonts w:asciiTheme="majorHAnsi" w:hAnsiTheme="majorHAnsi" w:cstheme="majorHAnsi"/>
                                <w:sz w:val="20"/>
                                <w:szCs w:val="15"/>
                                <w:lang w:eastAsia="fr-FR"/>
                              </w:rPr>
                              <w:t>.</w:t>
                            </w:r>
                          </w:p>
                          <w:p w14:paraId="25C54C8D" w14:textId="77777777" w:rsidR="001901BE" w:rsidRPr="00820B09" w:rsidRDefault="001901BE" w:rsidP="001901BE">
                            <w:pPr>
                              <w:jc w:val="both"/>
                              <w:rPr>
                                <w:rFonts w:asciiTheme="majorHAnsi" w:hAnsiTheme="majorHAnsi" w:cstheme="majorHAnsi"/>
                                <w:sz w:val="20"/>
                                <w:szCs w:val="15"/>
                                <w:lang w:eastAsia="fr-FR"/>
                              </w:rPr>
                            </w:pPr>
                          </w:p>
                          <w:p w14:paraId="04C5CC15" w14:textId="43110F60" w:rsidR="001901BE" w:rsidRPr="00820B09" w:rsidRDefault="00972C9C" w:rsidP="009078A3">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I</w:t>
                            </w:r>
                            <w:r w:rsidR="00E40ACC" w:rsidRPr="00820B09">
                              <w:rPr>
                                <w:rFonts w:asciiTheme="majorHAnsi" w:hAnsiTheme="majorHAnsi" w:cstheme="majorHAnsi"/>
                                <w:sz w:val="20"/>
                                <w:szCs w:val="15"/>
                                <w:lang w:eastAsia="fr-FR"/>
                              </w:rPr>
                              <w:t>nsurance</w:t>
                            </w:r>
                            <w:r w:rsidR="000F3547" w:rsidRPr="00820B09">
                              <w:rPr>
                                <w:rFonts w:asciiTheme="majorHAnsi" w:hAnsiTheme="majorHAnsi" w:cstheme="majorHAnsi"/>
                                <w:sz w:val="20"/>
                                <w:szCs w:val="15"/>
                                <w:lang w:eastAsia="fr-FR"/>
                              </w:rPr>
                              <w:t xml:space="preserve"> </w:t>
                            </w:r>
                            <w:r w:rsidR="00E40ACC" w:rsidRPr="00820B09">
                              <w:rPr>
                                <w:rFonts w:asciiTheme="majorHAnsi" w:hAnsiTheme="majorHAnsi" w:cstheme="majorHAnsi"/>
                                <w:sz w:val="20"/>
                                <w:szCs w:val="15"/>
                                <w:lang w:eastAsia="fr-FR"/>
                              </w:rPr>
                              <w:t>is an important mechanism to manage financial risks and emergencies</w:t>
                            </w:r>
                            <w:r w:rsidRPr="00820B09">
                              <w:rPr>
                                <w:rFonts w:asciiTheme="majorHAnsi" w:hAnsiTheme="majorHAnsi" w:cstheme="majorHAnsi"/>
                                <w:sz w:val="20"/>
                                <w:szCs w:val="15"/>
                                <w:lang w:eastAsia="fr-FR"/>
                              </w:rPr>
                              <w:t>; however</w:t>
                            </w:r>
                            <w:r w:rsidR="00E40ACC" w:rsidRPr="00820B09">
                              <w:rPr>
                                <w:rFonts w:asciiTheme="majorHAnsi" w:hAnsiTheme="majorHAnsi" w:cstheme="majorHAnsi"/>
                                <w:sz w:val="20"/>
                                <w:szCs w:val="15"/>
                                <w:lang w:eastAsia="fr-FR"/>
                              </w:rPr>
                              <w:t>, p</w:t>
                            </w:r>
                            <w:r w:rsidR="009B4D49" w:rsidRPr="00820B09">
                              <w:rPr>
                                <w:rFonts w:asciiTheme="majorHAnsi" w:hAnsiTheme="majorHAnsi" w:cstheme="majorHAnsi"/>
                                <w:sz w:val="20"/>
                                <w:szCs w:val="15"/>
                                <w:lang w:eastAsia="fr-FR"/>
                              </w:rPr>
                              <w:t xml:space="preserve">ersons from disabilities </w:t>
                            </w:r>
                            <w:r w:rsidR="00E40ACC" w:rsidRPr="00820B09">
                              <w:rPr>
                                <w:rFonts w:asciiTheme="majorHAnsi" w:hAnsiTheme="majorHAnsi" w:cstheme="majorHAnsi"/>
                                <w:sz w:val="20"/>
                                <w:szCs w:val="15"/>
                                <w:lang w:eastAsia="fr-FR"/>
                              </w:rPr>
                              <w:t>may be denied access to i</w:t>
                            </w:r>
                            <w:r w:rsidR="009B4D49" w:rsidRPr="00820B09">
                              <w:rPr>
                                <w:rFonts w:asciiTheme="majorHAnsi" w:hAnsiTheme="majorHAnsi" w:cstheme="majorHAnsi"/>
                                <w:sz w:val="20"/>
                                <w:szCs w:val="15"/>
                                <w:lang w:eastAsia="fr-FR"/>
                              </w:rPr>
                              <w:t xml:space="preserve">nsurance products or </w:t>
                            </w:r>
                            <w:r w:rsidR="00E40ACC" w:rsidRPr="00820B09">
                              <w:rPr>
                                <w:rFonts w:asciiTheme="majorHAnsi" w:hAnsiTheme="majorHAnsi" w:cstheme="majorHAnsi"/>
                                <w:sz w:val="20"/>
                                <w:szCs w:val="15"/>
                                <w:lang w:eastAsia="fr-FR"/>
                              </w:rPr>
                              <w:t>face affordability barriers as a result of their disability</w:t>
                            </w:r>
                            <w:r w:rsidR="00055752" w:rsidRPr="00820B09">
                              <w:rPr>
                                <w:rFonts w:asciiTheme="majorHAnsi" w:hAnsiTheme="majorHAnsi" w:cstheme="majorHAnsi"/>
                                <w:sz w:val="20"/>
                                <w:szCs w:val="15"/>
                                <w:lang w:eastAsia="fr-FR"/>
                              </w:rPr>
                              <w:t xml:space="preserve">. For example, </w:t>
                            </w:r>
                            <w:r w:rsidR="009B4D49" w:rsidRPr="00820B09">
                              <w:rPr>
                                <w:rFonts w:asciiTheme="majorHAnsi" w:hAnsiTheme="majorHAnsi" w:cstheme="majorHAnsi"/>
                                <w:sz w:val="20"/>
                                <w:szCs w:val="15"/>
                                <w:lang w:eastAsia="fr-FR"/>
                              </w:rPr>
                              <w:t>h</w:t>
                            </w:r>
                            <w:r w:rsidR="009078A3" w:rsidRPr="00820B09">
                              <w:rPr>
                                <w:rFonts w:asciiTheme="majorHAnsi" w:hAnsiTheme="majorHAnsi" w:cstheme="majorHAnsi"/>
                                <w:sz w:val="20"/>
                                <w:szCs w:val="15"/>
                                <w:lang w:eastAsia="fr-FR"/>
                              </w:rPr>
                              <w:t>igher premiums on health insurance for people with preexisting conditions can disproportionately affect those with disabilities, as well as perceptions that persons with disabilities are of higher 'risk'.</w:t>
                            </w:r>
                            <w:r w:rsidR="00055752" w:rsidRPr="00820B09">
                              <w:rPr>
                                <w:rFonts w:asciiTheme="majorHAnsi" w:hAnsiTheme="majorHAnsi" w:cstheme="majorHAnsi"/>
                                <w:sz w:val="20"/>
                                <w:szCs w:val="15"/>
                                <w:lang w:eastAsia="fr-FR"/>
                              </w:rPr>
                              <w:t xml:space="preserve"> </w:t>
                            </w:r>
                            <w:r w:rsidR="009078A3" w:rsidRPr="00820B09">
                              <w:rPr>
                                <w:rFonts w:asciiTheme="majorHAnsi" w:hAnsiTheme="majorHAnsi" w:cstheme="majorHAnsi"/>
                                <w:sz w:val="20"/>
                                <w:szCs w:val="15"/>
                                <w:lang w:eastAsia="fr-FR"/>
                              </w:rPr>
                              <w:t xml:space="preserve"> </w:t>
                            </w:r>
                            <w:r w:rsidR="00E40ACC" w:rsidRPr="00820B09">
                              <w:rPr>
                                <w:rFonts w:asciiTheme="majorHAnsi" w:hAnsiTheme="majorHAnsi" w:cstheme="majorHAnsi"/>
                                <w:sz w:val="20"/>
                                <w:szCs w:val="15"/>
                                <w:lang w:eastAsia="fr-FR"/>
                              </w:rPr>
                              <w:t xml:space="preserve">Inaccessible and complex policy documents and claims processes also create barriers. </w:t>
                            </w:r>
                          </w:p>
                          <w:p w14:paraId="01C32496" w14:textId="77777777" w:rsidR="001901BE" w:rsidRPr="00820B09" w:rsidRDefault="001901BE" w:rsidP="009078A3">
                            <w:pPr>
                              <w:jc w:val="both"/>
                              <w:rPr>
                                <w:rFonts w:asciiTheme="majorHAnsi" w:hAnsiTheme="majorHAnsi" w:cstheme="majorHAnsi"/>
                                <w:sz w:val="20"/>
                                <w:szCs w:val="15"/>
                                <w:lang w:eastAsia="fr-FR"/>
                              </w:rPr>
                            </w:pPr>
                          </w:p>
                          <w:p w14:paraId="6DAEC5EE" w14:textId="555397C0" w:rsidR="008D74A3" w:rsidRPr="00820B09" w:rsidRDefault="00E40ACC" w:rsidP="009078A3">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To expand access, unde</w:t>
                            </w:r>
                            <w:r w:rsidR="00055752" w:rsidRPr="00820B09">
                              <w:rPr>
                                <w:rFonts w:asciiTheme="majorHAnsi" w:hAnsiTheme="majorHAnsi" w:cstheme="majorHAnsi"/>
                                <w:sz w:val="20"/>
                                <w:szCs w:val="15"/>
                                <w:lang w:eastAsia="fr-FR"/>
                              </w:rPr>
                              <w:t xml:space="preserve">r-writing </w:t>
                            </w:r>
                            <w:r w:rsidRPr="00820B09">
                              <w:rPr>
                                <w:rFonts w:asciiTheme="majorHAnsi" w:hAnsiTheme="majorHAnsi" w:cstheme="majorHAnsi"/>
                                <w:sz w:val="20"/>
                                <w:szCs w:val="15"/>
                                <w:lang w:eastAsia="fr-FR"/>
                              </w:rPr>
                              <w:t xml:space="preserve">should be </w:t>
                            </w:r>
                            <w:r w:rsidR="00055752" w:rsidRPr="00820B09">
                              <w:rPr>
                                <w:rFonts w:asciiTheme="majorHAnsi" w:hAnsiTheme="majorHAnsi" w:cstheme="majorHAnsi"/>
                                <w:sz w:val="20"/>
                                <w:szCs w:val="15"/>
                                <w:lang w:eastAsia="fr-FR"/>
                              </w:rPr>
                              <w:t>based</w:t>
                            </w:r>
                            <w:r w:rsidRPr="00820B09">
                              <w:rPr>
                                <w:rFonts w:asciiTheme="majorHAnsi" w:hAnsiTheme="majorHAnsi" w:cstheme="majorHAnsi"/>
                                <w:sz w:val="20"/>
                                <w:szCs w:val="15"/>
                                <w:lang w:eastAsia="fr-FR"/>
                              </w:rPr>
                              <w:t xml:space="preserve"> </w:t>
                            </w:r>
                            <w:r w:rsidR="00055752" w:rsidRPr="00820B09">
                              <w:rPr>
                                <w:rFonts w:asciiTheme="majorHAnsi" w:hAnsiTheme="majorHAnsi" w:cstheme="majorHAnsi"/>
                                <w:sz w:val="20"/>
                                <w:szCs w:val="15"/>
                                <w:lang w:eastAsia="fr-FR"/>
                              </w:rPr>
                              <w:t xml:space="preserve">on individual assessment </w:t>
                            </w:r>
                            <w:r w:rsidRPr="00820B09">
                              <w:rPr>
                                <w:rFonts w:asciiTheme="majorHAnsi" w:hAnsiTheme="majorHAnsi" w:cstheme="majorHAnsi"/>
                                <w:sz w:val="20"/>
                                <w:szCs w:val="15"/>
                                <w:lang w:eastAsia="fr-FR"/>
                              </w:rPr>
                              <w:t xml:space="preserve">rather than specified conditions, with plain-language policies and simplified, assisted claims processes. </w:t>
                            </w:r>
                            <w:r w:rsidR="009078A3" w:rsidRPr="00820B09">
                              <w:rPr>
                                <w:rFonts w:asciiTheme="majorHAnsi" w:hAnsiTheme="majorHAnsi" w:cstheme="majorHAnsi"/>
                                <w:sz w:val="20"/>
                                <w:szCs w:val="15"/>
                                <w:lang w:eastAsia="fr-FR"/>
                              </w:rPr>
                              <w:t xml:space="preserve">Legislation such as USA's </w:t>
                            </w:r>
                            <w:r w:rsidR="00055752" w:rsidRPr="00820B09">
                              <w:rPr>
                                <w:rFonts w:asciiTheme="majorHAnsi" w:hAnsiTheme="majorHAnsi" w:cstheme="majorHAnsi"/>
                                <w:sz w:val="20"/>
                                <w:szCs w:val="15"/>
                                <w:lang w:eastAsia="fr-FR"/>
                              </w:rPr>
                              <w:t>Affordable Care Act, which prevents insurers from deny coverage or charging higher premiums due to pre-existing conditions,</w:t>
                            </w:r>
                            <w:r w:rsidR="009078A3" w:rsidRPr="00820B09">
                              <w:rPr>
                                <w:rFonts w:asciiTheme="majorHAnsi" w:hAnsiTheme="majorHAnsi" w:cstheme="majorHAnsi"/>
                                <w:sz w:val="20"/>
                                <w:szCs w:val="15"/>
                                <w:lang w:eastAsia="fr-FR"/>
                              </w:rPr>
                              <w:t xml:space="preserve"> has been instrumental in terms of guaranteeing health insurance and non-discrimination on the basis of disability.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8AEC97B" id="_x0000_s1048" type="#_x0000_t202" style="position:absolute;left:0;text-align:left;margin-left:0;margin-top:.15pt;width:2in;height:463pt;z-index:251696128;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" filled="f" strokeweight=".5pt">
                <v:textbox>
                  <w:txbxContent>
                    <w:p w14:paraId="1B3EA7EF" w14:textId="0DF7AF12" w:rsidR="009078A3" w:rsidRPr="00820B09" w:rsidRDefault="00EB123D" w:rsidP="009078A3">
                      <w:pPr>
                        <w:jc w:val="both"/>
                        <w:rPr>
                          <w:rFonts w:asciiTheme="majorHAnsi" w:hAnsiTheme="majorHAnsi" w:cstheme="majorHAnsi"/>
                          <w:b/>
                          <w:bCs/>
                          <w:sz w:val="20"/>
                          <w:szCs w:val="15"/>
                          <w:lang w:eastAsia="fr-FR"/>
                        </w:rPr>
                      </w:pPr>
                      <w:r w:rsidRPr="00820B09">
                        <w:rPr>
                          <w:rFonts w:asciiTheme="majorHAnsi" w:hAnsiTheme="majorHAnsi" w:cstheme="majorHAnsi"/>
                          <w:b/>
                          <w:bCs/>
                          <w:sz w:val="20"/>
                          <w:szCs w:val="15"/>
                          <w:lang w:eastAsia="fr-FR"/>
                        </w:rPr>
                        <w:t>Disability Inclusion - Info Box</w:t>
                      </w:r>
                      <w:r w:rsidR="009078A3" w:rsidRPr="00820B09">
                        <w:rPr>
                          <w:rFonts w:asciiTheme="majorHAnsi" w:hAnsiTheme="majorHAnsi" w:cstheme="majorHAnsi"/>
                          <w:b/>
                          <w:bCs/>
                          <w:sz w:val="20"/>
                          <w:szCs w:val="15"/>
                          <w:lang w:eastAsia="fr-FR"/>
                        </w:rPr>
                        <w:t xml:space="preserve"> 3.B.4.2</w:t>
                      </w:r>
                    </w:p>
                    <w:p w14:paraId="4DBD2C01" w14:textId="77777777" w:rsidR="009078A3" w:rsidRPr="00820B09" w:rsidRDefault="009078A3" w:rsidP="009078A3">
                      <w:pPr>
                        <w:jc w:val="both"/>
                        <w:rPr>
                          <w:rFonts w:asciiTheme="majorHAnsi" w:hAnsiTheme="majorHAnsi" w:cstheme="majorHAnsi"/>
                          <w:sz w:val="20"/>
                          <w:szCs w:val="15"/>
                          <w:lang w:eastAsia="fr-FR"/>
                        </w:rPr>
                      </w:pPr>
                    </w:p>
                    <w:p w14:paraId="6D4DF455" w14:textId="34ACF048" w:rsidR="009078A3" w:rsidRPr="00820B09" w:rsidRDefault="009078A3" w:rsidP="009078A3">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 xml:space="preserve">The provider's products and services </w:t>
                      </w:r>
                      <w:r w:rsidR="00B672A4" w:rsidRPr="00820B09">
                        <w:rPr>
                          <w:rFonts w:asciiTheme="majorHAnsi" w:hAnsiTheme="majorHAnsi" w:cstheme="majorHAnsi"/>
                          <w:sz w:val="20"/>
                          <w:szCs w:val="15"/>
                          <w:lang w:eastAsia="fr-FR"/>
                        </w:rPr>
                        <w:t>should</w:t>
                      </w:r>
                      <w:r w:rsidRPr="00820B09">
                        <w:rPr>
                          <w:rFonts w:asciiTheme="majorHAnsi" w:hAnsiTheme="majorHAnsi" w:cstheme="majorHAnsi"/>
                          <w:sz w:val="20"/>
                          <w:szCs w:val="15"/>
                          <w:lang w:eastAsia="fr-FR"/>
                        </w:rPr>
                        <w:t xml:space="preserve"> not have eligibility criteria that directly or indirectly discriminate against or exclude persons with disabilities.</w:t>
                      </w:r>
                      <w:r w:rsidR="00B672A4" w:rsidRPr="00820B09">
                        <w:rPr>
                          <w:rFonts w:asciiTheme="majorHAnsi" w:hAnsiTheme="majorHAnsi" w:cstheme="majorHAnsi"/>
                          <w:sz w:val="20"/>
                          <w:szCs w:val="15"/>
                          <w:lang w:eastAsia="fr-FR"/>
                        </w:rPr>
                        <w:t xml:space="preserve"> </w:t>
                      </w:r>
                      <w:r w:rsidR="00B672A4" w:rsidRPr="00820B09">
                        <w:rPr>
                          <w:rFonts w:asciiTheme="majorHAnsi" w:hAnsiTheme="majorHAnsi"/>
                          <w:sz w:val="20"/>
                          <w:szCs w:val="15"/>
                          <w:lang w:eastAsia="fr-FR"/>
                        </w:rPr>
                        <w:t>Direct discrimination includes criteria that exclude persons from holding products or services, or requires them to appoint a third party in order to access or use their accounts,</w:t>
                      </w:r>
                      <w:r w:rsidR="00E40ACC" w:rsidRPr="00820B09">
                        <w:rPr>
                          <w:rFonts w:asciiTheme="majorHAnsi" w:hAnsiTheme="majorHAnsi"/>
                          <w:sz w:val="20"/>
                          <w:szCs w:val="15"/>
                          <w:lang w:eastAsia="fr-FR"/>
                        </w:rPr>
                        <w:t xml:space="preserve"> </w:t>
                      </w:r>
                      <w:r w:rsidR="00B672A4" w:rsidRPr="00820B09">
                        <w:rPr>
                          <w:rFonts w:asciiTheme="majorHAnsi" w:hAnsiTheme="majorHAnsi"/>
                          <w:sz w:val="20"/>
                          <w:szCs w:val="15"/>
                          <w:lang w:eastAsia="fr-FR"/>
                        </w:rPr>
                        <w:t>on the basis of their disability or a medical diagnosis.</w:t>
                      </w:r>
                    </w:p>
                    <w:p w14:paraId="62A35624" w14:textId="77777777" w:rsidR="009078A3" w:rsidRPr="00820B09" w:rsidRDefault="009078A3" w:rsidP="009078A3">
                      <w:pPr>
                        <w:jc w:val="both"/>
                        <w:rPr>
                          <w:rFonts w:asciiTheme="majorHAnsi" w:hAnsiTheme="majorHAnsi" w:cstheme="majorHAnsi"/>
                          <w:sz w:val="20"/>
                          <w:szCs w:val="15"/>
                          <w:lang w:eastAsia="fr-FR"/>
                        </w:rPr>
                      </w:pPr>
                    </w:p>
                    <w:p w14:paraId="347DBBB3" w14:textId="67FBF390" w:rsidR="00B672A4" w:rsidRPr="00820B09" w:rsidRDefault="00B672A4" w:rsidP="009B4D49">
                      <w:pPr>
                        <w:pStyle w:val="NormalWeb"/>
                        <w:spacing w:before="0" w:beforeAutospacing="0" w:after="0" w:afterAutospacing="0"/>
                        <w:jc w:val="both"/>
                        <w:rPr>
                          <w:rFonts w:asciiTheme="majorHAnsi" w:hAnsiTheme="majorHAnsi"/>
                          <w:sz w:val="20"/>
                          <w:szCs w:val="20"/>
                        </w:rPr>
                      </w:pPr>
                      <w:r w:rsidRPr="00820B09">
                        <w:rPr>
                          <w:rFonts w:asciiTheme="majorHAnsi" w:hAnsiTheme="majorHAnsi"/>
                          <w:sz w:val="20"/>
                          <w:szCs w:val="20"/>
                        </w:rPr>
                        <w:t xml:space="preserve">Persons with disabilities are more exposed to financial shocks and emergencies, as a result of </w:t>
                      </w:r>
                      <w:r w:rsidR="009B4D49" w:rsidRPr="00820B09">
                        <w:rPr>
                          <w:rFonts w:asciiTheme="majorHAnsi" w:hAnsiTheme="majorHAnsi"/>
                          <w:sz w:val="20"/>
                          <w:szCs w:val="20"/>
                        </w:rPr>
                        <w:t>both income fluctuations</w:t>
                      </w:r>
                      <w:r w:rsidRPr="00820B09">
                        <w:rPr>
                          <w:rFonts w:asciiTheme="majorHAnsi" w:hAnsiTheme="majorHAnsi"/>
                          <w:sz w:val="20"/>
                          <w:szCs w:val="20"/>
                        </w:rPr>
                        <w:t xml:space="preserve"> and </w:t>
                      </w:r>
                      <w:r w:rsidR="009B4D49" w:rsidRPr="00820B09">
                        <w:rPr>
                          <w:rFonts w:asciiTheme="majorHAnsi" w:hAnsiTheme="majorHAnsi"/>
                          <w:sz w:val="20"/>
                          <w:szCs w:val="20"/>
                        </w:rPr>
                        <w:t xml:space="preserve">unexpected expenses. As a result of </w:t>
                      </w:r>
                      <w:r w:rsidRPr="00820B09">
                        <w:rPr>
                          <w:rFonts w:asciiTheme="majorHAnsi" w:hAnsiTheme="majorHAnsi"/>
                          <w:sz w:val="20"/>
                          <w:szCs w:val="20"/>
                        </w:rPr>
                        <w:t>exclusion from</w:t>
                      </w:r>
                      <w:r w:rsidR="009E3DA1" w:rsidRPr="00820B09">
                        <w:rPr>
                          <w:rFonts w:asciiTheme="majorHAnsi" w:hAnsiTheme="majorHAnsi"/>
                          <w:sz w:val="20"/>
                          <w:szCs w:val="20"/>
                        </w:rPr>
                        <w:t xml:space="preserve"> formal </w:t>
                      </w:r>
                      <w:r w:rsidRPr="00820B09">
                        <w:rPr>
                          <w:rFonts w:asciiTheme="majorHAnsi" w:hAnsiTheme="majorHAnsi"/>
                          <w:sz w:val="20"/>
                          <w:szCs w:val="20"/>
                        </w:rPr>
                        <w:t xml:space="preserve">employment, </w:t>
                      </w:r>
                      <w:r w:rsidR="009B4D49" w:rsidRPr="00820B09">
                        <w:rPr>
                          <w:rFonts w:asciiTheme="majorHAnsi" w:hAnsiTheme="majorHAnsi"/>
                          <w:sz w:val="20"/>
                          <w:szCs w:val="20"/>
                        </w:rPr>
                        <w:t>they a</w:t>
                      </w:r>
                      <w:r w:rsidRPr="00820B09">
                        <w:rPr>
                          <w:rFonts w:asciiTheme="majorHAnsi" w:hAnsiTheme="majorHAnsi"/>
                          <w:sz w:val="20"/>
                          <w:szCs w:val="20"/>
                        </w:rPr>
                        <w:t xml:space="preserve">re more likely to </w:t>
                      </w:r>
                      <w:r w:rsidR="009E3DA1" w:rsidRPr="00820B09">
                        <w:rPr>
                          <w:rFonts w:asciiTheme="majorHAnsi" w:hAnsiTheme="majorHAnsi"/>
                          <w:sz w:val="20"/>
                          <w:szCs w:val="20"/>
                        </w:rPr>
                        <w:t>have lower and irregular income</w:t>
                      </w:r>
                      <w:r w:rsidR="009B4D49" w:rsidRPr="00820B09">
                        <w:rPr>
                          <w:rFonts w:asciiTheme="majorHAnsi" w:hAnsiTheme="majorHAnsi"/>
                          <w:sz w:val="20"/>
                          <w:szCs w:val="20"/>
                        </w:rPr>
                        <w:t xml:space="preserve">. They </w:t>
                      </w:r>
                      <w:r w:rsidRPr="00820B09">
                        <w:rPr>
                          <w:rFonts w:asciiTheme="majorHAnsi" w:hAnsiTheme="majorHAnsi"/>
                          <w:sz w:val="20"/>
                          <w:szCs w:val="20"/>
                        </w:rPr>
                        <w:t>are also at higher risk of health shocks</w:t>
                      </w:r>
                      <w:r w:rsidR="009B4D49" w:rsidRPr="00820B09">
                        <w:rPr>
                          <w:rFonts w:asciiTheme="majorHAnsi" w:hAnsiTheme="majorHAnsi"/>
                          <w:sz w:val="20"/>
                          <w:szCs w:val="20"/>
                        </w:rPr>
                        <w:t xml:space="preserve">, and are more vulnerable in disaster or emergency situations. </w:t>
                      </w:r>
                      <w:r w:rsidRPr="00820B09">
                        <w:rPr>
                          <w:rFonts w:asciiTheme="majorHAnsi" w:hAnsiTheme="majorHAnsi"/>
                          <w:sz w:val="20"/>
                          <w:szCs w:val="20"/>
                        </w:rPr>
                        <w:t xml:space="preserve">Furthermore, many persons with disabilities incur additional expenses related to assistive devices, healthcare, medication, personal assistance, transportation, and accessible housing or technology. </w:t>
                      </w:r>
                    </w:p>
                    <w:p w14:paraId="096EC54E" w14:textId="77777777" w:rsidR="008D74A3" w:rsidRPr="00820B09" w:rsidRDefault="008D74A3" w:rsidP="001901BE">
                      <w:pPr>
                        <w:jc w:val="both"/>
                        <w:rPr>
                          <w:rFonts w:asciiTheme="majorHAnsi" w:hAnsiTheme="majorHAnsi" w:cstheme="majorHAnsi"/>
                          <w:sz w:val="20"/>
                          <w:szCs w:val="15"/>
                          <w:lang w:eastAsia="fr-FR"/>
                        </w:rPr>
                      </w:pPr>
                    </w:p>
                    <w:p w14:paraId="7446354B" w14:textId="713B4263" w:rsidR="009078A3" w:rsidRPr="00820B09" w:rsidRDefault="009B4D49" w:rsidP="001901BE">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 xml:space="preserve">As a result, they may have greater needs for </w:t>
                      </w:r>
                      <w:r w:rsidR="009078A3" w:rsidRPr="00820B09">
                        <w:rPr>
                          <w:rFonts w:asciiTheme="majorHAnsi" w:hAnsiTheme="majorHAnsi" w:cstheme="majorHAnsi"/>
                          <w:sz w:val="20"/>
                          <w:szCs w:val="15"/>
                          <w:lang w:eastAsia="fr-FR"/>
                        </w:rPr>
                        <w:t xml:space="preserve">products and services that </w:t>
                      </w:r>
                      <w:r w:rsidRPr="00820B09">
                        <w:rPr>
                          <w:rFonts w:asciiTheme="majorHAnsi" w:hAnsiTheme="majorHAnsi" w:cstheme="majorHAnsi"/>
                          <w:sz w:val="20"/>
                          <w:szCs w:val="15"/>
                          <w:lang w:eastAsia="fr-FR"/>
                        </w:rPr>
                        <w:t xml:space="preserve">help them to manage fluctuating cash flows and financial emergencies.  </w:t>
                      </w:r>
                      <w:r w:rsidR="000F3547" w:rsidRPr="00820B09">
                        <w:rPr>
                          <w:rFonts w:asciiTheme="majorHAnsi" w:hAnsiTheme="majorHAnsi" w:cstheme="majorHAnsi"/>
                          <w:sz w:val="20"/>
                          <w:szCs w:val="15"/>
                          <w:lang w:eastAsia="fr-FR"/>
                        </w:rPr>
                        <w:t xml:space="preserve"> </w:t>
                      </w:r>
                      <w:r w:rsidR="000F3547" w:rsidRPr="00820B09">
                        <w:rPr>
                          <w:rFonts w:asciiTheme="majorHAnsi" w:hAnsiTheme="majorHAnsi"/>
                          <w:sz w:val="20"/>
                          <w:szCs w:val="20"/>
                        </w:rPr>
                        <w:t xml:space="preserve">For </w:t>
                      </w:r>
                      <w:r w:rsidR="000F3547" w:rsidRPr="00820B09">
                        <w:rPr>
                          <w:rFonts w:asciiTheme="majorHAnsi" w:hAnsiTheme="majorHAnsi" w:cstheme="majorHAnsi"/>
                          <w:sz w:val="20"/>
                          <w:szCs w:val="15"/>
                          <w:lang w:eastAsia="fr-FR"/>
                        </w:rPr>
                        <w:t>example, BRAC Myanmar offers a voucher facility for persons with disabilities which they can apply to postpone one loan repayment whenever they are facing any emergency issue</w:t>
                      </w:r>
                      <w:r w:rsidR="000F3547" w:rsidRPr="00820B09">
                        <w:rPr>
                          <w:rFonts w:asciiTheme="majorHAnsi" w:hAnsiTheme="majorHAnsi" w:cstheme="majorHAnsi"/>
                          <w:sz w:val="20"/>
                          <w:szCs w:val="15"/>
                        </w:rPr>
                        <w:t>.</w:t>
                      </w:r>
                      <w:r w:rsidR="00972C9C" w:rsidRPr="00820B09">
                        <w:rPr>
                          <w:rFonts w:asciiTheme="majorHAnsi" w:hAnsiTheme="majorHAnsi" w:cstheme="majorHAnsi"/>
                          <w:sz w:val="20"/>
                          <w:szCs w:val="15"/>
                          <w:lang w:eastAsia="fr-FR"/>
                        </w:rPr>
                        <w:t xml:space="preserve"> </w:t>
                      </w:r>
                      <w:r w:rsidR="000F3547" w:rsidRPr="00820B09">
                        <w:rPr>
                          <w:rFonts w:asciiTheme="majorHAnsi" w:hAnsiTheme="majorHAnsi" w:cstheme="majorHAnsi"/>
                          <w:sz w:val="20"/>
                          <w:szCs w:val="15"/>
                          <w:lang w:eastAsia="fr-FR"/>
                        </w:rPr>
                        <w:t>Offering basic savings accounts with no or low minimum deposits and multiple access channels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loans with flexible repayment schedules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accessible money-management tools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and inclusive financial literacy and capability trainings (see indicator 3.B.5.1) help</w:t>
                      </w:r>
                      <w:r w:rsidR="000F3547" w:rsidRPr="00820B09">
                        <w:rPr>
                          <w:rFonts w:asciiTheme="majorHAnsi" w:hAnsiTheme="majorHAnsi" w:cstheme="majorHAnsi"/>
                          <w:sz w:val="20"/>
                          <w:szCs w:val="15"/>
                        </w:rPr>
                        <w:t>s</w:t>
                      </w:r>
                      <w:r w:rsidR="000F3547" w:rsidRPr="00820B09">
                        <w:rPr>
                          <w:rFonts w:asciiTheme="majorHAnsi" w:hAnsiTheme="majorHAnsi" w:cstheme="majorHAnsi"/>
                          <w:sz w:val="20"/>
                          <w:szCs w:val="15"/>
                          <w:lang w:eastAsia="fr-FR"/>
                        </w:rPr>
                        <w:t xml:space="preserve"> to overcome access barriers</w:t>
                      </w:r>
                      <w:r w:rsidR="000F3547" w:rsidRPr="00820B09">
                        <w:rPr>
                          <w:rFonts w:asciiTheme="majorHAnsi" w:hAnsiTheme="majorHAnsi" w:cstheme="majorHAnsi"/>
                          <w:sz w:val="20"/>
                          <w:szCs w:val="15"/>
                        </w:rPr>
                        <w:t>,</w:t>
                      </w:r>
                      <w:r w:rsidR="000F3547" w:rsidRPr="00820B09">
                        <w:rPr>
                          <w:rFonts w:asciiTheme="majorHAnsi" w:hAnsiTheme="majorHAnsi" w:cstheme="majorHAnsi"/>
                          <w:sz w:val="20"/>
                          <w:szCs w:val="15"/>
                          <w:lang w:eastAsia="fr-FR"/>
                        </w:rPr>
                        <w:t xml:space="preserve"> and support persons with disabilities to </w:t>
                      </w:r>
                      <w:r w:rsidR="000F3547" w:rsidRPr="00820B09">
                        <w:rPr>
                          <w:rFonts w:asciiTheme="majorHAnsi" w:hAnsiTheme="majorHAnsi" w:cstheme="majorHAnsi"/>
                          <w:sz w:val="20"/>
                          <w:szCs w:val="15"/>
                        </w:rPr>
                        <w:t>manage</w:t>
                      </w:r>
                      <w:r w:rsidR="000F3547" w:rsidRPr="00820B09">
                        <w:rPr>
                          <w:rFonts w:asciiTheme="majorHAnsi" w:hAnsiTheme="majorHAnsi" w:cstheme="majorHAnsi"/>
                          <w:sz w:val="20"/>
                          <w:szCs w:val="15"/>
                          <w:lang w:eastAsia="fr-FR"/>
                        </w:rPr>
                        <w:t xml:space="preserve"> </w:t>
                      </w:r>
                      <w:r w:rsidR="000F3547" w:rsidRPr="00820B09">
                        <w:rPr>
                          <w:rFonts w:asciiTheme="majorHAnsi" w:hAnsiTheme="majorHAnsi" w:cstheme="majorHAnsi"/>
                          <w:sz w:val="20"/>
                          <w:szCs w:val="15"/>
                        </w:rPr>
                        <w:t>their cashflow</w:t>
                      </w:r>
                      <w:r w:rsidR="000F3547" w:rsidRPr="00820B09">
                        <w:rPr>
                          <w:rFonts w:asciiTheme="majorHAnsi" w:hAnsiTheme="majorHAnsi" w:cstheme="majorHAnsi"/>
                          <w:sz w:val="20"/>
                          <w:szCs w:val="15"/>
                          <w:lang w:eastAsia="fr-FR"/>
                        </w:rPr>
                        <w:t>.</w:t>
                      </w:r>
                    </w:p>
                    <w:p w14:paraId="25C54C8D" w14:textId="77777777" w:rsidR="001901BE" w:rsidRPr="00820B09" w:rsidRDefault="001901BE" w:rsidP="001901BE">
                      <w:pPr>
                        <w:jc w:val="both"/>
                        <w:rPr>
                          <w:rFonts w:asciiTheme="majorHAnsi" w:hAnsiTheme="majorHAnsi" w:cstheme="majorHAnsi"/>
                          <w:sz w:val="20"/>
                          <w:szCs w:val="15"/>
                          <w:lang w:eastAsia="fr-FR"/>
                        </w:rPr>
                      </w:pPr>
                    </w:p>
                    <w:p w14:paraId="04C5CC15" w14:textId="43110F60" w:rsidR="001901BE" w:rsidRPr="00820B09" w:rsidRDefault="00972C9C" w:rsidP="009078A3">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I</w:t>
                      </w:r>
                      <w:r w:rsidR="00E40ACC" w:rsidRPr="00820B09">
                        <w:rPr>
                          <w:rFonts w:asciiTheme="majorHAnsi" w:hAnsiTheme="majorHAnsi" w:cstheme="majorHAnsi"/>
                          <w:sz w:val="20"/>
                          <w:szCs w:val="15"/>
                          <w:lang w:eastAsia="fr-FR"/>
                        </w:rPr>
                        <w:t>nsurance</w:t>
                      </w:r>
                      <w:r w:rsidR="000F3547" w:rsidRPr="00820B09">
                        <w:rPr>
                          <w:rFonts w:asciiTheme="majorHAnsi" w:hAnsiTheme="majorHAnsi" w:cstheme="majorHAnsi"/>
                          <w:sz w:val="20"/>
                          <w:szCs w:val="15"/>
                          <w:lang w:eastAsia="fr-FR"/>
                        </w:rPr>
                        <w:t xml:space="preserve"> </w:t>
                      </w:r>
                      <w:r w:rsidR="00E40ACC" w:rsidRPr="00820B09">
                        <w:rPr>
                          <w:rFonts w:asciiTheme="majorHAnsi" w:hAnsiTheme="majorHAnsi" w:cstheme="majorHAnsi"/>
                          <w:sz w:val="20"/>
                          <w:szCs w:val="15"/>
                          <w:lang w:eastAsia="fr-FR"/>
                        </w:rPr>
                        <w:t>is an important mechanism to manage financial risks and emergencies</w:t>
                      </w:r>
                      <w:r w:rsidRPr="00820B09">
                        <w:rPr>
                          <w:rFonts w:asciiTheme="majorHAnsi" w:hAnsiTheme="majorHAnsi" w:cstheme="majorHAnsi"/>
                          <w:sz w:val="20"/>
                          <w:szCs w:val="15"/>
                          <w:lang w:eastAsia="fr-FR"/>
                        </w:rPr>
                        <w:t>; however</w:t>
                      </w:r>
                      <w:r w:rsidR="00E40ACC" w:rsidRPr="00820B09">
                        <w:rPr>
                          <w:rFonts w:asciiTheme="majorHAnsi" w:hAnsiTheme="majorHAnsi" w:cstheme="majorHAnsi"/>
                          <w:sz w:val="20"/>
                          <w:szCs w:val="15"/>
                          <w:lang w:eastAsia="fr-FR"/>
                        </w:rPr>
                        <w:t>, p</w:t>
                      </w:r>
                      <w:r w:rsidR="009B4D49" w:rsidRPr="00820B09">
                        <w:rPr>
                          <w:rFonts w:asciiTheme="majorHAnsi" w:hAnsiTheme="majorHAnsi" w:cstheme="majorHAnsi"/>
                          <w:sz w:val="20"/>
                          <w:szCs w:val="15"/>
                          <w:lang w:eastAsia="fr-FR"/>
                        </w:rPr>
                        <w:t xml:space="preserve">ersons from disabilities </w:t>
                      </w:r>
                      <w:r w:rsidR="00E40ACC" w:rsidRPr="00820B09">
                        <w:rPr>
                          <w:rFonts w:asciiTheme="majorHAnsi" w:hAnsiTheme="majorHAnsi" w:cstheme="majorHAnsi"/>
                          <w:sz w:val="20"/>
                          <w:szCs w:val="15"/>
                          <w:lang w:eastAsia="fr-FR"/>
                        </w:rPr>
                        <w:t>may be denied access to i</w:t>
                      </w:r>
                      <w:r w:rsidR="009B4D49" w:rsidRPr="00820B09">
                        <w:rPr>
                          <w:rFonts w:asciiTheme="majorHAnsi" w:hAnsiTheme="majorHAnsi" w:cstheme="majorHAnsi"/>
                          <w:sz w:val="20"/>
                          <w:szCs w:val="15"/>
                          <w:lang w:eastAsia="fr-FR"/>
                        </w:rPr>
                        <w:t xml:space="preserve">nsurance products or </w:t>
                      </w:r>
                      <w:r w:rsidR="00E40ACC" w:rsidRPr="00820B09">
                        <w:rPr>
                          <w:rFonts w:asciiTheme="majorHAnsi" w:hAnsiTheme="majorHAnsi" w:cstheme="majorHAnsi"/>
                          <w:sz w:val="20"/>
                          <w:szCs w:val="15"/>
                          <w:lang w:eastAsia="fr-FR"/>
                        </w:rPr>
                        <w:t>face affordability barriers as a result of their disability</w:t>
                      </w:r>
                      <w:r w:rsidR="00055752" w:rsidRPr="00820B09">
                        <w:rPr>
                          <w:rFonts w:asciiTheme="majorHAnsi" w:hAnsiTheme="majorHAnsi" w:cstheme="majorHAnsi"/>
                          <w:sz w:val="20"/>
                          <w:szCs w:val="15"/>
                          <w:lang w:eastAsia="fr-FR"/>
                        </w:rPr>
                        <w:t xml:space="preserve">. For example, </w:t>
                      </w:r>
                      <w:r w:rsidR="009B4D49" w:rsidRPr="00820B09">
                        <w:rPr>
                          <w:rFonts w:asciiTheme="majorHAnsi" w:hAnsiTheme="majorHAnsi" w:cstheme="majorHAnsi"/>
                          <w:sz w:val="20"/>
                          <w:szCs w:val="15"/>
                          <w:lang w:eastAsia="fr-FR"/>
                        </w:rPr>
                        <w:t>h</w:t>
                      </w:r>
                      <w:r w:rsidR="009078A3" w:rsidRPr="00820B09">
                        <w:rPr>
                          <w:rFonts w:asciiTheme="majorHAnsi" w:hAnsiTheme="majorHAnsi" w:cstheme="majorHAnsi"/>
                          <w:sz w:val="20"/>
                          <w:szCs w:val="15"/>
                          <w:lang w:eastAsia="fr-FR"/>
                        </w:rPr>
                        <w:t>igher premiums on health insurance for people with preexisting conditions can disproportionately affect those with disabilities, as well as perceptions that persons with disabilities are of higher 'risk'.</w:t>
                      </w:r>
                      <w:r w:rsidR="00055752" w:rsidRPr="00820B09">
                        <w:rPr>
                          <w:rFonts w:asciiTheme="majorHAnsi" w:hAnsiTheme="majorHAnsi" w:cstheme="majorHAnsi"/>
                          <w:sz w:val="20"/>
                          <w:szCs w:val="15"/>
                          <w:lang w:eastAsia="fr-FR"/>
                        </w:rPr>
                        <w:t xml:space="preserve"> </w:t>
                      </w:r>
                      <w:r w:rsidR="009078A3" w:rsidRPr="00820B09">
                        <w:rPr>
                          <w:rFonts w:asciiTheme="majorHAnsi" w:hAnsiTheme="majorHAnsi" w:cstheme="majorHAnsi"/>
                          <w:sz w:val="20"/>
                          <w:szCs w:val="15"/>
                          <w:lang w:eastAsia="fr-FR"/>
                        </w:rPr>
                        <w:t xml:space="preserve"> </w:t>
                      </w:r>
                      <w:r w:rsidR="00E40ACC" w:rsidRPr="00820B09">
                        <w:rPr>
                          <w:rFonts w:asciiTheme="majorHAnsi" w:hAnsiTheme="majorHAnsi" w:cstheme="majorHAnsi"/>
                          <w:sz w:val="20"/>
                          <w:szCs w:val="15"/>
                          <w:lang w:eastAsia="fr-FR"/>
                        </w:rPr>
                        <w:t xml:space="preserve">Inaccessible and complex policy documents and claims processes also create barriers. </w:t>
                      </w:r>
                    </w:p>
                    <w:p w14:paraId="01C32496" w14:textId="77777777" w:rsidR="001901BE" w:rsidRPr="00820B09" w:rsidRDefault="001901BE" w:rsidP="009078A3">
                      <w:pPr>
                        <w:jc w:val="both"/>
                        <w:rPr>
                          <w:rFonts w:asciiTheme="majorHAnsi" w:hAnsiTheme="majorHAnsi" w:cstheme="majorHAnsi"/>
                          <w:sz w:val="20"/>
                          <w:szCs w:val="15"/>
                          <w:lang w:eastAsia="fr-FR"/>
                        </w:rPr>
                      </w:pPr>
                    </w:p>
                    <w:p w14:paraId="6DAEC5EE" w14:textId="555397C0" w:rsidR="008D74A3" w:rsidRPr="00820B09" w:rsidRDefault="00E40ACC" w:rsidP="009078A3">
                      <w:pPr>
                        <w:jc w:val="both"/>
                        <w:rPr>
                          <w:rFonts w:asciiTheme="majorHAnsi" w:hAnsiTheme="majorHAnsi" w:cstheme="majorHAnsi"/>
                          <w:sz w:val="20"/>
                          <w:szCs w:val="15"/>
                          <w:lang w:eastAsia="fr-FR"/>
                        </w:rPr>
                      </w:pPr>
                      <w:r w:rsidRPr="00820B09">
                        <w:rPr>
                          <w:rFonts w:asciiTheme="majorHAnsi" w:hAnsiTheme="majorHAnsi" w:cstheme="majorHAnsi"/>
                          <w:sz w:val="20"/>
                          <w:szCs w:val="15"/>
                          <w:lang w:eastAsia="fr-FR"/>
                        </w:rPr>
                        <w:t>To expand access, unde</w:t>
                      </w:r>
                      <w:r w:rsidR="00055752" w:rsidRPr="00820B09">
                        <w:rPr>
                          <w:rFonts w:asciiTheme="majorHAnsi" w:hAnsiTheme="majorHAnsi" w:cstheme="majorHAnsi"/>
                          <w:sz w:val="20"/>
                          <w:szCs w:val="15"/>
                          <w:lang w:eastAsia="fr-FR"/>
                        </w:rPr>
                        <w:t xml:space="preserve">r-writing </w:t>
                      </w:r>
                      <w:r w:rsidRPr="00820B09">
                        <w:rPr>
                          <w:rFonts w:asciiTheme="majorHAnsi" w:hAnsiTheme="majorHAnsi" w:cstheme="majorHAnsi"/>
                          <w:sz w:val="20"/>
                          <w:szCs w:val="15"/>
                          <w:lang w:eastAsia="fr-FR"/>
                        </w:rPr>
                        <w:t xml:space="preserve">should be </w:t>
                      </w:r>
                      <w:r w:rsidR="00055752" w:rsidRPr="00820B09">
                        <w:rPr>
                          <w:rFonts w:asciiTheme="majorHAnsi" w:hAnsiTheme="majorHAnsi" w:cstheme="majorHAnsi"/>
                          <w:sz w:val="20"/>
                          <w:szCs w:val="15"/>
                          <w:lang w:eastAsia="fr-FR"/>
                        </w:rPr>
                        <w:t>based</w:t>
                      </w:r>
                      <w:r w:rsidRPr="00820B09">
                        <w:rPr>
                          <w:rFonts w:asciiTheme="majorHAnsi" w:hAnsiTheme="majorHAnsi" w:cstheme="majorHAnsi"/>
                          <w:sz w:val="20"/>
                          <w:szCs w:val="15"/>
                          <w:lang w:eastAsia="fr-FR"/>
                        </w:rPr>
                        <w:t xml:space="preserve"> </w:t>
                      </w:r>
                      <w:r w:rsidR="00055752" w:rsidRPr="00820B09">
                        <w:rPr>
                          <w:rFonts w:asciiTheme="majorHAnsi" w:hAnsiTheme="majorHAnsi" w:cstheme="majorHAnsi"/>
                          <w:sz w:val="20"/>
                          <w:szCs w:val="15"/>
                          <w:lang w:eastAsia="fr-FR"/>
                        </w:rPr>
                        <w:t xml:space="preserve">on individual assessment </w:t>
                      </w:r>
                      <w:r w:rsidRPr="00820B09">
                        <w:rPr>
                          <w:rFonts w:asciiTheme="majorHAnsi" w:hAnsiTheme="majorHAnsi" w:cstheme="majorHAnsi"/>
                          <w:sz w:val="20"/>
                          <w:szCs w:val="15"/>
                          <w:lang w:eastAsia="fr-FR"/>
                        </w:rPr>
                        <w:t xml:space="preserve">rather than specified conditions, with plain-language policies and simplified, assisted claims processes. </w:t>
                      </w:r>
                      <w:r w:rsidR="009078A3" w:rsidRPr="00820B09">
                        <w:rPr>
                          <w:rFonts w:asciiTheme="majorHAnsi" w:hAnsiTheme="majorHAnsi" w:cstheme="majorHAnsi"/>
                          <w:sz w:val="20"/>
                          <w:szCs w:val="15"/>
                          <w:lang w:eastAsia="fr-FR"/>
                        </w:rPr>
                        <w:t xml:space="preserve">Legislation such as USA's </w:t>
                      </w:r>
                      <w:r w:rsidR="00055752" w:rsidRPr="00820B09">
                        <w:rPr>
                          <w:rFonts w:asciiTheme="majorHAnsi" w:hAnsiTheme="majorHAnsi" w:cstheme="majorHAnsi"/>
                          <w:sz w:val="20"/>
                          <w:szCs w:val="15"/>
                          <w:lang w:eastAsia="fr-FR"/>
                        </w:rPr>
                        <w:t>Affordable Care Act, which prevents insurers from deny coverage or charging higher premiums due to pre-existing conditions,</w:t>
                      </w:r>
                      <w:r w:rsidR="009078A3" w:rsidRPr="00820B09">
                        <w:rPr>
                          <w:rFonts w:asciiTheme="majorHAnsi" w:hAnsiTheme="majorHAnsi" w:cstheme="majorHAnsi"/>
                          <w:sz w:val="20"/>
                          <w:szCs w:val="15"/>
                          <w:lang w:eastAsia="fr-FR"/>
                        </w:rPr>
                        <w:t xml:space="preserve"> has been instrumental in terms of guaranteeing health insurance and non-discrimination on the basis of disability. </w:t>
                      </w:r>
                    </w:p>
                  </w:txbxContent>
                </v:textbox>
                <w10:wrap type="square" anchorx="margin"/>
              </v:shape>
            </w:pict>
          </mc:Fallback>
        </mc:AlternateContent>
      </w:r>
    </w:p>
    <w:p w14:paraId="13075BE6" w14:textId="1EAB1959" w:rsidR="005C74D3" w:rsidRPr="00A608EE" w:rsidRDefault="005C74D3" w:rsidP="00EE208A">
      <w:pPr>
        <w:jc w:val="both"/>
        <w:rPr>
          <w:rFonts w:asciiTheme="majorHAnsi" w:hAnsiTheme="majorHAnsi" w:cstheme="majorHAnsi"/>
          <w:b/>
          <w:bCs/>
          <w:sz w:val="20"/>
          <w:szCs w:val="20"/>
          <w:lang w:eastAsia="fr-FR"/>
        </w:rPr>
      </w:pPr>
      <w:r w:rsidRPr="00A608EE">
        <w:rPr>
          <w:rFonts w:asciiTheme="majorHAnsi" w:hAnsiTheme="majorHAnsi" w:cstheme="majorHAnsi"/>
          <w:b/>
          <w:bCs/>
          <w:sz w:val="20"/>
          <w:szCs w:val="20"/>
          <w:lang w:eastAsia="fr-FR"/>
        </w:rPr>
        <w:t>Scoring guidance</w:t>
      </w:r>
    </w:p>
    <w:p w14:paraId="1C5D3204" w14:textId="77777777" w:rsidR="005C74D3" w:rsidRPr="00A608EE" w:rsidRDefault="005C74D3" w:rsidP="00EE208A">
      <w:pPr>
        <w:jc w:val="both"/>
        <w:rPr>
          <w:rFonts w:asciiTheme="majorHAnsi" w:hAnsiTheme="majorHAnsi" w:cstheme="majorHAnsi"/>
          <w:sz w:val="20"/>
          <w:szCs w:val="20"/>
          <w:lang w:eastAsia="fr-FR"/>
        </w:rPr>
      </w:pPr>
      <w:r w:rsidRPr="00A608EE">
        <w:rPr>
          <w:rFonts w:asciiTheme="majorHAnsi" w:hAnsiTheme="majorHAnsi" w:cstheme="majorHAnsi"/>
          <w:sz w:val="20"/>
          <w:szCs w:val="20"/>
          <w:u w:val="single"/>
          <w:lang w:eastAsia="fr-FR"/>
        </w:rPr>
        <w:t>Detail 3.B.4.2.1:</w:t>
      </w:r>
    </w:p>
    <w:p w14:paraId="3E54846B" w14:textId="77777777" w:rsidR="005C74D3" w:rsidRPr="00A608EE" w:rsidRDefault="005C74D3" w:rsidP="00A27AAA">
      <w:pPr>
        <w:numPr>
          <w:ilvl w:val="0"/>
          <w:numId w:val="198"/>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‘yes’ if the provider offers an emergency loan product at free or concessional interest rate to all clients who suffer from different types of an emergency, incl. an unexpected loss of income.</w:t>
      </w:r>
    </w:p>
    <w:p w14:paraId="4B68C2DB" w14:textId="77777777" w:rsidR="005C74D3" w:rsidRPr="00A608EE" w:rsidRDefault="005C74D3" w:rsidP="00A27AAA">
      <w:pPr>
        <w:numPr>
          <w:ilvl w:val="0"/>
          <w:numId w:val="198"/>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‘partially’ if the provider offers an emergency loan product to some client segments only and to a specific type of an emergency only (e.g. a health emergency).</w:t>
      </w:r>
    </w:p>
    <w:p w14:paraId="0D081810" w14:textId="77777777" w:rsidR="005C74D3" w:rsidRPr="00A608EE" w:rsidRDefault="005C74D3" w:rsidP="00A27AAA">
      <w:pPr>
        <w:numPr>
          <w:ilvl w:val="0"/>
          <w:numId w:val="198"/>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‘no’ if the provider does not offer any emergency loan product.</w:t>
      </w:r>
    </w:p>
    <w:p w14:paraId="7167300B" w14:textId="77777777" w:rsidR="005C74D3" w:rsidRPr="00A608EE" w:rsidRDefault="005C74D3" w:rsidP="00EE208A">
      <w:pPr>
        <w:jc w:val="both"/>
        <w:rPr>
          <w:rFonts w:asciiTheme="majorHAnsi" w:hAnsiTheme="majorHAnsi" w:cstheme="majorHAnsi"/>
          <w:sz w:val="20"/>
          <w:szCs w:val="20"/>
          <w:u w:val="single"/>
          <w:lang w:eastAsia="fr-FR"/>
        </w:rPr>
      </w:pPr>
    </w:p>
    <w:p w14:paraId="0A8FE2C0" w14:textId="26E67019" w:rsidR="005C74D3" w:rsidRPr="00A608EE" w:rsidRDefault="005C74D3" w:rsidP="00EE208A">
      <w:pPr>
        <w:jc w:val="both"/>
        <w:rPr>
          <w:rFonts w:asciiTheme="majorHAnsi" w:hAnsiTheme="majorHAnsi" w:cstheme="majorHAnsi"/>
          <w:sz w:val="20"/>
          <w:szCs w:val="20"/>
          <w:lang w:eastAsia="fr-FR"/>
        </w:rPr>
      </w:pPr>
      <w:r w:rsidRPr="00A608EE">
        <w:rPr>
          <w:rFonts w:asciiTheme="majorHAnsi" w:hAnsiTheme="majorHAnsi" w:cstheme="majorHAnsi"/>
          <w:sz w:val="20"/>
          <w:szCs w:val="20"/>
          <w:u w:val="single"/>
          <w:lang w:eastAsia="fr-FR"/>
        </w:rPr>
        <w:t>Detail 3.B.4.2.2:</w:t>
      </w:r>
    </w:p>
    <w:p w14:paraId="4CFA976C" w14:textId="77777777" w:rsidR="005C74D3" w:rsidRPr="00A608EE" w:rsidRDefault="005C74D3" w:rsidP="00A27AAA">
      <w:pPr>
        <w:numPr>
          <w:ilvl w:val="0"/>
          <w:numId w:val="199"/>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‘N/A’ if the provider does not offer any deposit/savings services regardless whether or not it has regulatory approval to offer deposit/savings services.</w:t>
      </w:r>
    </w:p>
    <w:p w14:paraId="448FE280" w14:textId="77777777" w:rsidR="005C74D3" w:rsidRPr="00A608EE" w:rsidRDefault="005C74D3" w:rsidP="00A27AAA">
      <w:pPr>
        <w:numPr>
          <w:ilvl w:val="0"/>
          <w:numId w:val="199"/>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‘yes’ if the provider offers deposit/savings services with an easy and very fast unconditional withdrawal process.</w:t>
      </w:r>
    </w:p>
    <w:p w14:paraId="5EF1214A" w14:textId="77777777" w:rsidR="005C74D3" w:rsidRPr="00A608EE" w:rsidRDefault="005C74D3" w:rsidP="00A27AAA">
      <w:pPr>
        <w:numPr>
          <w:ilvl w:val="0"/>
          <w:numId w:val="199"/>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‘partially’ if the provider allows clients to withdraw their savings easier and faster in the case of an emergency.</w:t>
      </w:r>
    </w:p>
    <w:p w14:paraId="6396F716" w14:textId="77777777" w:rsidR="005C74D3" w:rsidRPr="00A608EE" w:rsidRDefault="005C74D3" w:rsidP="00A27AAA">
      <w:pPr>
        <w:numPr>
          <w:ilvl w:val="0"/>
          <w:numId w:val="199"/>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‘no’ if the provider does not offer deposit/savings services with an easy and fast withdrawal process in the case of an emergency.</w:t>
      </w:r>
    </w:p>
    <w:p w14:paraId="33FF41D7" w14:textId="77777777" w:rsidR="005C74D3" w:rsidRPr="00A608EE" w:rsidRDefault="005C74D3" w:rsidP="00EE208A">
      <w:pPr>
        <w:jc w:val="both"/>
        <w:rPr>
          <w:rFonts w:asciiTheme="majorHAnsi" w:hAnsiTheme="majorHAnsi" w:cstheme="majorHAnsi"/>
          <w:sz w:val="20"/>
          <w:szCs w:val="20"/>
          <w:u w:val="single"/>
          <w:lang w:eastAsia="fr-FR"/>
        </w:rPr>
      </w:pPr>
    </w:p>
    <w:p w14:paraId="3191F3B7" w14:textId="7103A5DF" w:rsidR="005C74D3" w:rsidRPr="00A608EE" w:rsidRDefault="005C74D3" w:rsidP="00EE208A">
      <w:pPr>
        <w:jc w:val="both"/>
        <w:rPr>
          <w:rFonts w:asciiTheme="majorHAnsi" w:hAnsiTheme="majorHAnsi" w:cstheme="majorHAnsi"/>
          <w:sz w:val="20"/>
          <w:szCs w:val="20"/>
          <w:lang w:eastAsia="fr-FR"/>
        </w:rPr>
      </w:pPr>
      <w:r w:rsidRPr="00A608EE">
        <w:rPr>
          <w:rFonts w:asciiTheme="majorHAnsi" w:hAnsiTheme="majorHAnsi" w:cstheme="majorHAnsi"/>
          <w:sz w:val="20"/>
          <w:szCs w:val="20"/>
          <w:u w:val="single"/>
          <w:lang w:eastAsia="fr-FR"/>
        </w:rPr>
        <w:t>Detail 3.B.4.2.3:</w:t>
      </w:r>
    </w:p>
    <w:p w14:paraId="473F7C76" w14:textId="77777777" w:rsidR="005C74D3" w:rsidRPr="00A608EE" w:rsidRDefault="005C74D3" w:rsidP="00A27AAA">
      <w:pPr>
        <w:numPr>
          <w:ilvl w:val="0"/>
          <w:numId w:val="200"/>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‘N/A’ if the provider does not facilitate/offer any voluntary insurance products regardless whether the provider is offering compulsory group insurance cover to selected client segments.</w:t>
      </w:r>
    </w:p>
    <w:p w14:paraId="6996918F" w14:textId="77777777" w:rsidR="005C74D3" w:rsidRPr="00A608EE" w:rsidRDefault="005C74D3" w:rsidP="00A27AAA">
      <w:pPr>
        <w:numPr>
          <w:ilvl w:val="0"/>
          <w:numId w:val="200"/>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‘yes’ if the provider facilitates/offers one or more voluntary insurance products of high client value that helps clients to better cope with emergencies, such as an affordable hospital cash insurance or voluntary top-ups of group life insurance covers to cover the spouse additionally.</w:t>
      </w:r>
    </w:p>
    <w:p w14:paraId="505AFADB" w14:textId="77777777" w:rsidR="005C74D3" w:rsidRPr="00A608EE" w:rsidRDefault="005C74D3" w:rsidP="00A27AAA">
      <w:pPr>
        <w:numPr>
          <w:ilvl w:val="0"/>
          <w:numId w:val="200"/>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‘partially’ if the provider facilitates/offers one or more voluntary insurance products of medium client value that do help clients to cope slightly better with emergencies.</w:t>
      </w:r>
    </w:p>
    <w:p w14:paraId="4D569094" w14:textId="77777777" w:rsidR="005C74D3" w:rsidRPr="00A608EE" w:rsidRDefault="005C74D3" w:rsidP="00A27AAA">
      <w:pPr>
        <w:numPr>
          <w:ilvl w:val="0"/>
          <w:numId w:val="200"/>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‘no’ if the provider facilitates/offers one or more voluntary insurance products of very low client value that do not help clients to better cope with emergencies. For instance, they carry many exclusions, come with cumbersome claims procedures or are not affordable for the clients.</w:t>
      </w:r>
    </w:p>
    <w:p w14:paraId="6FA2D569" w14:textId="77777777" w:rsidR="005C74D3" w:rsidRPr="00A608EE" w:rsidRDefault="005C74D3" w:rsidP="00EE208A">
      <w:pPr>
        <w:jc w:val="both"/>
        <w:rPr>
          <w:rFonts w:asciiTheme="majorHAnsi" w:hAnsiTheme="majorHAnsi" w:cstheme="majorHAnsi"/>
          <w:sz w:val="20"/>
          <w:szCs w:val="20"/>
          <w:u w:val="single"/>
          <w:lang w:eastAsia="fr-FR"/>
        </w:rPr>
      </w:pPr>
    </w:p>
    <w:p w14:paraId="0CF5629F" w14:textId="628DA940" w:rsidR="005C74D3" w:rsidRPr="00A608EE" w:rsidRDefault="005C74D3" w:rsidP="00EE208A">
      <w:pPr>
        <w:jc w:val="both"/>
        <w:rPr>
          <w:rFonts w:asciiTheme="majorHAnsi" w:hAnsiTheme="majorHAnsi" w:cstheme="majorHAnsi"/>
          <w:sz w:val="20"/>
          <w:szCs w:val="20"/>
          <w:lang w:eastAsia="fr-FR"/>
        </w:rPr>
      </w:pPr>
      <w:r w:rsidRPr="00A608EE">
        <w:rPr>
          <w:rFonts w:asciiTheme="majorHAnsi" w:hAnsiTheme="majorHAnsi" w:cstheme="majorHAnsi"/>
          <w:sz w:val="20"/>
          <w:szCs w:val="20"/>
          <w:u w:val="single"/>
          <w:lang w:eastAsia="fr-FR"/>
        </w:rPr>
        <w:t>Detail 3.B.4.2.4:</w:t>
      </w:r>
    </w:p>
    <w:p w14:paraId="3CD533F8" w14:textId="77777777" w:rsidR="005C74D3" w:rsidRPr="00A608EE" w:rsidRDefault="005C74D3" w:rsidP="00A27AAA">
      <w:pPr>
        <w:numPr>
          <w:ilvl w:val="0"/>
          <w:numId w:val="201"/>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‘yes’ if the provider offers several client-centric non-financial services (directly or indirectly via partnerships) that help clients to better cope with emergencies or help prevent them, like health diagnostic checks, training in preventive health, training in financial literacy and business management, etc.</w:t>
      </w:r>
    </w:p>
    <w:p w14:paraId="5A379280" w14:textId="77777777" w:rsidR="005C74D3" w:rsidRPr="00A608EE" w:rsidRDefault="005C74D3" w:rsidP="00A27AAA">
      <w:pPr>
        <w:numPr>
          <w:ilvl w:val="0"/>
          <w:numId w:val="201"/>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‘partially’ if the provider offers at least one non-financial service (directly or indirectly via partnerships) that helps clients to better cope with emergencies or help prevent them.</w:t>
      </w:r>
    </w:p>
    <w:p w14:paraId="20FC1770" w14:textId="77777777" w:rsidR="005C74D3" w:rsidRPr="00A608EE" w:rsidRDefault="005C74D3" w:rsidP="00A27AAA">
      <w:pPr>
        <w:numPr>
          <w:ilvl w:val="0"/>
          <w:numId w:val="201"/>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Score ‘no’ if the provider does not offer any non-financial service that helps clients to better cope with emergencies or help prevent them.</w:t>
      </w:r>
    </w:p>
    <w:p w14:paraId="026CE6FF" w14:textId="77777777" w:rsidR="005C74D3" w:rsidRPr="00A608EE" w:rsidRDefault="005C74D3" w:rsidP="00EE208A">
      <w:pPr>
        <w:jc w:val="both"/>
        <w:rPr>
          <w:rFonts w:asciiTheme="majorHAnsi" w:hAnsiTheme="majorHAnsi" w:cstheme="majorHAnsi"/>
          <w:sz w:val="20"/>
          <w:szCs w:val="20"/>
          <w:lang w:eastAsia="fr-FR"/>
        </w:rPr>
      </w:pPr>
    </w:p>
    <w:p w14:paraId="021BDC7D" w14:textId="54E22331" w:rsidR="005C74D3" w:rsidRPr="00A608EE" w:rsidRDefault="005C74D3" w:rsidP="00EE208A">
      <w:pPr>
        <w:jc w:val="both"/>
        <w:rPr>
          <w:rFonts w:asciiTheme="majorHAnsi" w:hAnsiTheme="majorHAnsi" w:cstheme="majorHAnsi"/>
          <w:b/>
          <w:bCs/>
          <w:sz w:val="20"/>
          <w:szCs w:val="20"/>
          <w:lang w:eastAsia="fr-FR"/>
        </w:rPr>
      </w:pPr>
      <w:r w:rsidRPr="00A608EE">
        <w:rPr>
          <w:rFonts w:asciiTheme="majorHAnsi" w:hAnsiTheme="majorHAnsi" w:cstheme="majorHAnsi"/>
          <w:b/>
          <w:bCs/>
          <w:sz w:val="20"/>
          <w:szCs w:val="20"/>
          <w:lang w:eastAsia="fr-FR"/>
        </w:rPr>
        <w:t>Sources of information</w:t>
      </w:r>
    </w:p>
    <w:p w14:paraId="01E64EC0" w14:textId="77777777" w:rsidR="005C74D3" w:rsidRPr="00A608EE" w:rsidRDefault="005C74D3" w:rsidP="00A27AAA">
      <w:pPr>
        <w:numPr>
          <w:ilvl w:val="0"/>
          <w:numId w:val="202"/>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Credit Policy &amp; Operational manual(s)</w:t>
      </w:r>
    </w:p>
    <w:p w14:paraId="7B67DD16" w14:textId="77777777" w:rsidR="005C74D3" w:rsidRPr="00A608EE" w:rsidRDefault="005C74D3" w:rsidP="00A27AAA">
      <w:pPr>
        <w:numPr>
          <w:ilvl w:val="0"/>
          <w:numId w:val="202"/>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Other Product Policy &amp; Operational manual(s) for deposit and insurance products</w:t>
      </w:r>
    </w:p>
    <w:p w14:paraId="5A9994D0" w14:textId="77777777" w:rsidR="005C74D3" w:rsidRPr="00A608EE" w:rsidRDefault="005C74D3" w:rsidP="00A27AAA">
      <w:pPr>
        <w:numPr>
          <w:ilvl w:val="0"/>
          <w:numId w:val="202"/>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Client satisfaction surveys</w:t>
      </w:r>
    </w:p>
    <w:p w14:paraId="50EEE3A0" w14:textId="77777777" w:rsidR="005C74D3" w:rsidRPr="00A608EE" w:rsidRDefault="005C74D3" w:rsidP="00A27AAA">
      <w:pPr>
        <w:numPr>
          <w:ilvl w:val="0"/>
          <w:numId w:val="202"/>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Market research reports</w:t>
      </w:r>
    </w:p>
    <w:p w14:paraId="779F58D3" w14:textId="77777777" w:rsidR="005C74D3" w:rsidRPr="00A608EE" w:rsidRDefault="005C74D3" w:rsidP="00A27AAA">
      <w:pPr>
        <w:numPr>
          <w:ilvl w:val="0"/>
          <w:numId w:val="202"/>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Interviews with operations manager</w:t>
      </w:r>
    </w:p>
    <w:p w14:paraId="371F7F7A" w14:textId="77777777" w:rsidR="005C74D3" w:rsidRPr="00A608EE" w:rsidRDefault="005C74D3" w:rsidP="00A27AAA">
      <w:pPr>
        <w:numPr>
          <w:ilvl w:val="0"/>
          <w:numId w:val="202"/>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Interviews with marketing/ product development manager</w:t>
      </w:r>
    </w:p>
    <w:p w14:paraId="4E6A49A8" w14:textId="77777777" w:rsidR="005C74D3" w:rsidRPr="00A608EE" w:rsidRDefault="005C74D3" w:rsidP="00A27AAA">
      <w:pPr>
        <w:numPr>
          <w:ilvl w:val="0"/>
          <w:numId w:val="202"/>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Client interviews, incl. focus groups (optional)</w:t>
      </w:r>
    </w:p>
    <w:p w14:paraId="316E56C6" w14:textId="77777777" w:rsidR="005C74D3" w:rsidRPr="00A608EE" w:rsidRDefault="005C74D3" w:rsidP="00EE208A">
      <w:pPr>
        <w:jc w:val="both"/>
        <w:rPr>
          <w:rFonts w:asciiTheme="majorHAnsi" w:hAnsiTheme="majorHAnsi" w:cstheme="majorHAnsi"/>
          <w:sz w:val="20"/>
          <w:szCs w:val="20"/>
          <w:lang w:eastAsia="fr-FR"/>
        </w:rPr>
      </w:pPr>
    </w:p>
    <w:p w14:paraId="5E987FCE" w14:textId="09B2F504" w:rsidR="005C74D3" w:rsidRPr="00A608EE" w:rsidRDefault="005C74D3" w:rsidP="00EE208A">
      <w:pPr>
        <w:jc w:val="both"/>
        <w:rPr>
          <w:rFonts w:asciiTheme="majorHAnsi" w:hAnsiTheme="majorHAnsi" w:cstheme="majorHAnsi"/>
          <w:b/>
          <w:bCs/>
          <w:sz w:val="20"/>
          <w:szCs w:val="20"/>
          <w:lang w:eastAsia="fr-FR"/>
        </w:rPr>
      </w:pPr>
      <w:r w:rsidRPr="00A608EE">
        <w:rPr>
          <w:rFonts w:asciiTheme="majorHAnsi" w:hAnsiTheme="majorHAnsi" w:cstheme="majorHAnsi"/>
          <w:b/>
          <w:bCs/>
          <w:sz w:val="20"/>
          <w:szCs w:val="20"/>
          <w:lang w:eastAsia="fr-FR"/>
        </w:rPr>
        <w:t>Evidence to provide</w:t>
      </w:r>
    </w:p>
    <w:p w14:paraId="1B6BF082" w14:textId="77777777" w:rsidR="005C74D3" w:rsidRPr="00A608EE" w:rsidRDefault="005C74D3" w:rsidP="00A27AAA">
      <w:pPr>
        <w:numPr>
          <w:ilvl w:val="0"/>
          <w:numId w:val="203"/>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Savings must be voluntary and withdrawals easily accessible.</w:t>
      </w:r>
    </w:p>
    <w:p w14:paraId="16F66992" w14:textId="77777777" w:rsidR="005C74D3" w:rsidRPr="00A608EE" w:rsidRDefault="005C74D3" w:rsidP="00A27AAA">
      <w:pPr>
        <w:numPr>
          <w:ilvl w:val="0"/>
          <w:numId w:val="203"/>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Emergency loans may be labelled as such, or may be “regular” loans that can be given over a short term (less than 3 months), a very fast turnaround time, and that do not require a specific purpose, to allow clients to quickly address unforeseeable circumstances.</w:t>
      </w:r>
    </w:p>
    <w:p w14:paraId="063CBE50" w14:textId="77777777" w:rsidR="005C74D3" w:rsidRPr="00A608EE" w:rsidRDefault="005C74D3" w:rsidP="00A27AAA">
      <w:pPr>
        <w:numPr>
          <w:ilvl w:val="0"/>
          <w:numId w:val="203"/>
        </w:numPr>
        <w:jc w:val="both"/>
        <w:rPr>
          <w:rFonts w:asciiTheme="majorHAnsi" w:hAnsiTheme="majorHAnsi" w:cstheme="majorHAnsi"/>
          <w:sz w:val="20"/>
          <w:szCs w:val="20"/>
          <w:lang w:eastAsia="fr-FR"/>
        </w:rPr>
      </w:pPr>
      <w:r w:rsidRPr="00A608EE">
        <w:rPr>
          <w:rFonts w:asciiTheme="majorHAnsi" w:hAnsiTheme="majorHAnsi" w:cstheme="majorHAnsi"/>
          <w:sz w:val="20"/>
          <w:szCs w:val="20"/>
          <w:lang w:eastAsia="fr-FR"/>
        </w:rPr>
        <w:t>Types of voluntary insurance include: credit life, life, home owners’, agriculture, health, workplace, etc.</w:t>
      </w:r>
    </w:p>
    <w:p w14:paraId="1E49A105" w14:textId="77777777" w:rsidR="005C74D3" w:rsidRPr="00A608EE" w:rsidRDefault="005C74D3" w:rsidP="00EE208A">
      <w:pPr>
        <w:jc w:val="both"/>
        <w:rPr>
          <w:rFonts w:asciiTheme="majorHAnsi" w:hAnsiTheme="majorHAnsi" w:cstheme="majorHAnsi"/>
          <w:sz w:val="20"/>
          <w:szCs w:val="20"/>
          <w:lang w:eastAsia="fr-FR"/>
        </w:rPr>
      </w:pPr>
    </w:p>
    <w:p w14:paraId="635DC659" w14:textId="56D757A1" w:rsidR="005C74D3" w:rsidRPr="00A608EE" w:rsidRDefault="005C74D3" w:rsidP="00EE208A">
      <w:pPr>
        <w:jc w:val="both"/>
        <w:rPr>
          <w:rFonts w:asciiTheme="majorHAnsi" w:hAnsiTheme="majorHAnsi" w:cstheme="majorHAnsi"/>
          <w:b/>
          <w:bCs/>
          <w:sz w:val="20"/>
          <w:szCs w:val="20"/>
          <w:lang w:eastAsia="fr-FR"/>
        </w:rPr>
      </w:pPr>
      <w:r w:rsidRPr="00A608EE">
        <w:rPr>
          <w:rFonts w:asciiTheme="majorHAnsi" w:hAnsiTheme="majorHAnsi" w:cstheme="majorHAnsi"/>
          <w:b/>
          <w:bCs/>
          <w:sz w:val="20"/>
          <w:szCs w:val="20"/>
          <w:lang w:eastAsia="fr-FR"/>
        </w:rPr>
        <w:t>Resources for indicator 3.B.4.2</w:t>
      </w:r>
    </w:p>
    <w:p w14:paraId="6FAF719E" w14:textId="77777777" w:rsidR="006760EA" w:rsidRPr="00A608EE" w:rsidRDefault="006760EA" w:rsidP="00A27AAA">
      <w:pPr>
        <w:numPr>
          <w:ilvl w:val="0"/>
          <w:numId w:val="12"/>
        </w:numPr>
        <w:jc w:val="both"/>
        <w:rPr>
          <w:rFonts w:asciiTheme="majorHAnsi" w:hAnsiTheme="majorHAnsi" w:cstheme="majorHAnsi"/>
          <w:sz w:val="20"/>
          <w:szCs w:val="20"/>
        </w:rPr>
      </w:pPr>
      <w:hyperlink r:id="rId177" w:history="1">
        <w:r w:rsidRPr="00A608EE">
          <w:rPr>
            <w:rStyle w:val="Hyperlink"/>
            <w:rFonts w:asciiTheme="majorHAnsi" w:hAnsiTheme="majorHAnsi" w:cstheme="majorHAnsi"/>
            <w:color w:val="auto"/>
            <w:sz w:val="20"/>
            <w:szCs w:val="20"/>
          </w:rPr>
          <w:t>MUSOMA Uses Savings to Help Clients Reduce Risk and Manage Anticipated Needs</w:t>
        </w:r>
      </w:hyperlink>
    </w:p>
    <w:p w14:paraId="38A6B069" w14:textId="77777777" w:rsidR="006760EA" w:rsidRPr="00A608EE" w:rsidRDefault="006760EA" w:rsidP="00A27AAA">
      <w:pPr>
        <w:numPr>
          <w:ilvl w:val="0"/>
          <w:numId w:val="12"/>
        </w:numPr>
        <w:jc w:val="both"/>
        <w:rPr>
          <w:rFonts w:asciiTheme="majorHAnsi" w:hAnsiTheme="majorHAnsi" w:cstheme="majorHAnsi"/>
          <w:sz w:val="20"/>
          <w:szCs w:val="20"/>
        </w:rPr>
      </w:pPr>
      <w:hyperlink r:id="rId178" w:history="1">
        <w:r w:rsidRPr="00A608EE">
          <w:rPr>
            <w:rStyle w:val="Hyperlink"/>
            <w:rFonts w:asciiTheme="majorHAnsi" w:hAnsiTheme="majorHAnsi" w:cstheme="majorHAnsi"/>
            <w:color w:val="auto"/>
            <w:sz w:val="20"/>
            <w:szCs w:val="20"/>
          </w:rPr>
          <w:t>Insurance Product Based on Client Needs</w:t>
        </w:r>
      </w:hyperlink>
    </w:p>
    <w:p w14:paraId="6DCA8947" w14:textId="77777777" w:rsidR="006760EA" w:rsidRPr="00A608EE" w:rsidRDefault="006760EA" w:rsidP="00A27AAA">
      <w:pPr>
        <w:numPr>
          <w:ilvl w:val="0"/>
          <w:numId w:val="12"/>
        </w:numPr>
        <w:jc w:val="both"/>
        <w:rPr>
          <w:rStyle w:val="Hyperlink"/>
          <w:rFonts w:asciiTheme="majorHAnsi" w:hAnsiTheme="majorHAnsi" w:cstheme="majorHAnsi"/>
          <w:color w:val="auto"/>
          <w:sz w:val="20"/>
          <w:szCs w:val="20"/>
          <w:u w:val="none"/>
        </w:rPr>
      </w:pPr>
      <w:hyperlink r:id="rId179" w:history="1">
        <w:r w:rsidRPr="00A608EE">
          <w:rPr>
            <w:rStyle w:val="Hyperlink"/>
            <w:rFonts w:asciiTheme="majorHAnsi" w:hAnsiTheme="majorHAnsi" w:cstheme="majorHAnsi"/>
            <w:color w:val="auto"/>
            <w:sz w:val="20"/>
            <w:szCs w:val="20"/>
          </w:rPr>
          <w:t>Microfund for Women (Jordan) Insurance Products</w:t>
        </w:r>
      </w:hyperlink>
    </w:p>
    <w:p w14:paraId="1F8C7FB4" w14:textId="77777777" w:rsidR="00E65C40" w:rsidRPr="00A608EE" w:rsidRDefault="00E65C40" w:rsidP="00EE208A">
      <w:pPr>
        <w:jc w:val="both"/>
        <w:rPr>
          <w:rFonts w:asciiTheme="majorHAnsi" w:hAnsiTheme="majorHAnsi" w:cstheme="majorHAnsi"/>
          <w:szCs w:val="20"/>
        </w:rPr>
      </w:pPr>
    </w:p>
    <w:p w14:paraId="0FE09335" w14:textId="709D62AF" w:rsidR="00D04A17" w:rsidRPr="00A608EE" w:rsidRDefault="00D04A17" w:rsidP="00EE208A">
      <w:pPr>
        <w:pStyle w:val="Heading3"/>
        <w:spacing w:before="0" w:line="240" w:lineRule="auto"/>
        <w:jc w:val="both"/>
      </w:pPr>
      <w:bookmarkStart w:id="63" w:name="_Toc230938794"/>
      <w:r w:rsidRPr="00A608EE">
        <w:rPr>
          <w:rStyle w:val="text-primary"/>
        </w:rPr>
        <w:t>3.B.5</w:t>
      </w:r>
      <w:r w:rsidRPr="00A608EE">
        <w:t xml:space="preserve"> </w:t>
      </w:r>
      <w:r w:rsidR="00BB1F01" w:rsidRPr="00A608EE">
        <w:t>The provider's products and services help clients achieve their goals</w:t>
      </w:r>
      <w:r w:rsidR="00996675" w:rsidRPr="00A608EE">
        <w:t>.</w:t>
      </w:r>
      <w:bookmarkEnd w:id="63"/>
    </w:p>
    <w:p w14:paraId="0BE5C5BA" w14:textId="77777777" w:rsidR="00094F85" w:rsidRPr="00A608EE" w:rsidRDefault="00094F85" w:rsidP="00EE208A">
      <w:pPr>
        <w:pStyle w:val="NormalWeb"/>
        <w:spacing w:before="0" w:beforeAutospacing="0" w:after="0" w:afterAutospacing="0"/>
        <w:jc w:val="both"/>
        <w:rPr>
          <w:rFonts w:asciiTheme="majorHAnsi" w:hAnsiTheme="majorHAnsi"/>
          <w:sz w:val="20"/>
          <w:szCs w:val="20"/>
        </w:rPr>
      </w:pPr>
    </w:p>
    <w:p w14:paraId="1010E0A3" w14:textId="77777777" w:rsidR="00942A43" w:rsidRPr="00A608EE" w:rsidRDefault="00942A43" w:rsidP="00EE208A">
      <w:pPr>
        <w:pStyle w:val="NormalWeb"/>
        <w:spacing w:before="0" w:beforeAutospacing="0" w:after="0" w:afterAutospacing="0"/>
        <w:jc w:val="both"/>
        <w:rPr>
          <w:rFonts w:asciiTheme="majorHAnsi" w:hAnsiTheme="majorHAnsi"/>
          <w:b/>
          <w:bCs/>
          <w:sz w:val="20"/>
          <w:szCs w:val="20"/>
        </w:rPr>
      </w:pPr>
    </w:p>
    <w:p w14:paraId="69DEA286" w14:textId="77777777" w:rsidR="00942A43" w:rsidRPr="00A608EE" w:rsidRDefault="00942A43" w:rsidP="00EE208A">
      <w:pPr>
        <w:pStyle w:val="NormalWeb"/>
        <w:spacing w:before="0" w:beforeAutospacing="0" w:after="0" w:afterAutospacing="0"/>
        <w:jc w:val="both"/>
        <w:rPr>
          <w:rFonts w:asciiTheme="majorHAnsi" w:hAnsiTheme="majorHAnsi"/>
          <w:b/>
          <w:bCs/>
          <w:sz w:val="20"/>
          <w:szCs w:val="20"/>
        </w:rPr>
      </w:pPr>
    </w:p>
    <w:p w14:paraId="0EBE0293" w14:textId="77777777" w:rsidR="00942A43" w:rsidRPr="00A608EE" w:rsidRDefault="00942A43" w:rsidP="00EE208A">
      <w:pPr>
        <w:pStyle w:val="NormalWeb"/>
        <w:spacing w:before="0" w:beforeAutospacing="0" w:after="0" w:afterAutospacing="0"/>
        <w:jc w:val="both"/>
        <w:rPr>
          <w:rFonts w:asciiTheme="majorHAnsi" w:hAnsiTheme="majorHAnsi"/>
          <w:b/>
          <w:bCs/>
          <w:sz w:val="20"/>
          <w:szCs w:val="20"/>
        </w:rPr>
      </w:pPr>
    </w:p>
    <w:p w14:paraId="7321BB6D" w14:textId="5654D00A" w:rsidR="00BB1F01" w:rsidRPr="00A608EE" w:rsidRDefault="00BB1F0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lastRenderedPageBreak/>
        <w:t>Products and Services That Help Clients Achieve Their Goals</w:t>
      </w:r>
    </w:p>
    <w:p w14:paraId="70204C84" w14:textId="77777777" w:rsidR="00BB1F01" w:rsidRPr="00A608EE" w:rsidRDefault="00BB1F0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consider how products and services create benefits for clients, including the ability to invest in economic opportunities and address anticipated household needs at each life cycle stage. These products can include:</w:t>
      </w:r>
    </w:p>
    <w:p w14:paraId="222450FA" w14:textId="77777777" w:rsidR="00BB1F01" w:rsidRPr="00A608EE" w:rsidRDefault="2975F0E7" w:rsidP="00A27AAA">
      <w:pPr>
        <w:pStyle w:val="NormalWeb"/>
        <w:numPr>
          <w:ilvl w:val="0"/>
          <w:numId w:val="2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Business loans, such as start-up business capital, working capital, lines of credit, and alternative forms of collateral to facilitate productive loans (e.g., leasing machinery for a business);</w:t>
      </w:r>
    </w:p>
    <w:p w14:paraId="66434562" w14:textId="77777777" w:rsidR="00BB1F01" w:rsidRPr="00A608EE" w:rsidRDefault="00BB1F01" w:rsidP="00A27AAA">
      <w:pPr>
        <w:pStyle w:val="NormalWeb"/>
        <w:numPr>
          <w:ilvl w:val="0"/>
          <w:numId w:val="2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Loans for specific life cycle events such as weddings, funerals, education, and home improvements;</w:t>
      </w:r>
    </w:p>
    <w:p w14:paraId="3DC9B424" w14:textId="77777777" w:rsidR="00BB1F01" w:rsidRPr="00A608EE" w:rsidRDefault="00BB1F01" w:rsidP="00A27AAA">
      <w:pPr>
        <w:pStyle w:val="NormalWeb"/>
        <w:numPr>
          <w:ilvl w:val="0"/>
          <w:numId w:val="2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Savings products that address life cycle needs such as youth savings, educational savings, housing savings, wedding savings, funeral savings, and pension savings;</w:t>
      </w:r>
    </w:p>
    <w:p w14:paraId="7E10A65C" w14:textId="77777777" w:rsidR="00BB1F01" w:rsidRPr="00A608EE" w:rsidRDefault="00BB1F01" w:rsidP="00A27AAA">
      <w:pPr>
        <w:pStyle w:val="NormalWeb"/>
        <w:numPr>
          <w:ilvl w:val="0"/>
          <w:numId w:val="2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Education savings plan to finance the future education of children combined with a life insurance cover for the parents (the insurance will make the remaining deposits in the case of the death of one or both parents); and</w:t>
      </w:r>
    </w:p>
    <w:p w14:paraId="5FCB1D18" w14:textId="77777777" w:rsidR="00BB1F01" w:rsidRPr="00A608EE" w:rsidRDefault="00BB1F01" w:rsidP="00A27AAA">
      <w:pPr>
        <w:pStyle w:val="NormalWeb"/>
        <w:numPr>
          <w:ilvl w:val="0"/>
          <w:numId w:val="2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Loans combined with a savings component for specific life cycle events (e.g. upfront savings of 20 or 30% with the remaining amount as house improvement loan.</w:t>
      </w:r>
    </w:p>
    <w:p w14:paraId="220E30D1" w14:textId="77777777" w:rsidR="00BB1F01" w:rsidRPr="00A608EE" w:rsidRDefault="00BB1F01" w:rsidP="00EE208A">
      <w:pPr>
        <w:pStyle w:val="NormalWeb"/>
        <w:spacing w:before="0" w:beforeAutospacing="0" w:after="0" w:afterAutospacing="0"/>
        <w:jc w:val="both"/>
        <w:rPr>
          <w:rFonts w:asciiTheme="majorHAnsi" w:hAnsiTheme="majorHAnsi"/>
          <w:sz w:val="20"/>
          <w:szCs w:val="20"/>
        </w:rPr>
      </w:pPr>
    </w:p>
    <w:p w14:paraId="0E27FD5C" w14:textId="664FE4EC" w:rsidR="00BB1F01" w:rsidRPr="00A608EE" w:rsidRDefault="00BB1F01" w:rsidP="00EE208A">
      <w:pPr>
        <w:pStyle w:val="NormalWeb"/>
        <w:spacing w:before="0" w:beforeAutospacing="0" w:after="0" w:afterAutospacing="0"/>
        <w:jc w:val="both"/>
        <w:rPr>
          <w:rFonts w:asciiTheme="majorHAnsi" w:hAnsiTheme="majorHAnsi"/>
          <w:szCs w:val="20"/>
        </w:rPr>
      </w:pPr>
      <w:r w:rsidRPr="00A608EE">
        <w:rPr>
          <w:rFonts w:asciiTheme="majorHAnsi" w:hAnsiTheme="majorHAnsi"/>
          <w:sz w:val="20"/>
          <w:szCs w:val="20"/>
        </w:rPr>
        <w:t>This </w:t>
      </w:r>
      <w:hyperlink r:id="rId180" w:history="1">
        <w:r w:rsidRPr="00A608EE">
          <w:rPr>
            <w:rStyle w:val="Hyperlink"/>
            <w:rFonts w:asciiTheme="majorHAnsi" w:hAnsiTheme="majorHAnsi"/>
            <w:sz w:val="20"/>
            <w:szCs w:val="20"/>
          </w:rPr>
          <w:t>example</w:t>
        </w:r>
      </w:hyperlink>
      <w:r w:rsidRPr="00A608EE">
        <w:rPr>
          <w:rFonts w:asciiTheme="majorHAnsi" w:hAnsiTheme="majorHAnsi"/>
          <w:sz w:val="20"/>
          <w:szCs w:val="20"/>
        </w:rPr>
        <w:t> demonstrates a product decision based on the provider’s analysis of client needs that helps clients to address anticipated household</w:t>
      </w:r>
      <w:r w:rsidRPr="00A608EE">
        <w:rPr>
          <w:rFonts w:asciiTheme="majorHAnsi" w:hAnsiTheme="majorHAnsi"/>
          <w:szCs w:val="20"/>
        </w:rPr>
        <w:t xml:space="preserve"> needs.</w:t>
      </w:r>
    </w:p>
    <w:p w14:paraId="524D8B17" w14:textId="77777777" w:rsidR="00910B31" w:rsidRPr="00A608EE" w:rsidRDefault="00910B31" w:rsidP="00EE208A">
      <w:pPr>
        <w:pStyle w:val="NormalWeb"/>
        <w:spacing w:before="0" w:beforeAutospacing="0" w:after="0" w:afterAutospacing="0"/>
        <w:jc w:val="both"/>
        <w:rPr>
          <w:rFonts w:asciiTheme="majorHAnsi" w:hAnsiTheme="majorHAnsi"/>
          <w:sz w:val="20"/>
          <w:szCs w:val="20"/>
        </w:rPr>
      </w:pPr>
    </w:p>
    <w:p w14:paraId="653EFCA1" w14:textId="77777777" w:rsidR="00F303C7" w:rsidRPr="00A608EE" w:rsidRDefault="00F303C7" w:rsidP="00EE208A">
      <w:pPr>
        <w:pStyle w:val="NormalWeb"/>
        <w:spacing w:before="0" w:beforeAutospacing="0" w:after="0" w:afterAutospacing="0"/>
        <w:jc w:val="both"/>
        <w:rPr>
          <w:rFonts w:asciiTheme="majorHAnsi" w:hAnsiTheme="majorHAnsi"/>
          <w:sz w:val="20"/>
          <w:szCs w:val="20"/>
        </w:rPr>
      </w:pPr>
    </w:p>
    <w:p w14:paraId="682E1044" w14:textId="4B8B3DF5" w:rsidR="00D04A17" w:rsidRPr="00A608EE" w:rsidRDefault="00D04A17" w:rsidP="00EE208A">
      <w:pPr>
        <w:pStyle w:val="Heading4"/>
        <w:spacing w:before="0" w:line="240" w:lineRule="auto"/>
        <w:jc w:val="both"/>
      </w:pPr>
      <w:r w:rsidRPr="00A608EE">
        <w:rPr>
          <w:rStyle w:val="text-primary"/>
        </w:rPr>
        <w:t>3.B.5.1</w:t>
      </w:r>
      <w:r w:rsidRPr="00A608EE">
        <w:t xml:space="preserve"> </w:t>
      </w:r>
      <w:r w:rsidR="00BB1F01" w:rsidRPr="00A608EE">
        <w:t>The provider offers training to clients in areas where they have skill gaps that prevent them from achieving their goals</w:t>
      </w:r>
      <w:r w:rsidRPr="00A608EE">
        <w:t>.</w:t>
      </w:r>
    </w:p>
    <w:p w14:paraId="59156234" w14:textId="77777777" w:rsidR="004B0C26" w:rsidRPr="00A608EE" w:rsidRDefault="004B0C26" w:rsidP="00EE208A">
      <w:pPr>
        <w:jc w:val="both"/>
        <w:rPr>
          <w:rFonts w:asciiTheme="majorHAnsi" w:hAnsiTheme="majorHAnsi"/>
          <w:szCs w:val="20"/>
        </w:rPr>
      </w:pPr>
    </w:p>
    <w:p w14:paraId="4444916F" w14:textId="48A398D3" w:rsidR="008877EC" w:rsidRPr="00A608EE" w:rsidRDefault="004F5FC3" w:rsidP="00EE208A">
      <w:pPr>
        <w:jc w:val="both"/>
        <w:rPr>
          <w:rFonts w:asciiTheme="majorHAnsi" w:hAnsiTheme="majorHAnsi"/>
          <w:b/>
          <w:bCs/>
          <w:color w:val="2145CC" w:themeColor="accent5" w:themeShade="BF"/>
          <w:szCs w:val="20"/>
        </w:rPr>
      </w:pPr>
      <w:r w:rsidRPr="00A608EE">
        <w:rPr>
          <w:rFonts w:ascii="Segoe UI Emoji" w:hAnsi="Segoe UI Emoji" w:cs="Segoe UI Emoji"/>
          <w:b/>
          <w:bCs/>
          <w:szCs w:val="20"/>
        </w:rPr>
        <w:t>🔎</w:t>
      </w:r>
      <w:r w:rsidRPr="00A608EE">
        <w:rPr>
          <w:rFonts w:asciiTheme="majorHAnsi" w:hAnsiTheme="majorHAnsi"/>
          <w:b/>
          <w:bCs/>
          <w:color w:val="2145CC" w:themeColor="accent5" w:themeShade="BF"/>
          <w:szCs w:val="20"/>
        </w:rPr>
        <w:t xml:space="preserve"> </w:t>
      </w:r>
      <w:r w:rsidRPr="00A608EE">
        <w:rPr>
          <w:rFonts w:asciiTheme="majorHAnsi" w:hAnsiTheme="majorHAnsi"/>
          <w:b/>
          <w:bCs/>
          <w:color w:val="2145CC" w:themeColor="accent5" w:themeShade="BF"/>
          <w:sz w:val="20"/>
          <w:szCs w:val="20"/>
        </w:rPr>
        <w:t xml:space="preserve">Indicator in </w:t>
      </w:r>
      <w:r w:rsidR="008877EC"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36411D9F" w14:textId="4A172E2A" w:rsidR="00774940" w:rsidRPr="00A608EE" w:rsidRDefault="00BB1F01"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A wide range of well-adapted trainings and business development services can help clients be prepared to seize economic opportunities, anticipate household needs, and achieve their economic and social goals.</w:t>
      </w:r>
    </w:p>
    <w:p w14:paraId="7C2F0E1D" w14:textId="14E94701"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noProof/>
          <w:sz w:val="20"/>
          <w:szCs w:val="20"/>
        </w:rPr>
        <w:drawing>
          <wp:anchor distT="0" distB="0" distL="114300" distR="114300" simplePos="0" relativeHeight="251846656" behindDoc="1" locked="0" layoutInCell="1" allowOverlap="1" wp14:anchorId="1044C9CE" wp14:editId="21F415E4">
            <wp:simplePos x="0" y="0"/>
            <wp:positionH relativeFrom="margin">
              <wp:align>left</wp:align>
            </wp:positionH>
            <wp:positionV relativeFrom="paragraph">
              <wp:posOffset>170815</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12448743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16B09B5C" w14:textId="24C78295"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331062F2"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p>
    <w:p w14:paraId="073DCB9A" w14:textId="7C6580A9" w:rsidR="00466608" w:rsidRPr="00A608EE" w:rsidRDefault="00FC6779"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466608" w:rsidRPr="00A608EE">
        <w:rPr>
          <w:rFonts w:asciiTheme="majorHAnsi" w:hAnsiTheme="majorHAnsi"/>
          <w:sz w:val="20"/>
          <w:szCs w:val="20"/>
        </w:rPr>
        <w:t>The provider offers training to clients in areas where they have skill gaps that prevent them from achieving their goals, using training modalities, format, content and delivery that are accessible to and inclusive of persons with disabilities.</w:t>
      </w:r>
    </w:p>
    <w:p w14:paraId="5D172B4B" w14:textId="0768B1D0" w:rsidR="00FF685E" w:rsidRPr="00A608EE" w:rsidRDefault="00FF685E"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Staff carrying out training to clients are trained in accessibility, inclusion and communication with clients with different types of impairments.</w:t>
      </w:r>
    </w:p>
    <w:p w14:paraId="66C29C30" w14:textId="77777777" w:rsidR="00221BCE" w:rsidRPr="00A608EE" w:rsidRDefault="00221BCE" w:rsidP="00EE208A">
      <w:pPr>
        <w:pStyle w:val="NormalWeb"/>
        <w:spacing w:before="0" w:beforeAutospacing="0" w:after="0" w:afterAutospacing="0"/>
        <w:jc w:val="both"/>
        <w:rPr>
          <w:rFonts w:asciiTheme="majorHAnsi" w:hAnsiTheme="majorHAnsi"/>
          <w:sz w:val="20"/>
          <w:szCs w:val="20"/>
        </w:rPr>
      </w:pPr>
    </w:p>
    <w:p w14:paraId="7725CD63" w14:textId="4F5CFCAA" w:rsidR="00BB1F01" w:rsidRPr="00A608EE" w:rsidRDefault="00A02E2F" w:rsidP="00EE208A">
      <w:pPr>
        <w:pStyle w:val="NormalWeb"/>
        <w:spacing w:before="0" w:beforeAutospacing="0" w:after="0" w:afterAutospacing="0"/>
        <w:jc w:val="both"/>
        <w:rPr>
          <w:rFonts w:asciiTheme="majorHAnsi" w:hAnsiTheme="majorHAnsi"/>
          <w:sz w:val="20"/>
          <w:szCs w:val="20"/>
        </w:rPr>
      </w:pPr>
      <w:r w:rsidRPr="00A608EE">
        <w:rPr>
          <w:noProof/>
        </w:rPr>
        <w:lastRenderedPageBreak/>
        <mc:AlternateContent>
          <mc:Choice Requires="wps">
            <w:drawing>
              <wp:anchor distT="0" distB="0" distL="114300" distR="114300" simplePos="0" relativeHeight="251698176" behindDoc="0" locked="0" layoutInCell="1" allowOverlap="1" wp14:anchorId="3D55E4FE" wp14:editId="753B07B3">
                <wp:simplePos x="0" y="0"/>
                <wp:positionH relativeFrom="margin">
                  <wp:align>left</wp:align>
                </wp:positionH>
                <wp:positionV relativeFrom="paragraph">
                  <wp:posOffset>1905</wp:posOffset>
                </wp:positionV>
                <wp:extent cx="1828800" cy="3956050"/>
                <wp:effectExtent l="0" t="0" r="24130" b="25400"/>
                <wp:wrapSquare wrapText="bothSides"/>
                <wp:docPr id="370265349" name="Cuadro de texto 1"/>
                <wp:cNvGraphicFramePr/>
                <a:graphic xmlns:a="http://schemas.openxmlformats.org/drawingml/2006/main">
                  <a:graphicData uri="http://schemas.microsoft.com/office/word/2010/wordprocessingShape">
                    <wps:wsp>
                      <wps:cNvSpPr txBox="1"/>
                      <wps:spPr>
                        <a:xfrm>
                          <a:off x="0" y="0"/>
                          <a:ext cx="1828800" cy="3956050"/>
                        </a:xfrm>
                        <a:prstGeom prst="rect">
                          <a:avLst/>
                        </a:prstGeom>
                        <a:noFill/>
                        <a:ln w="6350">
                          <a:solidFill>
                            <a:prstClr val="black"/>
                          </a:solidFill>
                        </a:ln>
                      </wps:spPr>
                      <wps:txbx>
                        <w:txbxContent>
                          <w:p w14:paraId="432CFAFD" w14:textId="2E8A8656" w:rsidR="00A02E2F" w:rsidRPr="00820B09" w:rsidRDefault="00EB123D" w:rsidP="00466608">
                            <w:pPr>
                              <w:pStyle w:val="NormalWeb"/>
                              <w:spacing w:after="0"/>
                              <w:jc w:val="both"/>
                              <w:rPr>
                                <w:rFonts w:asciiTheme="majorHAnsi" w:hAnsiTheme="majorHAnsi"/>
                                <w:b/>
                                <w:bCs/>
                                <w:sz w:val="20"/>
                                <w:szCs w:val="20"/>
                              </w:rPr>
                            </w:pPr>
                            <w:r w:rsidRPr="00820B09">
                              <w:t xml:space="preserve"> </w:t>
                            </w:r>
                            <w:r w:rsidRPr="00820B09">
                              <w:rPr>
                                <w:rFonts w:asciiTheme="majorHAnsi" w:hAnsiTheme="majorHAnsi"/>
                                <w:b/>
                                <w:bCs/>
                                <w:sz w:val="20"/>
                                <w:szCs w:val="20"/>
                              </w:rPr>
                              <w:t>Disability Inclusion - Info Box</w:t>
                            </w:r>
                            <w:r w:rsidR="0084416A" w:rsidRPr="00820B09">
                              <w:rPr>
                                <w:rFonts w:asciiTheme="majorHAnsi" w:hAnsiTheme="majorHAnsi"/>
                                <w:b/>
                                <w:bCs/>
                                <w:sz w:val="20"/>
                                <w:szCs w:val="20"/>
                              </w:rPr>
                              <w:t xml:space="preserve"> </w:t>
                            </w:r>
                            <w:r w:rsidR="00A02E2F" w:rsidRPr="00820B09">
                              <w:rPr>
                                <w:rFonts w:asciiTheme="majorHAnsi" w:hAnsiTheme="majorHAnsi"/>
                                <w:b/>
                                <w:bCs/>
                                <w:sz w:val="20"/>
                                <w:szCs w:val="20"/>
                              </w:rPr>
                              <w:t>3.B.5.1</w:t>
                            </w:r>
                          </w:p>
                          <w:p w14:paraId="7396EF39" w14:textId="48D723A9" w:rsidR="00167FDE" w:rsidRPr="00820B09" w:rsidRDefault="00167FDE" w:rsidP="00466608">
                            <w:pPr>
                              <w:pStyle w:val="NormalWeb"/>
                              <w:spacing w:after="0"/>
                              <w:jc w:val="both"/>
                              <w:rPr>
                                <w:rFonts w:asciiTheme="majorHAnsi" w:hAnsiTheme="majorHAnsi"/>
                                <w:sz w:val="20"/>
                                <w:szCs w:val="20"/>
                              </w:rPr>
                            </w:pPr>
                            <w:r w:rsidRPr="00820B09">
                              <w:rPr>
                                <w:rFonts w:asciiTheme="majorHAnsi" w:hAnsiTheme="majorHAnsi"/>
                                <w:sz w:val="20"/>
                                <w:szCs w:val="20"/>
                              </w:rPr>
                              <w:t xml:space="preserve">Training and capacity building are important enablers </w:t>
                            </w:r>
                            <w:r w:rsidR="00972C9C" w:rsidRPr="00820B09">
                              <w:rPr>
                                <w:rFonts w:asciiTheme="majorHAnsi" w:hAnsiTheme="majorHAnsi"/>
                                <w:sz w:val="20"/>
                                <w:szCs w:val="20"/>
                              </w:rPr>
                              <w:t>of</w:t>
                            </w:r>
                            <w:r w:rsidRPr="00820B09">
                              <w:rPr>
                                <w:rFonts w:asciiTheme="majorHAnsi" w:hAnsiTheme="majorHAnsi"/>
                                <w:sz w:val="20"/>
                                <w:szCs w:val="20"/>
                              </w:rPr>
                              <w:t xml:space="preserve"> financial inclusion for persons with disabilities, who often have little confidence in interacting with financial service providers, low levels of financial and digital literacy, and other skills gaps due to exclusion from formal education. Despite this, they are often excluded from trainings, or are unable to participate fully, due to accessibility and communication barriers, negative </w:t>
                            </w:r>
                            <w:r w:rsidR="002B4B57" w:rsidRPr="00820B09">
                              <w:rPr>
                                <w:rFonts w:asciiTheme="majorHAnsi" w:hAnsiTheme="majorHAnsi"/>
                                <w:sz w:val="20"/>
                                <w:szCs w:val="20"/>
                              </w:rPr>
                              <w:t xml:space="preserve">attitudes of </w:t>
                            </w:r>
                            <w:r w:rsidRPr="00820B09">
                              <w:rPr>
                                <w:rFonts w:asciiTheme="majorHAnsi" w:hAnsiTheme="majorHAnsi"/>
                                <w:sz w:val="20"/>
                                <w:szCs w:val="20"/>
                              </w:rPr>
                              <w:t xml:space="preserve">trainers </w:t>
                            </w:r>
                            <w:r w:rsidR="002B4B57" w:rsidRPr="00820B09">
                              <w:rPr>
                                <w:rFonts w:asciiTheme="majorHAnsi" w:hAnsiTheme="majorHAnsi"/>
                                <w:sz w:val="20"/>
                                <w:szCs w:val="20"/>
                              </w:rPr>
                              <w:t>or other group members, or self-exclusion as a result of low self-confidence.</w:t>
                            </w:r>
                          </w:p>
                          <w:p w14:paraId="099E33ED" w14:textId="62DAAE03" w:rsidR="002B4B57" w:rsidRPr="00820B09" w:rsidRDefault="00A02E2F" w:rsidP="00466608">
                            <w:pPr>
                              <w:pStyle w:val="NormalWeb"/>
                              <w:spacing w:after="0"/>
                              <w:jc w:val="both"/>
                              <w:rPr>
                                <w:rFonts w:asciiTheme="majorHAnsi" w:hAnsiTheme="majorHAnsi"/>
                                <w:sz w:val="20"/>
                                <w:szCs w:val="20"/>
                              </w:rPr>
                            </w:pPr>
                            <w:r w:rsidRPr="00820B09">
                              <w:rPr>
                                <w:rFonts w:asciiTheme="majorHAnsi" w:hAnsiTheme="majorHAnsi"/>
                                <w:sz w:val="20"/>
                                <w:szCs w:val="20"/>
                              </w:rPr>
                              <w:t xml:space="preserve">The provider should </w:t>
                            </w:r>
                            <w:r w:rsidR="002B4B57" w:rsidRPr="00820B09">
                              <w:rPr>
                                <w:rFonts w:asciiTheme="majorHAnsi" w:hAnsiTheme="majorHAnsi"/>
                                <w:sz w:val="20"/>
                                <w:szCs w:val="20"/>
                              </w:rPr>
                              <w:t xml:space="preserve">partner with </w:t>
                            </w:r>
                            <w:r w:rsidR="00FE5465" w:rsidRPr="00820B09">
                              <w:rPr>
                                <w:rFonts w:asciiTheme="majorHAnsi" w:hAnsiTheme="majorHAnsi"/>
                                <w:sz w:val="20"/>
                                <w:szCs w:val="20"/>
                              </w:rPr>
                              <w:t>organizations of persons with disabilities (</w:t>
                            </w:r>
                            <w:r w:rsidR="002B4B57" w:rsidRPr="00820B09">
                              <w:rPr>
                                <w:rFonts w:asciiTheme="majorHAnsi" w:hAnsiTheme="majorHAnsi"/>
                                <w:sz w:val="20"/>
                                <w:szCs w:val="20"/>
                              </w:rPr>
                              <w:t>OPDs</w:t>
                            </w:r>
                            <w:r w:rsidR="00FE5465" w:rsidRPr="00820B09">
                              <w:rPr>
                                <w:rFonts w:asciiTheme="majorHAnsi" w:hAnsiTheme="majorHAnsi"/>
                                <w:sz w:val="20"/>
                                <w:szCs w:val="20"/>
                              </w:rPr>
                              <w:t>)</w:t>
                            </w:r>
                            <w:r w:rsidR="002B4B57" w:rsidRPr="00820B09">
                              <w:rPr>
                                <w:rFonts w:asciiTheme="majorHAnsi" w:hAnsiTheme="majorHAnsi"/>
                                <w:sz w:val="20"/>
                                <w:szCs w:val="20"/>
                              </w:rPr>
                              <w:t xml:space="preserve"> to </w:t>
                            </w:r>
                            <w:r w:rsidRPr="00820B09">
                              <w:rPr>
                                <w:rFonts w:asciiTheme="majorHAnsi" w:hAnsiTheme="majorHAnsi"/>
                                <w:sz w:val="20"/>
                                <w:szCs w:val="20"/>
                              </w:rPr>
                              <w:t>en</w:t>
                            </w:r>
                            <w:r w:rsidR="002B4B57" w:rsidRPr="00820B09">
                              <w:rPr>
                                <w:rFonts w:asciiTheme="majorHAnsi" w:hAnsiTheme="majorHAnsi"/>
                                <w:sz w:val="20"/>
                                <w:szCs w:val="20"/>
                              </w:rPr>
                              <w:t>able outreach to persons with disabilities, and ensure persons with disabilities and their caregivers or support persons are included and welcomed in training activities</w:t>
                            </w:r>
                            <w:r w:rsidR="00DF66DE" w:rsidRPr="00820B09">
                              <w:rPr>
                                <w:rFonts w:asciiTheme="majorHAnsi" w:hAnsiTheme="majorHAnsi"/>
                                <w:sz w:val="20"/>
                                <w:szCs w:val="20"/>
                              </w:rPr>
                              <w:t>, and in community awareness-raising activities and events</w:t>
                            </w:r>
                            <w:r w:rsidR="002B4B57" w:rsidRPr="00820B09">
                              <w:rPr>
                                <w:rFonts w:asciiTheme="majorHAnsi" w:hAnsiTheme="majorHAnsi"/>
                                <w:sz w:val="20"/>
                                <w:szCs w:val="20"/>
                              </w:rPr>
                              <w:t xml:space="preserve">. </w:t>
                            </w:r>
                            <w:r w:rsidR="009E3DA1" w:rsidRPr="00820B09">
                              <w:rPr>
                                <w:rFonts w:asciiTheme="majorHAnsi" w:hAnsiTheme="majorHAnsi"/>
                                <w:sz w:val="20"/>
                                <w:szCs w:val="20"/>
                              </w:rPr>
                              <w:t>Provide training to trainers and facilitators on communication with persons with different impairments.</w:t>
                            </w:r>
                          </w:p>
                          <w:p w14:paraId="0A9ADA96" w14:textId="46038F8A" w:rsidR="00DF66DE" w:rsidRPr="00820B09" w:rsidRDefault="002B4B57" w:rsidP="00466608">
                            <w:pPr>
                              <w:pStyle w:val="NormalWeb"/>
                              <w:spacing w:after="0"/>
                              <w:jc w:val="both"/>
                              <w:rPr>
                                <w:rFonts w:asciiTheme="majorHAnsi" w:hAnsiTheme="majorHAnsi"/>
                                <w:sz w:val="20"/>
                                <w:szCs w:val="20"/>
                              </w:rPr>
                            </w:pPr>
                            <w:r w:rsidRPr="00820B09">
                              <w:rPr>
                                <w:rFonts w:asciiTheme="majorHAnsi" w:hAnsiTheme="majorHAnsi"/>
                                <w:sz w:val="20"/>
                                <w:szCs w:val="20"/>
                              </w:rPr>
                              <w:t>T</w:t>
                            </w:r>
                            <w:r w:rsidR="00A02E2F" w:rsidRPr="00820B09">
                              <w:rPr>
                                <w:rFonts w:asciiTheme="majorHAnsi" w:hAnsiTheme="majorHAnsi"/>
                                <w:sz w:val="20"/>
                                <w:szCs w:val="20"/>
                              </w:rPr>
                              <w:t>raining modalities (</w:t>
                            </w:r>
                            <w:r w:rsidRPr="00820B09">
                              <w:rPr>
                                <w:rFonts w:asciiTheme="majorHAnsi" w:hAnsiTheme="majorHAnsi"/>
                                <w:sz w:val="20"/>
                                <w:szCs w:val="20"/>
                              </w:rPr>
                              <w:t xml:space="preserve">including </w:t>
                            </w:r>
                            <w:r w:rsidR="00A02E2F" w:rsidRPr="00820B09">
                              <w:rPr>
                                <w:rFonts w:asciiTheme="majorHAnsi" w:hAnsiTheme="majorHAnsi"/>
                                <w:sz w:val="20"/>
                                <w:szCs w:val="20"/>
                              </w:rPr>
                              <w:t xml:space="preserve">schedule, duration, </w:t>
                            </w:r>
                            <w:r w:rsidRPr="00820B09">
                              <w:rPr>
                                <w:rFonts w:asciiTheme="majorHAnsi" w:hAnsiTheme="majorHAnsi"/>
                                <w:sz w:val="20"/>
                                <w:szCs w:val="20"/>
                              </w:rPr>
                              <w:t xml:space="preserve">and </w:t>
                            </w:r>
                            <w:r w:rsidR="00A02E2F" w:rsidRPr="00820B09">
                              <w:rPr>
                                <w:rFonts w:asciiTheme="majorHAnsi" w:hAnsiTheme="majorHAnsi"/>
                                <w:sz w:val="20"/>
                                <w:szCs w:val="20"/>
                              </w:rPr>
                              <w:t xml:space="preserve">location) </w:t>
                            </w:r>
                            <w:r w:rsidRPr="00820B09">
                              <w:rPr>
                                <w:rFonts w:asciiTheme="majorHAnsi" w:hAnsiTheme="majorHAnsi"/>
                                <w:sz w:val="20"/>
                                <w:szCs w:val="20"/>
                              </w:rPr>
                              <w:t>and content should be</w:t>
                            </w:r>
                            <w:r w:rsidR="00A02E2F" w:rsidRPr="00820B09">
                              <w:rPr>
                                <w:rFonts w:asciiTheme="majorHAnsi" w:hAnsiTheme="majorHAnsi"/>
                                <w:sz w:val="20"/>
                                <w:szCs w:val="20"/>
                              </w:rPr>
                              <w:t xml:space="preserve"> aligned with the needs of the target client</w:t>
                            </w:r>
                            <w:r w:rsidRPr="00820B09">
                              <w:rPr>
                                <w:rFonts w:asciiTheme="majorHAnsi" w:hAnsiTheme="majorHAnsi"/>
                                <w:sz w:val="20"/>
                                <w:szCs w:val="20"/>
                              </w:rPr>
                              <w:t xml:space="preserve"> segments,</w:t>
                            </w:r>
                            <w:r w:rsidR="00A02E2F" w:rsidRPr="00820B09">
                              <w:rPr>
                                <w:rFonts w:asciiTheme="majorHAnsi" w:hAnsiTheme="majorHAnsi"/>
                                <w:sz w:val="20"/>
                                <w:szCs w:val="20"/>
                              </w:rPr>
                              <w:t xml:space="preserve"> and accessible to persons with disabilities within these</w:t>
                            </w:r>
                            <w:r w:rsidRPr="00820B09">
                              <w:rPr>
                                <w:rFonts w:asciiTheme="majorHAnsi" w:hAnsiTheme="majorHAnsi"/>
                                <w:sz w:val="20"/>
                                <w:szCs w:val="20"/>
                              </w:rPr>
                              <w:t xml:space="preserve">. Include a line in the training budget for accessibility measures, ask all participants about their accessibility needs during registration. Provide accommodations for individuals participants as needed, for instance </w:t>
                            </w:r>
                            <w:r w:rsidR="009E3DA1" w:rsidRPr="00820B09">
                              <w:rPr>
                                <w:rFonts w:asciiTheme="majorHAnsi" w:hAnsiTheme="majorHAnsi"/>
                                <w:sz w:val="20"/>
                                <w:szCs w:val="20"/>
                              </w:rPr>
                              <w:t xml:space="preserve">by facilitating the attendance of support persons, providing </w:t>
                            </w:r>
                            <w:r w:rsidRPr="00820B09">
                              <w:rPr>
                                <w:rFonts w:asciiTheme="majorHAnsi" w:hAnsiTheme="majorHAnsi"/>
                                <w:sz w:val="20"/>
                                <w:szCs w:val="20"/>
                              </w:rPr>
                              <w:t>materials in accessible formats</w:t>
                            </w:r>
                            <w:r w:rsidR="009E3DA1" w:rsidRPr="00820B09">
                              <w:rPr>
                                <w:rFonts w:asciiTheme="majorHAnsi" w:hAnsiTheme="majorHAnsi"/>
                                <w:sz w:val="20"/>
                                <w:szCs w:val="20"/>
                              </w:rPr>
                              <w:t>, such as ea</w:t>
                            </w:r>
                            <w:r w:rsidRPr="00820B09">
                              <w:rPr>
                                <w:rFonts w:asciiTheme="majorHAnsi" w:hAnsiTheme="majorHAnsi"/>
                                <w:sz w:val="20"/>
                                <w:szCs w:val="20"/>
                              </w:rPr>
                              <w:t xml:space="preserve">sy-read or </w:t>
                            </w:r>
                            <w:r w:rsidR="009E3DA1" w:rsidRPr="00820B09">
                              <w:rPr>
                                <w:rFonts w:asciiTheme="majorHAnsi" w:hAnsiTheme="majorHAnsi"/>
                                <w:sz w:val="20"/>
                                <w:szCs w:val="20"/>
                              </w:rPr>
                              <w:t>b</w:t>
                            </w:r>
                            <w:r w:rsidRPr="00820B09">
                              <w:rPr>
                                <w:rFonts w:asciiTheme="majorHAnsi" w:hAnsiTheme="majorHAnsi"/>
                                <w:sz w:val="20"/>
                                <w:szCs w:val="20"/>
                              </w:rPr>
                              <w:t>raille</w:t>
                            </w:r>
                            <w:r w:rsidR="009E3DA1" w:rsidRPr="00820B09">
                              <w:rPr>
                                <w:rFonts w:asciiTheme="majorHAnsi" w:hAnsiTheme="majorHAnsi"/>
                                <w:sz w:val="20"/>
                                <w:szCs w:val="20"/>
                              </w:rPr>
                              <w:t>, or providing sign-language interpretation</w:t>
                            </w:r>
                            <w:r w:rsidRPr="00820B09">
                              <w:rPr>
                                <w:rFonts w:asciiTheme="majorHAnsi" w:hAnsiTheme="majorHAnsi"/>
                                <w:sz w:val="20"/>
                                <w:szCs w:val="20"/>
                              </w:rPr>
                              <w:t>.</w:t>
                            </w:r>
                          </w:p>
                          <w:p w14:paraId="6805BEFB" w14:textId="2095EB7A" w:rsidR="00482B99" w:rsidRPr="00820B09" w:rsidRDefault="00482B99" w:rsidP="00466608">
                            <w:pPr>
                              <w:pStyle w:val="NormalWeb"/>
                              <w:spacing w:after="0"/>
                              <w:jc w:val="both"/>
                              <w:rPr>
                                <w:rFonts w:asciiTheme="majorHAnsi" w:hAnsiTheme="majorHAnsi"/>
                                <w:sz w:val="20"/>
                                <w:szCs w:val="20"/>
                              </w:rPr>
                            </w:pPr>
                            <w:r w:rsidRPr="00820B09">
                              <w:rPr>
                                <w:rFonts w:asciiTheme="majorHAnsi" w:hAnsiTheme="majorHAnsi"/>
                                <w:sz w:val="20"/>
                                <w:szCs w:val="20"/>
                              </w:rPr>
                              <w:t>See resources for this section for information and examples. Further information and resources on inclusive trainings is provided in the BFFI Disability Inclusion Guide for FSPs.</w:t>
                            </w:r>
                          </w:p>
                          <w:p w14:paraId="192FD3C1" w14:textId="77777777" w:rsidR="00482B99" w:rsidRPr="00820B09" w:rsidRDefault="00482B99" w:rsidP="00466608">
                            <w:pPr>
                              <w:pStyle w:val="NormalWeb"/>
                              <w:spacing w:after="0"/>
                              <w:jc w:val="both"/>
                              <w:rPr>
                                <w:rFonts w:asciiTheme="majorHAnsi" w:hAnsiTheme="majorHAnsi"/>
                                <w:sz w:val="20"/>
                                <w:szCs w:val="20"/>
                              </w:rPr>
                            </w:pPr>
                          </w:p>
                          <w:p w14:paraId="2A40F43E" w14:textId="77777777" w:rsidR="00482B99" w:rsidRPr="00820B09" w:rsidRDefault="00482B99" w:rsidP="00466608">
                            <w:pPr>
                              <w:pStyle w:val="NormalWeb"/>
                              <w:spacing w:after="0"/>
                              <w:jc w:val="both"/>
                              <w:rPr>
                                <w:rFonts w:asciiTheme="majorHAnsi" w:hAnsiTheme="majorHAnsi"/>
                                <w:sz w:val="20"/>
                                <w:szCs w:val="20"/>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55E4FE" id="_x0000_s1049" type="#_x0000_t202" style="position:absolute;left:0;text-align:left;margin-left:0;margin-top:.15pt;width:2in;height:311.5pt;z-index:251698176;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" filled="f" strokeweight=".5pt">
                <v:textbox>
                  <w:txbxContent>
                    <w:p w14:paraId="432CFAFD" w14:textId="2E8A8656" w:rsidR="00A02E2F" w:rsidRPr="00820B09" w:rsidRDefault="00EB123D" w:rsidP="00466608">
                      <w:pPr>
                        <w:pStyle w:val="NormalWeb"/>
                        <w:spacing w:after="0"/>
                        <w:jc w:val="both"/>
                        <w:rPr>
                          <w:rFonts w:asciiTheme="majorHAnsi" w:hAnsiTheme="majorHAnsi"/>
                          <w:b/>
                          <w:bCs/>
                          <w:sz w:val="20"/>
                          <w:szCs w:val="20"/>
                        </w:rPr>
                      </w:pPr>
                      <w:r w:rsidRPr="00820B09">
                        <w:t xml:space="preserve"> </w:t>
                      </w:r>
                      <w:r w:rsidRPr="00820B09">
                        <w:rPr>
                          <w:rFonts w:asciiTheme="majorHAnsi" w:hAnsiTheme="majorHAnsi"/>
                          <w:b/>
                          <w:bCs/>
                          <w:sz w:val="20"/>
                          <w:szCs w:val="20"/>
                        </w:rPr>
                        <w:t>Disability Inclusion - Info Box</w:t>
                      </w:r>
                      <w:r w:rsidR="0084416A" w:rsidRPr="00820B09">
                        <w:rPr>
                          <w:rFonts w:asciiTheme="majorHAnsi" w:hAnsiTheme="majorHAnsi"/>
                          <w:b/>
                          <w:bCs/>
                          <w:sz w:val="20"/>
                          <w:szCs w:val="20"/>
                        </w:rPr>
                        <w:t xml:space="preserve"> </w:t>
                      </w:r>
                      <w:r w:rsidR="00A02E2F" w:rsidRPr="00820B09">
                        <w:rPr>
                          <w:rFonts w:asciiTheme="majorHAnsi" w:hAnsiTheme="majorHAnsi"/>
                          <w:b/>
                          <w:bCs/>
                          <w:sz w:val="20"/>
                          <w:szCs w:val="20"/>
                        </w:rPr>
                        <w:t>3.B.5.1</w:t>
                      </w:r>
                    </w:p>
                    <w:p w14:paraId="7396EF39" w14:textId="48D723A9" w:rsidR="00167FDE" w:rsidRPr="00820B09" w:rsidRDefault="00167FDE" w:rsidP="00466608">
                      <w:pPr>
                        <w:pStyle w:val="NormalWeb"/>
                        <w:spacing w:after="0"/>
                        <w:jc w:val="both"/>
                        <w:rPr>
                          <w:rFonts w:asciiTheme="majorHAnsi" w:hAnsiTheme="majorHAnsi"/>
                          <w:sz w:val="20"/>
                          <w:szCs w:val="20"/>
                        </w:rPr>
                      </w:pPr>
                      <w:r w:rsidRPr="00820B09">
                        <w:rPr>
                          <w:rFonts w:asciiTheme="majorHAnsi" w:hAnsiTheme="majorHAnsi"/>
                          <w:sz w:val="20"/>
                          <w:szCs w:val="20"/>
                        </w:rPr>
                        <w:t xml:space="preserve">Training and capacity building are important enablers </w:t>
                      </w:r>
                      <w:r w:rsidR="00972C9C" w:rsidRPr="00820B09">
                        <w:rPr>
                          <w:rFonts w:asciiTheme="majorHAnsi" w:hAnsiTheme="majorHAnsi"/>
                          <w:sz w:val="20"/>
                          <w:szCs w:val="20"/>
                        </w:rPr>
                        <w:t>of</w:t>
                      </w:r>
                      <w:r w:rsidRPr="00820B09">
                        <w:rPr>
                          <w:rFonts w:asciiTheme="majorHAnsi" w:hAnsiTheme="majorHAnsi"/>
                          <w:sz w:val="20"/>
                          <w:szCs w:val="20"/>
                        </w:rPr>
                        <w:t xml:space="preserve"> financial inclusion for persons with disabilities, who often have little confidence in interacting with financial service providers, low levels of financial and digital literacy, and other skills gaps due to exclusion from formal education. Despite this, they are often excluded from trainings, or are unable to participate fully, due to accessibility and communication barriers, negative </w:t>
                      </w:r>
                      <w:r w:rsidR="002B4B57" w:rsidRPr="00820B09">
                        <w:rPr>
                          <w:rFonts w:asciiTheme="majorHAnsi" w:hAnsiTheme="majorHAnsi"/>
                          <w:sz w:val="20"/>
                          <w:szCs w:val="20"/>
                        </w:rPr>
                        <w:t xml:space="preserve">attitudes of </w:t>
                      </w:r>
                      <w:r w:rsidRPr="00820B09">
                        <w:rPr>
                          <w:rFonts w:asciiTheme="majorHAnsi" w:hAnsiTheme="majorHAnsi"/>
                          <w:sz w:val="20"/>
                          <w:szCs w:val="20"/>
                        </w:rPr>
                        <w:t xml:space="preserve">trainers </w:t>
                      </w:r>
                      <w:r w:rsidR="002B4B57" w:rsidRPr="00820B09">
                        <w:rPr>
                          <w:rFonts w:asciiTheme="majorHAnsi" w:hAnsiTheme="majorHAnsi"/>
                          <w:sz w:val="20"/>
                          <w:szCs w:val="20"/>
                        </w:rPr>
                        <w:t>or other group members, or self-exclusion as a result of low self-confidence.</w:t>
                      </w:r>
                    </w:p>
                    <w:p w14:paraId="099E33ED" w14:textId="62DAAE03" w:rsidR="002B4B57" w:rsidRPr="00820B09" w:rsidRDefault="00A02E2F" w:rsidP="00466608">
                      <w:pPr>
                        <w:pStyle w:val="NormalWeb"/>
                        <w:spacing w:after="0"/>
                        <w:jc w:val="both"/>
                        <w:rPr>
                          <w:rFonts w:asciiTheme="majorHAnsi" w:hAnsiTheme="majorHAnsi"/>
                          <w:sz w:val="20"/>
                          <w:szCs w:val="20"/>
                        </w:rPr>
                      </w:pPr>
                      <w:r w:rsidRPr="00820B09">
                        <w:rPr>
                          <w:rFonts w:asciiTheme="majorHAnsi" w:hAnsiTheme="majorHAnsi"/>
                          <w:sz w:val="20"/>
                          <w:szCs w:val="20"/>
                        </w:rPr>
                        <w:t xml:space="preserve">The provider should </w:t>
                      </w:r>
                      <w:r w:rsidR="002B4B57" w:rsidRPr="00820B09">
                        <w:rPr>
                          <w:rFonts w:asciiTheme="majorHAnsi" w:hAnsiTheme="majorHAnsi"/>
                          <w:sz w:val="20"/>
                          <w:szCs w:val="20"/>
                        </w:rPr>
                        <w:t xml:space="preserve">partner with </w:t>
                      </w:r>
                      <w:r w:rsidR="00FE5465" w:rsidRPr="00820B09">
                        <w:rPr>
                          <w:rFonts w:asciiTheme="majorHAnsi" w:hAnsiTheme="majorHAnsi"/>
                          <w:sz w:val="20"/>
                          <w:szCs w:val="20"/>
                        </w:rPr>
                        <w:t>organizations of persons with disabilities (</w:t>
                      </w:r>
                      <w:r w:rsidR="002B4B57" w:rsidRPr="00820B09">
                        <w:rPr>
                          <w:rFonts w:asciiTheme="majorHAnsi" w:hAnsiTheme="majorHAnsi"/>
                          <w:sz w:val="20"/>
                          <w:szCs w:val="20"/>
                        </w:rPr>
                        <w:t>OPDs</w:t>
                      </w:r>
                      <w:r w:rsidR="00FE5465" w:rsidRPr="00820B09">
                        <w:rPr>
                          <w:rFonts w:asciiTheme="majorHAnsi" w:hAnsiTheme="majorHAnsi"/>
                          <w:sz w:val="20"/>
                          <w:szCs w:val="20"/>
                        </w:rPr>
                        <w:t>)</w:t>
                      </w:r>
                      <w:r w:rsidR="002B4B57" w:rsidRPr="00820B09">
                        <w:rPr>
                          <w:rFonts w:asciiTheme="majorHAnsi" w:hAnsiTheme="majorHAnsi"/>
                          <w:sz w:val="20"/>
                          <w:szCs w:val="20"/>
                        </w:rPr>
                        <w:t xml:space="preserve"> to </w:t>
                      </w:r>
                      <w:r w:rsidRPr="00820B09">
                        <w:rPr>
                          <w:rFonts w:asciiTheme="majorHAnsi" w:hAnsiTheme="majorHAnsi"/>
                          <w:sz w:val="20"/>
                          <w:szCs w:val="20"/>
                        </w:rPr>
                        <w:t>en</w:t>
                      </w:r>
                      <w:r w:rsidR="002B4B57" w:rsidRPr="00820B09">
                        <w:rPr>
                          <w:rFonts w:asciiTheme="majorHAnsi" w:hAnsiTheme="majorHAnsi"/>
                          <w:sz w:val="20"/>
                          <w:szCs w:val="20"/>
                        </w:rPr>
                        <w:t>able outreach to persons with disabilities, and ensure persons with disabilities and their caregivers or support persons are included and welcomed in training activities</w:t>
                      </w:r>
                      <w:r w:rsidR="00DF66DE" w:rsidRPr="00820B09">
                        <w:rPr>
                          <w:rFonts w:asciiTheme="majorHAnsi" w:hAnsiTheme="majorHAnsi"/>
                          <w:sz w:val="20"/>
                          <w:szCs w:val="20"/>
                        </w:rPr>
                        <w:t>, and in community awareness-raising activities and events</w:t>
                      </w:r>
                      <w:r w:rsidR="002B4B57" w:rsidRPr="00820B09">
                        <w:rPr>
                          <w:rFonts w:asciiTheme="majorHAnsi" w:hAnsiTheme="majorHAnsi"/>
                          <w:sz w:val="20"/>
                          <w:szCs w:val="20"/>
                        </w:rPr>
                        <w:t xml:space="preserve">. </w:t>
                      </w:r>
                      <w:r w:rsidR="009E3DA1" w:rsidRPr="00820B09">
                        <w:rPr>
                          <w:rFonts w:asciiTheme="majorHAnsi" w:hAnsiTheme="majorHAnsi"/>
                          <w:sz w:val="20"/>
                          <w:szCs w:val="20"/>
                        </w:rPr>
                        <w:t>Provide training to trainers and facilitators on communication with persons with different impairments.</w:t>
                      </w:r>
                    </w:p>
                    <w:p w14:paraId="0A9ADA96" w14:textId="46038F8A" w:rsidR="00DF66DE" w:rsidRPr="00820B09" w:rsidRDefault="002B4B57" w:rsidP="00466608">
                      <w:pPr>
                        <w:pStyle w:val="NormalWeb"/>
                        <w:spacing w:after="0"/>
                        <w:jc w:val="both"/>
                        <w:rPr>
                          <w:rFonts w:asciiTheme="majorHAnsi" w:hAnsiTheme="majorHAnsi"/>
                          <w:sz w:val="20"/>
                          <w:szCs w:val="20"/>
                        </w:rPr>
                      </w:pPr>
                      <w:r w:rsidRPr="00820B09">
                        <w:rPr>
                          <w:rFonts w:asciiTheme="majorHAnsi" w:hAnsiTheme="majorHAnsi"/>
                          <w:sz w:val="20"/>
                          <w:szCs w:val="20"/>
                        </w:rPr>
                        <w:t>T</w:t>
                      </w:r>
                      <w:r w:rsidR="00A02E2F" w:rsidRPr="00820B09">
                        <w:rPr>
                          <w:rFonts w:asciiTheme="majorHAnsi" w:hAnsiTheme="majorHAnsi"/>
                          <w:sz w:val="20"/>
                          <w:szCs w:val="20"/>
                        </w:rPr>
                        <w:t>raining modalities (</w:t>
                      </w:r>
                      <w:r w:rsidRPr="00820B09">
                        <w:rPr>
                          <w:rFonts w:asciiTheme="majorHAnsi" w:hAnsiTheme="majorHAnsi"/>
                          <w:sz w:val="20"/>
                          <w:szCs w:val="20"/>
                        </w:rPr>
                        <w:t xml:space="preserve">including </w:t>
                      </w:r>
                      <w:r w:rsidR="00A02E2F" w:rsidRPr="00820B09">
                        <w:rPr>
                          <w:rFonts w:asciiTheme="majorHAnsi" w:hAnsiTheme="majorHAnsi"/>
                          <w:sz w:val="20"/>
                          <w:szCs w:val="20"/>
                        </w:rPr>
                        <w:t xml:space="preserve">schedule, duration, </w:t>
                      </w:r>
                      <w:r w:rsidRPr="00820B09">
                        <w:rPr>
                          <w:rFonts w:asciiTheme="majorHAnsi" w:hAnsiTheme="majorHAnsi"/>
                          <w:sz w:val="20"/>
                          <w:szCs w:val="20"/>
                        </w:rPr>
                        <w:t xml:space="preserve">and </w:t>
                      </w:r>
                      <w:r w:rsidR="00A02E2F" w:rsidRPr="00820B09">
                        <w:rPr>
                          <w:rFonts w:asciiTheme="majorHAnsi" w:hAnsiTheme="majorHAnsi"/>
                          <w:sz w:val="20"/>
                          <w:szCs w:val="20"/>
                        </w:rPr>
                        <w:t xml:space="preserve">location) </w:t>
                      </w:r>
                      <w:r w:rsidRPr="00820B09">
                        <w:rPr>
                          <w:rFonts w:asciiTheme="majorHAnsi" w:hAnsiTheme="majorHAnsi"/>
                          <w:sz w:val="20"/>
                          <w:szCs w:val="20"/>
                        </w:rPr>
                        <w:t>and content should be</w:t>
                      </w:r>
                      <w:r w:rsidR="00A02E2F" w:rsidRPr="00820B09">
                        <w:rPr>
                          <w:rFonts w:asciiTheme="majorHAnsi" w:hAnsiTheme="majorHAnsi"/>
                          <w:sz w:val="20"/>
                          <w:szCs w:val="20"/>
                        </w:rPr>
                        <w:t xml:space="preserve"> aligned with the needs of the target client</w:t>
                      </w:r>
                      <w:r w:rsidRPr="00820B09">
                        <w:rPr>
                          <w:rFonts w:asciiTheme="majorHAnsi" w:hAnsiTheme="majorHAnsi"/>
                          <w:sz w:val="20"/>
                          <w:szCs w:val="20"/>
                        </w:rPr>
                        <w:t xml:space="preserve"> segments,</w:t>
                      </w:r>
                      <w:r w:rsidR="00A02E2F" w:rsidRPr="00820B09">
                        <w:rPr>
                          <w:rFonts w:asciiTheme="majorHAnsi" w:hAnsiTheme="majorHAnsi"/>
                          <w:sz w:val="20"/>
                          <w:szCs w:val="20"/>
                        </w:rPr>
                        <w:t xml:space="preserve"> and accessible to persons with disabilities within these</w:t>
                      </w:r>
                      <w:r w:rsidRPr="00820B09">
                        <w:rPr>
                          <w:rFonts w:asciiTheme="majorHAnsi" w:hAnsiTheme="majorHAnsi"/>
                          <w:sz w:val="20"/>
                          <w:szCs w:val="20"/>
                        </w:rPr>
                        <w:t xml:space="preserve">. Include a line in the training budget for accessibility measures, ask all participants about their accessibility needs during registration. Provide accommodations for individuals participants as needed, for instance </w:t>
                      </w:r>
                      <w:r w:rsidR="009E3DA1" w:rsidRPr="00820B09">
                        <w:rPr>
                          <w:rFonts w:asciiTheme="majorHAnsi" w:hAnsiTheme="majorHAnsi"/>
                          <w:sz w:val="20"/>
                          <w:szCs w:val="20"/>
                        </w:rPr>
                        <w:t xml:space="preserve">by facilitating the attendance of support persons, providing </w:t>
                      </w:r>
                      <w:r w:rsidRPr="00820B09">
                        <w:rPr>
                          <w:rFonts w:asciiTheme="majorHAnsi" w:hAnsiTheme="majorHAnsi"/>
                          <w:sz w:val="20"/>
                          <w:szCs w:val="20"/>
                        </w:rPr>
                        <w:t>materials in accessible formats</w:t>
                      </w:r>
                      <w:r w:rsidR="009E3DA1" w:rsidRPr="00820B09">
                        <w:rPr>
                          <w:rFonts w:asciiTheme="majorHAnsi" w:hAnsiTheme="majorHAnsi"/>
                          <w:sz w:val="20"/>
                          <w:szCs w:val="20"/>
                        </w:rPr>
                        <w:t>, such as ea</w:t>
                      </w:r>
                      <w:r w:rsidRPr="00820B09">
                        <w:rPr>
                          <w:rFonts w:asciiTheme="majorHAnsi" w:hAnsiTheme="majorHAnsi"/>
                          <w:sz w:val="20"/>
                          <w:szCs w:val="20"/>
                        </w:rPr>
                        <w:t xml:space="preserve">sy-read or </w:t>
                      </w:r>
                      <w:r w:rsidR="009E3DA1" w:rsidRPr="00820B09">
                        <w:rPr>
                          <w:rFonts w:asciiTheme="majorHAnsi" w:hAnsiTheme="majorHAnsi"/>
                          <w:sz w:val="20"/>
                          <w:szCs w:val="20"/>
                        </w:rPr>
                        <w:t>b</w:t>
                      </w:r>
                      <w:r w:rsidRPr="00820B09">
                        <w:rPr>
                          <w:rFonts w:asciiTheme="majorHAnsi" w:hAnsiTheme="majorHAnsi"/>
                          <w:sz w:val="20"/>
                          <w:szCs w:val="20"/>
                        </w:rPr>
                        <w:t>raille</w:t>
                      </w:r>
                      <w:r w:rsidR="009E3DA1" w:rsidRPr="00820B09">
                        <w:rPr>
                          <w:rFonts w:asciiTheme="majorHAnsi" w:hAnsiTheme="majorHAnsi"/>
                          <w:sz w:val="20"/>
                          <w:szCs w:val="20"/>
                        </w:rPr>
                        <w:t>, or providing sign-language interpretation</w:t>
                      </w:r>
                      <w:r w:rsidRPr="00820B09">
                        <w:rPr>
                          <w:rFonts w:asciiTheme="majorHAnsi" w:hAnsiTheme="majorHAnsi"/>
                          <w:sz w:val="20"/>
                          <w:szCs w:val="20"/>
                        </w:rPr>
                        <w:t>.</w:t>
                      </w:r>
                    </w:p>
                    <w:p w14:paraId="6805BEFB" w14:textId="2095EB7A" w:rsidR="00482B99" w:rsidRPr="00820B09" w:rsidRDefault="00482B99" w:rsidP="00466608">
                      <w:pPr>
                        <w:pStyle w:val="NormalWeb"/>
                        <w:spacing w:after="0"/>
                        <w:jc w:val="both"/>
                        <w:rPr>
                          <w:rFonts w:asciiTheme="majorHAnsi" w:hAnsiTheme="majorHAnsi"/>
                          <w:sz w:val="20"/>
                          <w:szCs w:val="20"/>
                        </w:rPr>
                      </w:pPr>
                      <w:r w:rsidRPr="00820B09">
                        <w:rPr>
                          <w:rFonts w:asciiTheme="majorHAnsi" w:hAnsiTheme="majorHAnsi"/>
                          <w:sz w:val="20"/>
                          <w:szCs w:val="20"/>
                        </w:rPr>
                        <w:t>See resources for this section for information and examples. Further information and resources on inclusive trainings is provided in the BFFI Disability Inclusion Guide for FSPs.</w:t>
                      </w:r>
                    </w:p>
                    <w:p w14:paraId="192FD3C1" w14:textId="77777777" w:rsidR="00482B99" w:rsidRPr="00820B09" w:rsidRDefault="00482B99" w:rsidP="00466608">
                      <w:pPr>
                        <w:pStyle w:val="NormalWeb"/>
                        <w:spacing w:after="0"/>
                        <w:jc w:val="both"/>
                        <w:rPr>
                          <w:rFonts w:asciiTheme="majorHAnsi" w:hAnsiTheme="majorHAnsi"/>
                          <w:sz w:val="20"/>
                          <w:szCs w:val="20"/>
                        </w:rPr>
                      </w:pPr>
                    </w:p>
                    <w:p w14:paraId="2A40F43E" w14:textId="77777777" w:rsidR="00482B99" w:rsidRPr="00820B09" w:rsidRDefault="00482B99" w:rsidP="00466608">
                      <w:pPr>
                        <w:pStyle w:val="NormalWeb"/>
                        <w:spacing w:after="0"/>
                        <w:jc w:val="both"/>
                        <w:rPr>
                          <w:rFonts w:asciiTheme="majorHAnsi" w:hAnsiTheme="majorHAnsi"/>
                          <w:sz w:val="20"/>
                          <w:szCs w:val="20"/>
                        </w:rPr>
                      </w:pPr>
                    </w:p>
                  </w:txbxContent>
                </v:textbox>
                <w10:wrap type="square" anchorx="margin"/>
              </v:shape>
            </w:pict>
          </mc:Fallback>
        </mc:AlternateContent>
      </w:r>
    </w:p>
    <w:p w14:paraId="6FBE2FDE" w14:textId="4580BED5" w:rsidR="00BB1F01" w:rsidRPr="00A608EE" w:rsidRDefault="00BB1F0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6E3F49B0" w14:textId="77777777" w:rsidR="00BB1F01" w:rsidRPr="00A608EE" w:rsidRDefault="00BB1F01" w:rsidP="00A27AAA">
      <w:pPr>
        <w:pStyle w:val="NormalWeb"/>
        <w:numPr>
          <w:ilvl w:val="0"/>
          <w:numId w:val="20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is offering (directly or indirectly via partnerships) client-centric training to the majority of its clients for them to overcome skill gaps that prevent them from achieving their goals.</w:t>
      </w:r>
    </w:p>
    <w:p w14:paraId="0CFAD077" w14:textId="77777777" w:rsidR="00BB1F01" w:rsidRPr="00A608EE" w:rsidRDefault="00BB1F01" w:rsidP="00A27AAA">
      <w:pPr>
        <w:pStyle w:val="NormalWeb"/>
        <w:numPr>
          <w:ilvl w:val="0"/>
          <w:numId w:val="20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offering (directly or indirectly via partnerships) client-centric training to less than 20% of its clients for them to overcome skill gaps that prevent them from achieving their goals.</w:t>
      </w:r>
    </w:p>
    <w:p w14:paraId="0D1C0B86" w14:textId="77777777" w:rsidR="00BB1F01" w:rsidRPr="00A608EE" w:rsidRDefault="00BB1F01" w:rsidP="00A27AAA">
      <w:pPr>
        <w:pStyle w:val="NormalWeb"/>
        <w:numPr>
          <w:ilvl w:val="0"/>
          <w:numId w:val="20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is not offering any training to its clients for them to overcome skill gaps that prevent them from achieving their family goals.</w:t>
      </w:r>
    </w:p>
    <w:p w14:paraId="7E4B72BE" w14:textId="77777777" w:rsidR="00BB1F01" w:rsidRPr="00A608EE" w:rsidRDefault="00BB1F01" w:rsidP="00EE208A">
      <w:pPr>
        <w:pStyle w:val="NormalWeb"/>
        <w:spacing w:before="0" w:beforeAutospacing="0" w:after="0" w:afterAutospacing="0"/>
        <w:jc w:val="both"/>
        <w:rPr>
          <w:rFonts w:asciiTheme="majorHAnsi" w:hAnsiTheme="majorHAnsi"/>
          <w:sz w:val="20"/>
          <w:szCs w:val="20"/>
        </w:rPr>
      </w:pPr>
    </w:p>
    <w:p w14:paraId="07F2C031" w14:textId="00455145" w:rsidR="00BB1F01" w:rsidRPr="00A608EE" w:rsidRDefault="00BB1F0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06C3C73C" w14:textId="77777777" w:rsidR="00BB1F01" w:rsidRPr="00A608EE" w:rsidRDefault="00BB1F01" w:rsidP="00A27AAA">
      <w:pPr>
        <w:pStyle w:val="NormalWeb"/>
        <w:numPr>
          <w:ilvl w:val="0"/>
          <w:numId w:val="20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Training manuals</w:t>
      </w:r>
    </w:p>
    <w:p w14:paraId="1FBEFB73" w14:textId="77777777" w:rsidR="00BB1F01" w:rsidRPr="00A608EE" w:rsidRDefault="00BB1F01" w:rsidP="00A27AAA">
      <w:pPr>
        <w:pStyle w:val="NormalWeb"/>
        <w:numPr>
          <w:ilvl w:val="0"/>
          <w:numId w:val="20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Product/training program description</w:t>
      </w:r>
    </w:p>
    <w:p w14:paraId="7CC13C85" w14:textId="77777777" w:rsidR="00BB1F01" w:rsidRPr="00A608EE" w:rsidRDefault="00BB1F01" w:rsidP="00A27AAA">
      <w:pPr>
        <w:pStyle w:val="NormalWeb"/>
        <w:numPr>
          <w:ilvl w:val="0"/>
          <w:numId w:val="20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operations manager, branch managers</w:t>
      </w:r>
    </w:p>
    <w:p w14:paraId="1C3BC10A" w14:textId="77777777" w:rsidR="00BB1F01" w:rsidRPr="00A608EE" w:rsidRDefault="00BB1F01" w:rsidP="00A27AAA">
      <w:pPr>
        <w:pStyle w:val="NormalWeb"/>
        <w:numPr>
          <w:ilvl w:val="0"/>
          <w:numId w:val="20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Client interviews, incl. focus groups (optional)</w:t>
      </w:r>
    </w:p>
    <w:p w14:paraId="0C719D66" w14:textId="77777777" w:rsidR="00BB1F01" w:rsidRPr="00A608EE" w:rsidRDefault="00BB1F01" w:rsidP="00EE208A">
      <w:pPr>
        <w:pStyle w:val="NormalWeb"/>
        <w:spacing w:before="0" w:beforeAutospacing="0" w:after="0" w:afterAutospacing="0"/>
        <w:jc w:val="both"/>
        <w:rPr>
          <w:rFonts w:asciiTheme="majorHAnsi" w:hAnsiTheme="majorHAnsi"/>
          <w:sz w:val="20"/>
          <w:szCs w:val="20"/>
        </w:rPr>
      </w:pPr>
    </w:p>
    <w:p w14:paraId="3B6966E3" w14:textId="2F7DE973" w:rsidR="00BB1F01" w:rsidRPr="00A608EE" w:rsidRDefault="00BB1F0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201243D0" w14:textId="52EEC882" w:rsidR="00910B31" w:rsidRPr="00A608EE" w:rsidRDefault="00BB1F0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training plan of the provider, how the training is delivered (in class-room or digitally), and the number of clients who have access to these trainings.</w:t>
      </w:r>
    </w:p>
    <w:p w14:paraId="6B108C9F" w14:textId="77777777" w:rsidR="008D74A3" w:rsidRPr="00A608EE" w:rsidRDefault="008D74A3" w:rsidP="00EE208A">
      <w:pPr>
        <w:pStyle w:val="NormalWeb"/>
        <w:spacing w:before="0" w:beforeAutospacing="0" w:after="0" w:afterAutospacing="0"/>
        <w:jc w:val="both"/>
        <w:rPr>
          <w:rFonts w:asciiTheme="majorHAnsi" w:hAnsiTheme="majorHAnsi"/>
          <w:sz w:val="20"/>
          <w:szCs w:val="20"/>
        </w:rPr>
      </w:pPr>
    </w:p>
    <w:p w14:paraId="2B8FB412" w14:textId="24C92120" w:rsidR="008D74A3" w:rsidRPr="00A608EE" w:rsidRDefault="008D74A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3.B.5.1</w:t>
      </w:r>
    </w:p>
    <w:p w14:paraId="6B5178BF" w14:textId="66F64989" w:rsidR="00627EB7" w:rsidRPr="00A608EE" w:rsidRDefault="00627EB7" w:rsidP="00A27AAA">
      <w:pPr>
        <w:pStyle w:val="NormalWeb"/>
        <w:numPr>
          <w:ilvl w:val="0"/>
          <w:numId w:val="419"/>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181" w:history="1">
        <w:r w:rsidRPr="00A608EE">
          <w:rPr>
            <w:rStyle w:val="Hyperlink"/>
            <w:rFonts w:asciiTheme="majorHAnsi" w:hAnsiTheme="majorHAnsi"/>
            <w:sz w:val="20"/>
            <w:szCs w:val="20"/>
          </w:rPr>
          <w:t>Chamroeun Microfinance plc and NGO Good Return collaborated to deliver Good Return’s Consumer Awareness and Financial Empowerment (CAFE) coaching program to persons with disabilities in Cambodia, in partnership with OPDs (see case study on page 5 of this manual)</w:t>
        </w:r>
      </w:hyperlink>
    </w:p>
    <w:p w14:paraId="51D98E05" w14:textId="3E7A7ADB" w:rsidR="008D74A3" w:rsidRPr="00A608EE" w:rsidRDefault="00482B99" w:rsidP="00A27AAA">
      <w:pPr>
        <w:pStyle w:val="NormalWeb"/>
        <w:numPr>
          <w:ilvl w:val="0"/>
          <w:numId w:val="419"/>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182" w:history="1">
        <w:r w:rsidR="008D74A3" w:rsidRPr="00A608EE">
          <w:rPr>
            <w:rStyle w:val="Hyperlink"/>
            <w:rFonts w:asciiTheme="majorHAnsi" w:hAnsiTheme="majorHAnsi"/>
            <w:sz w:val="20"/>
            <w:szCs w:val="20"/>
          </w:rPr>
          <w:t>Opportunity International</w:t>
        </w:r>
        <w:r w:rsidRPr="00A608EE">
          <w:rPr>
            <w:rStyle w:val="Hyperlink"/>
            <w:rFonts w:asciiTheme="majorHAnsi" w:hAnsiTheme="majorHAnsi"/>
            <w:sz w:val="20"/>
            <w:szCs w:val="20"/>
          </w:rPr>
          <w:t>’s</w:t>
        </w:r>
        <w:r w:rsidR="008D74A3" w:rsidRPr="00A608EE">
          <w:rPr>
            <w:rStyle w:val="Hyperlink"/>
            <w:rFonts w:asciiTheme="majorHAnsi" w:hAnsiTheme="majorHAnsi"/>
            <w:sz w:val="20"/>
            <w:szCs w:val="20"/>
          </w:rPr>
          <w:t xml:space="preserve"> ‘Inclusive Finance</w:t>
        </w:r>
        <w:r w:rsidRPr="00A608EE">
          <w:rPr>
            <w:rStyle w:val="Hyperlink"/>
            <w:rFonts w:asciiTheme="majorHAnsi" w:hAnsiTheme="majorHAnsi"/>
            <w:sz w:val="20"/>
            <w:szCs w:val="20"/>
          </w:rPr>
          <w:t>:</w:t>
        </w:r>
        <w:r w:rsidR="008D74A3" w:rsidRPr="00A608EE">
          <w:rPr>
            <w:rStyle w:val="Hyperlink"/>
            <w:rFonts w:asciiTheme="majorHAnsi" w:hAnsiTheme="majorHAnsi"/>
            <w:sz w:val="20"/>
            <w:szCs w:val="20"/>
          </w:rPr>
          <w:t xml:space="preserve"> Accessible Training &amp; Meeting</w:t>
        </w:r>
        <w:r w:rsidRPr="00A608EE">
          <w:rPr>
            <w:rStyle w:val="Hyperlink"/>
            <w:rFonts w:asciiTheme="majorHAnsi" w:hAnsiTheme="majorHAnsi"/>
            <w:sz w:val="20"/>
            <w:szCs w:val="20"/>
          </w:rPr>
          <w:t>’</w:t>
        </w:r>
        <w:r w:rsidR="008D74A3" w:rsidRPr="00A608EE">
          <w:rPr>
            <w:rStyle w:val="Hyperlink"/>
            <w:rFonts w:asciiTheme="majorHAnsi" w:hAnsiTheme="majorHAnsi"/>
            <w:sz w:val="20"/>
            <w:szCs w:val="20"/>
          </w:rPr>
          <w:t xml:space="preserve"> </w:t>
        </w:r>
        <w:r w:rsidRPr="00A608EE">
          <w:rPr>
            <w:rStyle w:val="Hyperlink"/>
            <w:rFonts w:asciiTheme="majorHAnsi" w:hAnsiTheme="majorHAnsi"/>
            <w:sz w:val="20"/>
            <w:szCs w:val="20"/>
          </w:rPr>
          <w:t>c</w:t>
        </w:r>
        <w:r w:rsidR="008D74A3" w:rsidRPr="00A608EE">
          <w:rPr>
            <w:rStyle w:val="Hyperlink"/>
            <w:rFonts w:asciiTheme="majorHAnsi" w:hAnsiTheme="majorHAnsi"/>
            <w:sz w:val="20"/>
            <w:szCs w:val="20"/>
          </w:rPr>
          <w:t xml:space="preserve">heat </w:t>
        </w:r>
        <w:r w:rsidRPr="00A608EE">
          <w:rPr>
            <w:rStyle w:val="Hyperlink"/>
            <w:rFonts w:asciiTheme="majorHAnsi" w:hAnsiTheme="majorHAnsi"/>
            <w:sz w:val="20"/>
            <w:szCs w:val="20"/>
          </w:rPr>
          <w:t>s</w:t>
        </w:r>
        <w:r w:rsidR="008D74A3" w:rsidRPr="00A608EE">
          <w:rPr>
            <w:rStyle w:val="Hyperlink"/>
            <w:rFonts w:asciiTheme="majorHAnsi" w:hAnsiTheme="majorHAnsi"/>
            <w:sz w:val="20"/>
            <w:szCs w:val="20"/>
          </w:rPr>
          <w:t>heet’ provides summary guidance for accessible in-person or virtual trainings and meetings</w:t>
        </w:r>
      </w:hyperlink>
    </w:p>
    <w:p w14:paraId="0472AD1D" w14:textId="77777777" w:rsidR="008D74A3" w:rsidRPr="00A608EE" w:rsidRDefault="008D74A3" w:rsidP="00EE208A">
      <w:pPr>
        <w:pStyle w:val="NormalWeb"/>
        <w:spacing w:before="0" w:beforeAutospacing="0" w:after="0" w:afterAutospacing="0"/>
        <w:jc w:val="both"/>
        <w:rPr>
          <w:rFonts w:asciiTheme="majorHAnsi" w:hAnsiTheme="majorHAnsi"/>
          <w:sz w:val="20"/>
          <w:szCs w:val="20"/>
        </w:rPr>
      </w:pPr>
    </w:p>
    <w:p w14:paraId="39CD5057" w14:textId="77777777" w:rsidR="00F303C7" w:rsidRPr="00A608EE" w:rsidRDefault="00F303C7" w:rsidP="00EE208A">
      <w:pPr>
        <w:pStyle w:val="NormalWeb"/>
        <w:spacing w:before="0" w:beforeAutospacing="0" w:after="0" w:afterAutospacing="0"/>
        <w:jc w:val="both"/>
        <w:rPr>
          <w:rFonts w:asciiTheme="majorHAnsi" w:hAnsiTheme="majorHAnsi"/>
          <w:sz w:val="20"/>
          <w:szCs w:val="20"/>
        </w:rPr>
      </w:pPr>
    </w:p>
    <w:p w14:paraId="78BA4DBC" w14:textId="6C21695B" w:rsidR="00D04A17" w:rsidRPr="00A608EE" w:rsidRDefault="00D04A17" w:rsidP="00EE208A">
      <w:pPr>
        <w:pStyle w:val="Heading4"/>
        <w:spacing w:before="0" w:line="240" w:lineRule="auto"/>
        <w:jc w:val="both"/>
      </w:pPr>
      <w:r w:rsidRPr="00A608EE">
        <w:rPr>
          <w:rStyle w:val="text-primary"/>
        </w:rPr>
        <w:lastRenderedPageBreak/>
        <w:t>3.B.5.2</w:t>
      </w:r>
      <w:r w:rsidRPr="00A608EE">
        <w:t xml:space="preserve"> </w:t>
      </w:r>
      <w:r w:rsidR="00BB1F01" w:rsidRPr="00A608EE">
        <w:t>The provider offers products/services that enable clients to invest in economic opportunities such as business loans for start-up, working capital, and investment.</w:t>
      </w:r>
    </w:p>
    <w:p w14:paraId="58675FEE" w14:textId="77777777" w:rsidR="003E346F" w:rsidRPr="00A608EE" w:rsidRDefault="003E346F" w:rsidP="00EE208A">
      <w:pPr>
        <w:jc w:val="both"/>
        <w:rPr>
          <w:rFonts w:asciiTheme="majorHAnsi" w:hAnsiTheme="majorHAnsi"/>
          <w:szCs w:val="20"/>
        </w:rPr>
      </w:pPr>
    </w:p>
    <w:p w14:paraId="65229648" w14:textId="5A2293AD" w:rsidR="008877EC" w:rsidRPr="00A608EE" w:rsidRDefault="004921CE" w:rsidP="00EE208A">
      <w:pPr>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w:t>
      </w:r>
      <w:r w:rsidR="00BB1F01" w:rsidRPr="00A608EE">
        <w:rPr>
          <w:rFonts w:asciiTheme="majorHAnsi" w:hAnsiTheme="majorHAnsi"/>
          <w:b/>
          <w:bCs/>
          <w:color w:val="2145CC" w:themeColor="accent5" w:themeShade="BF"/>
          <w:sz w:val="20"/>
          <w:szCs w:val="20"/>
        </w:rPr>
        <w:t>Indicator in</w:t>
      </w:r>
      <w:r w:rsidR="008877EC" w:rsidRPr="00A608EE">
        <w:rPr>
          <w:rFonts w:asciiTheme="majorHAnsi" w:hAnsiTheme="majorHAnsi"/>
          <w:b/>
          <w:bCs/>
          <w:color w:val="2145CC" w:themeColor="accent5" w:themeShade="BF"/>
          <w:sz w:val="20"/>
          <w:szCs w:val="20"/>
        </w:rPr>
        <w:t xml:space="preserve"> SPI5 Entry</w:t>
      </w:r>
      <w:r w:rsidR="00615EE5" w:rsidRPr="00A608EE">
        <w:rPr>
          <w:rFonts w:asciiTheme="majorHAnsi" w:hAnsiTheme="majorHAnsi"/>
          <w:b/>
          <w:bCs/>
          <w:color w:val="2145CC" w:themeColor="accent5" w:themeShade="BF"/>
          <w:sz w:val="20"/>
          <w:szCs w:val="20"/>
        </w:rPr>
        <w:t xml:space="preserve"> | </w:t>
      </w:r>
      <w:r w:rsidR="008877EC"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6464763E" w14:textId="5EA987DC" w:rsidR="00771594" w:rsidRPr="00A608EE" w:rsidRDefault="00A02E2F" w:rsidP="009651BC">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r w:rsidR="00771594" w:rsidRPr="00A608EE">
        <w:rPr>
          <w:rFonts w:asciiTheme="majorHAnsi" w:hAnsiTheme="majorHAnsi"/>
          <w:sz w:val="20"/>
          <w:szCs w:val="20"/>
        </w:rPr>
        <w:t>A wide range of well-adapted products can translate into a wide range of possibilities for clients to seize economic opportunities.</w:t>
      </w:r>
    </w:p>
    <w:p w14:paraId="0ADCDF60" w14:textId="4A891119" w:rsidR="00672763" w:rsidRPr="00A608EE" w:rsidRDefault="00672763" w:rsidP="009651BC">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noProof/>
          <w:sz w:val="20"/>
          <w:szCs w:val="20"/>
        </w:rPr>
        <w:drawing>
          <wp:anchor distT="0" distB="0" distL="114300" distR="114300" simplePos="0" relativeHeight="251848704" behindDoc="1" locked="0" layoutInCell="1" allowOverlap="1" wp14:anchorId="3FFFF988" wp14:editId="6B5E767A">
            <wp:simplePos x="0" y="0"/>
            <wp:positionH relativeFrom="column">
              <wp:posOffset>-17145</wp:posOffset>
            </wp:positionH>
            <wp:positionV relativeFrom="paragraph">
              <wp:posOffset>189865</wp:posOffset>
            </wp:positionV>
            <wp:extent cx="252000" cy="252000"/>
            <wp:effectExtent l="0" t="0" r="0" b="0"/>
            <wp:wrapTight wrapText="bothSides">
              <wp:wrapPolygon edited="0">
                <wp:start x="0" y="0"/>
                <wp:lineTo x="0" y="18813"/>
                <wp:lineTo x="18813" y="18813"/>
                <wp:lineTo x="18813" y="0"/>
                <wp:lineTo x="0" y="0"/>
              </wp:wrapPolygon>
            </wp:wrapTight>
            <wp:docPr id="96933651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065D2FD0" w14:textId="5A1AA06B"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73FB2F94" w14:textId="77777777" w:rsidR="00672763" w:rsidRPr="00A608EE" w:rsidRDefault="00672763" w:rsidP="009651BC">
      <w:pPr>
        <w:pStyle w:val="paragraph"/>
        <w:spacing w:before="120" w:beforeAutospacing="0" w:after="120" w:afterAutospacing="0"/>
        <w:jc w:val="both"/>
        <w:textAlignment w:val="baseline"/>
        <w:rPr>
          <w:rFonts w:asciiTheme="majorHAnsi" w:hAnsiTheme="majorHAnsi"/>
          <w:sz w:val="20"/>
          <w:szCs w:val="20"/>
        </w:rPr>
      </w:pPr>
    </w:p>
    <w:p w14:paraId="4183BF5A" w14:textId="220A29CC" w:rsidR="00A02E2F" w:rsidRPr="00A608EE" w:rsidRDefault="00FC6779" w:rsidP="00A02E2F">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A02E2F" w:rsidRPr="00A608EE">
        <w:rPr>
          <w:rFonts w:asciiTheme="majorHAnsi" w:hAnsiTheme="majorHAnsi"/>
          <w:sz w:val="20"/>
          <w:szCs w:val="20"/>
        </w:rPr>
        <w:t>The provider offers products/services such as business loans for start-up, working capital, and investment. that enable clients to invest in economic opportunities, that are:</w:t>
      </w:r>
    </w:p>
    <w:p w14:paraId="0DB19F2E" w14:textId="79CCA1DC" w:rsidR="00A02E2F" w:rsidRPr="00A608EE" w:rsidRDefault="00FB7DAC" w:rsidP="00A27AAA">
      <w:pPr>
        <w:pStyle w:val="NormalWeb"/>
        <w:numPr>
          <w:ilvl w:val="0"/>
          <w:numId w:val="394"/>
        </w:numPr>
        <w:spacing w:before="0" w:beforeAutospacing="0" w:after="0" w:afterAutospacing="0"/>
        <w:ind w:left="360"/>
        <w:jc w:val="both"/>
        <w:rPr>
          <w:rFonts w:asciiTheme="majorHAnsi" w:hAnsiTheme="majorHAnsi"/>
          <w:sz w:val="20"/>
          <w:szCs w:val="20"/>
        </w:rPr>
      </w:pPr>
      <w:r w:rsidRPr="00A608EE">
        <w:rPr>
          <w:rFonts w:asciiTheme="majorHAnsi" w:hAnsiTheme="majorHAnsi"/>
          <w:sz w:val="20"/>
          <w:szCs w:val="20"/>
        </w:rPr>
        <w:t>A</w:t>
      </w:r>
      <w:r w:rsidR="00A02E2F" w:rsidRPr="00A608EE">
        <w:rPr>
          <w:rFonts w:asciiTheme="majorHAnsi" w:hAnsiTheme="majorHAnsi"/>
          <w:sz w:val="20"/>
          <w:szCs w:val="20"/>
        </w:rPr>
        <w:t>ccessible and available to persons with disabilities on an equal basis with others;</w:t>
      </w:r>
    </w:p>
    <w:p w14:paraId="0F808A40" w14:textId="03BB30AB" w:rsidR="00A02E2F" w:rsidRPr="00A608EE" w:rsidRDefault="00FB7DAC" w:rsidP="00A27AAA">
      <w:pPr>
        <w:pStyle w:val="NormalWeb"/>
        <w:numPr>
          <w:ilvl w:val="0"/>
          <w:numId w:val="393"/>
        </w:numPr>
        <w:spacing w:before="0" w:beforeAutospacing="0" w:after="0" w:afterAutospacing="0"/>
        <w:ind w:left="360"/>
        <w:jc w:val="both"/>
        <w:rPr>
          <w:rFonts w:asciiTheme="majorHAnsi" w:hAnsiTheme="majorHAnsi"/>
          <w:sz w:val="20"/>
          <w:szCs w:val="20"/>
        </w:rPr>
      </w:pPr>
      <w:r w:rsidRPr="00A608EE">
        <w:rPr>
          <w:rFonts w:asciiTheme="majorHAnsi" w:hAnsiTheme="majorHAnsi"/>
          <w:sz w:val="20"/>
          <w:szCs w:val="20"/>
        </w:rPr>
        <w:t>D</w:t>
      </w:r>
      <w:r w:rsidR="00A02E2F" w:rsidRPr="00A608EE">
        <w:rPr>
          <w:rFonts w:asciiTheme="majorHAnsi" w:hAnsiTheme="majorHAnsi"/>
          <w:sz w:val="20"/>
          <w:szCs w:val="20"/>
        </w:rPr>
        <w:t xml:space="preserve">o not exclude or discriminate against persons with disabilities; and </w:t>
      </w:r>
    </w:p>
    <w:p w14:paraId="1A068103" w14:textId="3F46C685" w:rsidR="00A02E2F" w:rsidRPr="00A608EE" w:rsidRDefault="00FB7DAC" w:rsidP="00A27AAA">
      <w:pPr>
        <w:pStyle w:val="NormalWeb"/>
        <w:numPr>
          <w:ilvl w:val="0"/>
          <w:numId w:val="393"/>
        </w:numPr>
        <w:spacing w:before="0" w:beforeAutospacing="0" w:after="0" w:afterAutospacing="0"/>
        <w:ind w:left="360"/>
        <w:jc w:val="both"/>
        <w:rPr>
          <w:rFonts w:asciiTheme="majorHAnsi" w:hAnsiTheme="majorHAnsi"/>
          <w:sz w:val="20"/>
          <w:szCs w:val="20"/>
        </w:rPr>
      </w:pPr>
      <w:r w:rsidRPr="00A608EE">
        <w:rPr>
          <w:rFonts w:asciiTheme="majorHAnsi" w:hAnsiTheme="majorHAnsi"/>
          <w:sz w:val="20"/>
          <w:szCs w:val="20"/>
        </w:rPr>
        <w:t>A</w:t>
      </w:r>
      <w:r w:rsidR="00A02E2F" w:rsidRPr="00A608EE">
        <w:rPr>
          <w:rFonts w:asciiTheme="majorHAnsi" w:hAnsiTheme="majorHAnsi"/>
          <w:sz w:val="20"/>
          <w:szCs w:val="20"/>
        </w:rPr>
        <w:t>re responsive to their needs.</w:t>
      </w:r>
    </w:p>
    <w:p w14:paraId="5E9246FC" w14:textId="77777777" w:rsidR="00A02E2F" w:rsidRPr="00A608EE" w:rsidRDefault="00A02E2F" w:rsidP="00A02E2F">
      <w:pPr>
        <w:pStyle w:val="NormalWeb"/>
        <w:spacing w:before="0" w:beforeAutospacing="0" w:after="0" w:afterAutospacing="0"/>
        <w:jc w:val="both"/>
        <w:rPr>
          <w:rFonts w:asciiTheme="majorHAnsi" w:hAnsiTheme="majorHAnsi"/>
          <w:sz w:val="20"/>
          <w:szCs w:val="20"/>
        </w:rPr>
      </w:pPr>
    </w:p>
    <w:p w14:paraId="515EF478" w14:textId="59406E73" w:rsidR="00771594" w:rsidRPr="00A608EE" w:rsidRDefault="00A02E2F" w:rsidP="00EE208A">
      <w:pPr>
        <w:pStyle w:val="NormalWeb"/>
        <w:spacing w:before="0" w:beforeAutospacing="0" w:after="0" w:afterAutospacing="0"/>
        <w:jc w:val="both"/>
        <w:rPr>
          <w:rFonts w:asciiTheme="majorHAnsi" w:hAnsiTheme="majorHAnsi"/>
          <w:sz w:val="20"/>
          <w:szCs w:val="20"/>
        </w:rPr>
      </w:pPr>
      <w:r w:rsidRPr="00A608EE">
        <w:rPr>
          <w:noProof/>
        </w:rPr>
        <mc:AlternateContent>
          <mc:Choice Requires="wps">
            <w:drawing>
              <wp:anchor distT="0" distB="0" distL="114300" distR="114300" simplePos="0" relativeHeight="251700224" behindDoc="0" locked="0" layoutInCell="1" allowOverlap="1" wp14:anchorId="17DA17FB" wp14:editId="24D6C8BC">
                <wp:simplePos x="0" y="0"/>
                <wp:positionH relativeFrom="column">
                  <wp:posOffset>0</wp:posOffset>
                </wp:positionH>
                <wp:positionV relativeFrom="paragraph">
                  <wp:posOffset>0</wp:posOffset>
                </wp:positionV>
                <wp:extent cx="1828800" cy="1828800"/>
                <wp:effectExtent l="0" t="0" r="0" b="0"/>
                <wp:wrapSquare wrapText="bothSides"/>
                <wp:docPr id="1088268372"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7DD4FD44" w14:textId="5F3C5864" w:rsidR="00A02E2F" w:rsidRPr="00820B09" w:rsidRDefault="00EB123D" w:rsidP="00A02E2F">
                            <w:pPr>
                              <w:pStyle w:val="NormalWeb"/>
                              <w:spacing w:after="0"/>
                              <w:jc w:val="both"/>
                              <w:rPr>
                                <w:rFonts w:asciiTheme="majorHAnsi" w:hAnsiTheme="majorHAnsi"/>
                                <w:b/>
                                <w:bCs/>
                                <w:sz w:val="20"/>
                                <w:szCs w:val="20"/>
                              </w:rPr>
                            </w:pPr>
                            <w:r w:rsidRPr="00820B09">
                              <w:t xml:space="preserve"> </w:t>
                            </w:r>
                            <w:r w:rsidRPr="00820B09">
                              <w:rPr>
                                <w:rFonts w:asciiTheme="majorHAnsi" w:hAnsiTheme="majorHAnsi"/>
                                <w:b/>
                                <w:bCs/>
                                <w:sz w:val="20"/>
                                <w:szCs w:val="20"/>
                              </w:rPr>
                              <w:t>Disability Inclusion - Info Box</w:t>
                            </w:r>
                            <w:r w:rsidR="0084416A" w:rsidRPr="00820B09">
                              <w:rPr>
                                <w:rFonts w:asciiTheme="majorHAnsi" w:hAnsiTheme="majorHAnsi"/>
                                <w:b/>
                                <w:bCs/>
                                <w:sz w:val="20"/>
                                <w:szCs w:val="20"/>
                              </w:rPr>
                              <w:t xml:space="preserve"> </w:t>
                            </w:r>
                            <w:r w:rsidR="00A02E2F" w:rsidRPr="00820B09">
                              <w:rPr>
                                <w:rFonts w:asciiTheme="majorHAnsi" w:hAnsiTheme="majorHAnsi"/>
                                <w:b/>
                                <w:bCs/>
                                <w:sz w:val="20"/>
                                <w:szCs w:val="20"/>
                              </w:rPr>
                              <w:t>3.B.5.2</w:t>
                            </w:r>
                          </w:p>
                          <w:p w14:paraId="33C233F4" w14:textId="2917E9D1" w:rsidR="00A02E2F" w:rsidRPr="00820B09" w:rsidRDefault="00A02E2F" w:rsidP="00A02E2F">
                            <w:pPr>
                              <w:pStyle w:val="NormalWeb"/>
                              <w:spacing w:after="0"/>
                              <w:jc w:val="both"/>
                              <w:rPr>
                                <w:rFonts w:asciiTheme="majorHAnsi" w:hAnsiTheme="majorHAnsi"/>
                                <w:sz w:val="20"/>
                                <w:szCs w:val="20"/>
                              </w:rPr>
                            </w:pPr>
                            <w:r w:rsidRPr="00820B09">
                              <w:rPr>
                                <w:rFonts w:asciiTheme="majorHAnsi" w:hAnsiTheme="majorHAnsi"/>
                                <w:sz w:val="20"/>
                                <w:szCs w:val="20"/>
                              </w:rPr>
                              <w:t xml:space="preserve">The provider's products and services </w:t>
                            </w:r>
                            <w:r w:rsidR="009E3DA1" w:rsidRPr="00820B09">
                              <w:rPr>
                                <w:rFonts w:asciiTheme="majorHAnsi" w:hAnsiTheme="majorHAnsi"/>
                                <w:sz w:val="20"/>
                                <w:szCs w:val="20"/>
                              </w:rPr>
                              <w:t>should</w:t>
                            </w:r>
                            <w:r w:rsidRPr="00820B09">
                              <w:rPr>
                                <w:rFonts w:asciiTheme="majorHAnsi" w:hAnsiTheme="majorHAnsi"/>
                                <w:sz w:val="20"/>
                                <w:szCs w:val="20"/>
                              </w:rPr>
                              <w:t xml:space="preserve"> not have eligibility criteria that directly or indirectly discriminate against or exclude persons with disabilities.</w:t>
                            </w:r>
                            <w:r w:rsidR="009E3DA1" w:rsidRPr="00820B09">
                              <w:rPr>
                                <w:rFonts w:asciiTheme="majorHAnsi" w:hAnsiTheme="majorHAnsi"/>
                                <w:sz w:val="20"/>
                                <w:szCs w:val="20"/>
                              </w:rPr>
                              <w:t xml:space="preserve"> </w:t>
                            </w:r>
                            <w:r w:rsidR="009E3DA1" w:rsidRPr="00820B09">
                              <w:rPr>
                                <w:rFonts w:asciiTheme="majorHAnsi" w:hAnsiTheme="majorHAnsi"/>
                                <w:sz w:val="20"/>
                                <w:szCs w:val="15"/>
                              </w:rPr>
                              <w:t>Direct discrimination includes criteria that exclude persons from holding products or services, or requires them to appoint a third party in order to access or use their accounts, on the basis of their disability or a medical diagnosis.</w:t>
                            </w:r>
                          </w:p>
                          <w:p w14:paraId="1F9DDE3D" w14:textId="6F267542" w:rsidR="00933F0D" w:rsidRPr="00820B09" w:rsidRDefault="009E3DA1" w:rsidP="00661760">
                            <w:pPr>
                              <w:pStyle w:val="NormalWeb"/>
                              <w:jc w:val="both"/>
                              <w:rPr>
                                <w:rFonts w:asciiTheme="majorHAnsi" w:hAnsiTheme="majorHAnsi"/>
                                <w:sz w:val="20"/>
                                <w:szCs w:val="20"/>
                              </w:rPr>
                            </w:pPr>
                            <w:r w:rsidRPr="00820B09">
                              <w:rPr>
                                <w:rFonts w:asciiTheme="majorHAnsi" w:hAnsiTheme="majorHAnsi"/>
                                <w:sz w:val="20"/>
                                <w:szCs w:val="20"/>
                              </w:rPr>
                              <w:t xml:space="preserve">Persons with disabilities face barriers to accessing formal employment, and are more likely to turn to self-employment or entrepreneurship </w:t>
                            </w:r>
                            <w:r w:rsidR="00933F0D" w:rsidRPr="00820B09">
                              <w:rPr>
                                <w:rFonts w:asciiTheme="majorHAnsi" w:hAnsiTheme="majorHAnsi"/>
                                <w:sz w:val="20"/>
                                <w:szCs w:val="20"/>
                              </w:rPr>
                              <w:t>for income generation</w:t>
                            </w:r>
                            <w:r w:rsidRPr="00820B09">
                              <w:rPr>
                                <w:rFonts w:asciiTheme="majorHAnsi" w:hAnsiTheme="majorHAnsi"/>
                                <w:sz w:val="20"/>
                                <w:szCs w:val="20"/>
                              </w:rPr>
                              <w:t>. However,</w:t>
                            </w:r>
                            <w:r w:rsidR="00933F0D" w:rsidRPr="00820B09">
                              <w:rPr>
                                <w:rFonts w:asciiTheme="majorHAnsi" w:hAnsiTheme="majorHAnsi"/>
                                <w:sz w:val="20"/>
                                <w:szCs w:val="20"/>
                              </w:rPr>
                              <w:t xml:space="preserve"> they face barriers to accessing business loans and other financial products to enable them to invest in and grow their businesses.</w:t>
                            </w:r>
                            <w:r w:rsidR="00972C9C" w:rsidRPr="00820B09">
                              <w:rPr>
                                <w:rFonts w:asciiTheme="majorHAnsi" w:hAnsiTheme="majorHAnsi"/>
                                <w:sz w:val="20"/>
                                <w:szCs w:val="20"/>
                              </w:rPr>
                              <w:t xml:space="preserve"> These include </w:t>
                            </w:r>
                            <w:r w:rsidR="00F4017B" w:rsidRPr="00820B09">
                              <w:rPr>
                                <w:rFonts w:asciiTheme="majorHAnsi" w:hAnsiTheme="majorHAnsi"/>
                                <w:sz w:val="20"/>
                                <w:szCs w:val="20"/>
                              </w:rPr>
                              <w:t>affordability barriers, lack of collateral,</w:t>
                            </w:r>
                            <w:r w:rsidR="00A5227F" w:rsidRPr="00820B09">
                              <w:rPr>
                                <w:rFonts w:asciiTheme="majorHAnsi" w:hAnsiTheme="majorHAnsi"/>
                                <w:sz w:val="20"/>
                                <w:szCs w:val="20"/>
                              </w:rPr>
                              <w:t xml:space="preserve"> lack of ID documents or proof o</w:t>
                            </w:r>
                            <w:r w:rsidR="007D5E7F" w:rsidRPr="00820B09">
                              <w:rPr>
                                <w:rFonts w:asciiTheme="majorHAnsi" w:hAnsiTheme="majorHAnsi"/>
                                <w:sz w:val="20"/>
                                <w:szCs w:val="20"/>
                              </w:rPr>
                              <w:t>f</w:t>
                            </w:r>
                            <w:r w:rsidR="00A5227F" w:rsidRPr="00820B09">
                              <w:rPr>
                                <w:rFonts w:asciiTheme="majorHAnsi" w:hAnsiTheme="majorHAnsi"/>
                                <w:sz w:val="20"/>
                                <w:szCs w:val="20"/>
                              </w:rPr>
                              <w:t xml:space="preserve"> income,</w:t>
                            </w:r>
                            <w:r w:rsidR="00F4017B" w:rsidRPr="00820B09">
                              <w:rPr>
                                <w:rFonts w:asciiTheme="majorHAnsi" w:hAnsiTheme="majorHAnsi"/>
                                <w:sz w:val="20"/>
                                <w:szCs w:val="20"/>
                              </w:rPr>
                              <w:t xml:space="preserve"> </w:t>
                            </w:r>
                            <w:r w:rsidR="00A5227F" w:rsidRPr="00820B09">
                              <w:rPr>
                                <w:rFonts w:asciiTheme="majorHAnsi" w:hAnsiTheme="majorHAnsi"/>
                                <w:sz w:val="20"/>
                                <w:szCs w:val="20"/>
                              </w:rPr>
                              <w:t>inflexible payment schedules, and complex and inaccessible product documents</w:t>
                            </w:r>
                            <w:r w:rsidR="007D5E7F" w:rsidRPr="00820B09">
                              <w:rPr>
                                <w:rFonts w:asciiTheme="majorHAnsi" w:hAnsiTheme="majorHAnsi"/>
                                <w:sz w:val="20"/>
                                <w:szCs w:val="20"/>
                              </w:rPr>
                              <w:t xml:space="preserve">, </w:t>
                            </w:r>
                            <w:r w:rsidR="003D2F8F" w:rsidRPr="00820B09">
                              <w:rPr>
                                <w:rFonts w:asciiTheme="majorHAnsi" w:hAnsiTheme="majorHAnsi"/>
                                <w:sz w:val="20"/>
                                <w:szCs w:val="20"/>
                              </w:rPr>
                              <w:t>and staff bias</w:t>
                            </w:r>
                            <w:r w:rsidR="007D5E7F" w:rsidRPr="00820B09">
                              <w:rPr>
                                <w:rFonts w:asciiTheme="majorHAnsi" w:hAnsiTheme="majorHAnsi"/>
                                <w:sz w:val="20"/>
                                <w:szCs w:val="20"/>
                              </w:rPr>
                              <w:t>, as well as low levels of financial literacy</w:t>
                            </w:r>
                            <w:r w:rsidR="00A5227F" w:rsidRPr="00820B09">
                              <w:rPr>
                                <w:rFonts w:asciiTheme="majorHAnsi" w:hAnsiTheme="majorHAnsi"/>
                                <w:sz w:val="20"/>
                                <w:szCs w:val="20"/>
                              </w:rPr>
                              <w:t>.</w:t>
                            </w:r>
                          </w:p>
                          <w:p w14:paraId="0F2B13F7" w14:textId="3D815121" w:rsidR="003D2F8F" w:rsidRPr="00820B09" w:rsidRDefault="007D5E7F" w:rsidP="000F3547">
                            <w:pPr>
                              <w:pStyle w:val="NormalWeb"/>
                              <w:jc w:val="both"/>
                              <w:rPr>
                                <w:rFonts w:asciiTheme="majorHAnsi" w:hAnsiTheme="majorHAnsi"/>
                                <w:sz w:val="20"/>
                                <w:szCs w:val="20"/>
                              </w:rPr>
                            </w:pPr>
                            <w:r w:rsidRPr="00820B09">
                              <w:rPr>
                                <w:rFonts w:asciiTheme="majorHAnsi" w:hAnsiTheme="majorHAnsi"/>
                                <w:sz w:val="20"/>
                                <w:szCs w:val="20"/>
                              </w:rPr>
                              <w:t>Providers can</w:t>
                            </w:r>
                            <w:r w:rsidR="003D2F8F" w:rsidRPr="00820B09">
                              <w:rPr>
                                <w:rFonts w:asciiTheme="majorHAnsi" w:hAnsiTheme="majorHAnsi"/>
                                <w:sz w:val="20"/>
                                <w:szCs w:val="20"/>
                              </w:rPr>
                              <w:t xml:space="preserve"> develop </w:t>
                            </w:r>
                            <w:r w:rsidRPr="00820B09">
                              <w:rPr>
                                <w:rFonts w:asciiTheme="majorHAnsi" w:hAnsiTheme="majorHAnsi"/>
                                <w:sz w:val="20"/>
                                <w:szCs w:val="20"/>
                              </w:rPr>
                              <w:t xml:space="preserve">holistic </w:t>
                            </w:r>
                            <w:r w:rsidR="003D2F8F" w:rsidRPr="00820B09">
                              <w:rPr>
                                <w:rFonts w:asciiTheme="majorHAnsi" w:hAnsiTheme="majorHAnsi"/>
                                <w:sz w:val="20"/>
                                <w:szCs w:val="20"/>
                              </w:rPr>
                              <w:t xml:space="preserve">product and service offerings </w:t>
                            </w:r>
                            <w:r w:rsidRPr="00820B09">
                              <w:rPr>
                                <w:rFonts w:asciiTheme="majorHAnsi" w:hAnsiTheme="majorHAnsi"/>
                                <w:sz w:val="20"/>
                                <w:szCs w:val="20"/>
                              </w:rPr>
                              <w:t xml:space="preserve">to address these barriers and support persons with disabilities to achieve sustainable livelihoods. For example, Chamroeun Microfinance plc in Cambodia partnered with NGO Good Return and four </w:t>
                            </w:r>
                            <w:r w:rsidR="00FE5465" w:rsidRPr="00820B09">
                              <w:rPr>
                                <w:rFonts w:asciiTheme="majorHAnsi" w:hAnsiTheme="majorHAnsi"/>
                                <w:sz w:val="20"/>
                                <w:szCs w:val="20"/>
                              </w:rPr>
                              <w:t>organizations of persons with disabilities (</w:t>
                            </w:r>
                            <w:r w:rsidRPr="00820B09">
                              <w:rPr>
                                <w:rFonts w:asciiTheme="majorHAnsi" w:hAnsiTheme="majorHAnsi"/>
                                <w:sz w:val="20"/>
                                <w:szCs w:val="20"/>
                              </w:rPr>
                              <w:t>OPDs</w:t>
                            </w:r>
                            <w:r w:rsidR="00FE5465" w:rsidRPr="00820B09">
                              <w:rPr>
                                <w:rFonts w:asciiTheme="majorHAnsi" w:hAnsiTheme="majorHAnsi"/>
                                <w:sz w:val="20"/>
                                <w:szCs w:val="20"/>
                              </w:rPr>
                              <w:t>)</w:t>
                            </w:r>
                            <w:r w:rsidRPr="00820B09">
                              <w:rPr>
                                <w:rFonts w:asciiTheme="majorHAnsi" w:hAnsiTheme="majorHAnsi"/>
                                <w:sz w:val="20"/>
                                <w:szCs w:val="20"/>
                              </w:rPr>
                              <w:t xml:space="preserve"> to provide an accessible financial literacy program and access to a small business loan for persons with disabilities, with a nominated co-borrower </w:t>
                            </w:r>
                            <w:r w:rsidR="000F3547" w:rsidRPr="00820B09">
                              <w:rPr>
                                <w:rFonts w:asciiTheme="majorHAnsi" w:hAnsiTheme="majorHAnsi"/>
                                <w:sz w:val="20"/>
                                <w:szCs w:val="20"/>
                              </w:rPr>
                              <w:t xml:space="preserve">as an alternative to </w:t>
                            </w:r>
                            <w:r w:rsidRPr="00820B09">
                              <w:rPr>
                                <w:rFonts w:asciiTheme="majorHAnsi" w:hAnsiTheme="majorHAnsi"/>
                                <w:sz w:val="20"/>
                                <w:szCs w:val="20"/>
                              </w:rPr>
                              <w:t>collateral, a discounted on interest rate for the first loan cycle as an entry point</w:t>
                            </w:r>
                            <w:r w:rsidR="003D2F8F" w:rsidRPr="00820B09">
                              <w:rPr>
                                <w:rFonts w:asciiTheme="majorHAnsi" w:hAnsiTheme="majorHAnsi"/>
                                <w:sz w:val="20"/>
                                <w:szCs w:val="20"/>
                              </w:rPr>
                              <w:t>, and accessible servicing options including collecting repayment at the clients’ home</w:t>
                            </w:r>
                            <w:r w:rsidRPr="00820B09">
                              <w:rPr>
                                <w:rFonts w:asciiTheme="majorHAnsi" w:hAnsiTheme="majorHAnsi"/>
                                <w:sz w:val="20"/>
                                <w:szCs w:val="20"/>
                              </w:rPr>
                              <w:t xml:space="preserve">. </w:t>
                            </w:r>
                            <w:r w:rsidR="000F3547" w:rsidRPr="00820B09">
                              <w:rPr>
                                <w:rFonts w:asciiTheme="majorHAnsi" w:hAnsiTheme="majorHAnsi"/>
                                <w:sz w:val="20"/>
                                <w:szCs w:val="20"/>
                              </w:rPr>
                              <w:t>BRAC Myanmar offers a micro-finance loan for persons with disabilities</w:t>
                            </w:r>
                            <w:r w:rsidR="003D2F8F" w:rsidRPr="00820B09">
                              <w:rPr>
                                <w:rFonts w:asciiTheme="majorHAnsi" w:hAnsiTheme="majorHAnsi"/>
                                <w:sz w:val="20"/>
                                <w:szCs w:val="20"/>
                              </w:rPr>
                              <w:t xml:space="preserve"> alongside life-skills and financial training and entrepreneurship support; this </w:t>
                            </w:r>
                            <w:r w:rsidR="000F3547" w:rsidRPr="00820B09">
                              <w:rPr>
                                <w:rFonts w:asciiTheme="majorHAnsi" w:hAnsiTheme="majorHAnsi"/>
                                <w:sz w:val="20"/>
                                <w:szCs w:val="20"/>
                              </w:rPr>
                              <w:t>allows them to use a family-member ID if they don’t possess one</w:t>
                            </w:r>
                            <w:r w:rsidR="003D2F8F" w:rsidRPr="00820B09">
                              <w:rPr>
                                <w:rFonts w:asciiTheme="majorHAnsi" w:hAnsiTheme="majorHAnsi"/>
                                <w:sz w:val="20"/>
                                <w:szCs w:val="20"/>
                              </w:rPr>
                              <w:t xml:space="preserve">, </w:t>
                            </w:r>
                            <w:r w:rsidR="000F3547" w:rsidRPr="00820B09">
                              <w:rPr>
                                <w:rFonts w:asciiTheme="majorHAnsi" w:hAnsiTheme="majorHAnsi"/>
                                <w:sz w:val="20"/>
                                <w:szCs w:val="20"/>
                              </w:rPr>
                              <w:t xml:space="preserve">access collateral-free credit by appointing a co-borrower, and </w:t>
                            </w:r>
                            <w:r w:rsidR="003D2F8F" w:rsidRPr="00820B09">
                              <w:rPr>
                                <w:rFonts w:asciiTheme="majorHAnsi" w:hAnsiTheme="majorHAnsi"/>
                                <w:sz w:val="20"/>
                                <w:szCs w:val="20"/>
                              </w:rPr>
                              <w:t xml:space="preserve">use </w:t>
                            </w:r>
                            <w:r w:rsidR="000F3547" w:rsidRPr="00820B09">
                              <w:rPr>
                                <w:rFonts w:asciiTheme="majorHAnsi" w:hAnsiTheme="majorHAnsi"/>
                                <w:sz w:val="20"/>
                                <w:szCs w:val="20"/>
                              </w:rPr>
                              <w:t>a voucher facility to postpone one loan repayment if they face an emergency issue.</w:t>
                            </w:r>
                            <w:r w:rsidR="003D2F8F" w:rsidRPr="00820B09">
                              <w:rPr>
                                <w:rFonts w:asciiTheme="majorHAnsi" w:hAnsiTheme="majorHAnsi"/>
                                <w:sz w:val="20"/>
                                <w:szCs w:val="20"/>
                              </w:rPr>
                              <w:t xml:space="preserve"> </w:t>
                            </w:r>
                          </w:p>
                          <w:p w14:paraId="3C4FF647" w14:textId="0B92E3FA" w:rsidR="00A02E2F" w:rsidRPr="00820B09" w:rsidRDefault="003D2F8F" w:rsidP="000F3547">
                            <w:pPr>
                              <w:pStyle w:val="NormalWeb"/>
                              <w:jc w:val="both"/>
                              <w:rPr>
                                <w:rFonts w:asciiTheme="majorHAnsi" w:hAnsiTheme="majorHAnsi"/>
                                <w:sz w:val="20"/>
                                <w:szCs w:val="20"/>
                              </w:rPr>
                            </w:pPr>
                            <w:r w:rsidRPr="00820B09">
                              <w:rPr>
                                <w:rFonts w:asciiTheme="majorHAnsi" w:hAnsiTheme="majorHAnsi"/>
                                <w:sz w:val="20"/>
                                <w:szCs w:val="20"/>
                              </w:rPr>
                              <w:t>In both cases, the providers found clients with disabilities had repayment rates as good or better than clients without disabilities. Providing training on disability inclusion for client-facing staff is important to counter negative stereotypes and misconceptions of persons with disabilities as more ‘risky’ clients, and equip them to communicate product terms and conditions</w:t>
                            </w:r>
                            <w:r w:rsidR="000F3547" w:rsidRPr="00820B09">
                              <w:rPr>
                                <w:rFonts w:asciiTheme="majorHAnsi" w:hAnsiTheme="majorHAnsi"/>
                                <w:sz w:val="20"/>
                                <w:szCs w:val="20"/>
                              </w:rPr>
                              <w:t xml:space="preserve"> </w:t>
                            </w:r>
                            <w:r w:rsidRPr="00820B09">
                              <w:rPr>
                                <w:rFonts w:asciiTheme="majorHAnsi" w:hAnsiTheme="majorHAnsi"/>
                                <w:sz w:val="20"/>
                                <w:szCs w:val="20"/>
                              </w:rPr>
                              <w:t>effectively to clients with disabilities.</w:t>
                            </w:r>
                            <w:r w:rsidR="007D5E7F" w:rsidRPr="00820B09">
                              <w:rPr>
                                <w:rFonts w:asciiTheme="majorHAnsi" w:hAnsiTheme="majorHAnsi"/>
                                <w:sz w:val="20"/>
                                <w:szCs w:val="20"/>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DA17FB" id="_x0000_s1050" type="#_x0000_t202" style="position:absolute;left:0;text-align:left;margin-left:0;margin-top:0;width:2in;height:2in;z-index:2517002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" filled="f" strokeweight=".5pt">
                <v:textbox style="mso-fit-shape-to-text:t">
                  <w:txbxContent>
                    <w:p w14:paraId="7DD4FD44" w14:textId="5F3C5864" w:rsidR="00A02E2F" w:rsidRPr="00820B09" w:rsidRDefault="00EB123D" w:rsidP="00A02E2F">
                      <w:pPr>
                        <w:pStyle w:val="NormalWeb"/>
                        <w:spacing w:after="0"/>
                        <w:jc w:val="both"/>
                        <w:rPr>
                          <w:rFonts w:asciiTheme="majorHAnsi" w:hAnsiTheme="majorHAnsi"/>
                          <w:b/>
                          <w:bCs/>
                          <w:sz w:val="20"/>
                          <w:szCs w:val="20"/>
                        </w:rPr>
                      </w:pPr>
                      <w:r w:rsidRPr="00820B09">
                        <w:t xml:space="preserve"> </w:t>
                      </w:r>
                      <w:r w:rsidRPr="00820B09">
                        <w:rPr>
                          <w:rFonts w:asciiTheme="majorHAnsi" w:hAnsiTheme="majorHAnsi"/>
                          <w:b/>
                          <w:bCs/>
                          <w:sz w:val="20"/>
                          <w:szCs w:val="20"/>
                        </w:rPr>
                        <w:t>Disability Inclusion - Info Box</w:t>
                      </w:r>
                      <w:r w:rsidR="0084416A" w:rsidRPr="00820B09">
                        <w:rPr>
                          <w:rFonts w:asciiTheme="majorHAnsi" w:hAnsiTheme="majorHAnsi"/>
                          <w:b/>
                          <w:bCs/>
                          <w:sz w:val="20"/>
                          <w:szCs w:val="20"/>
                        </w:rPr>
                        <w:t xml:space="preserve"> </w:t>
                      </w:r>
                      <w:r w:rsidR="00A02E2F" w:rsidRPr="00820B09">
                        <w:rPr>
                          <w:rFonts w:asciiTheme="majorHAnsi" w:hAnsiTheme="majorHAnsi"/>
                          <w:b/>
                          <w:bCs/>
                          <w:sz w:val="20"/>
                          <w:szCs w:val="20"/>
                        </w:rPr>
                        <w:t>3.B.5.2</w:t>
                      </w:r>
                    </w:p>
                    <w:p w14:paraId="33C233F4" w14:textId="2917E9D1" w:rsidR="00A02E2F" w:rsidRPr="00820B09" w:rsidRDefault="00A02E2F" w:rsidP="00A02E2F">
                      <w:pPr>
                        <w:pStyle w:val="NormalWeb"/>
                        <w:spacing w:after="0"/>
                        <w:jc w:val="both"/>
                        <w:rPr>
                          <w:rFonts w:asciiTheme="majorHAnsi" w:hAnsiTheme="majorHAnsi"/>
                          <w:sz w:val="20"/>
                          <w:szCs w:val="20"/>
                        </w:rPr>
                      </w:pPr>
                      <w:r w:rsidRPr="00820B09">
                        <w:rPr>
                          <w:rFonts w:asciiTheme="majorHAnsi" w:hAnsiTheme="majorHAnsi"/>
                          <w:sz w:val="20"/>
                          <w:szCs w:val="20"/>
                        </w:rPr>
                        <w:t xml:space="preserve">The provider's products and services </w:t>
                      </w:r>
                      <w:r w:rsidR="009E3DA1" w:rsidRPr="00820B09">
                        <w:rPr>
                          <w:rFonts w:asciiTheme="majorHAnsi" w:hAnsiTheme="majorHAnsi"/>
                          <w:sz w:val="20"/>
                          <w:szCs w:val="20"/>
                        </w:rPr>
                        <w:t>should</w:t>
                      </w:r>
                      <w:r w:rsidRPr="00820B09">
                        <w:rPr>
                          <w:rFonts w:asciiTheme="majorHAnsi" w:hAnsiTheme="majorHAnsi"/>
                          <w:sz w:val="20"/>
                          <w:szCs w:val="20"/>
                        </w:rPr>
                        <w:t xml:space="preserve"> not have eligibility criteria that directly or indirectly discriminate against or exclude persons with disabilities.</w:t>
                      </w:r>
                      <w:r w:rsidR="009E3DA1" w:rsidRPr="00820B09">
                        <w:rPr>
                          <w:rFonts w:asciiTheme="majorHAnsi" w:hAnsiTheme="majorHAnsi"/>
                          <w:sz w:val="20"/>
                          <w:szCs w:val="20"/>
                        </w:rPr>
                        <w:t xml:space="preserve"> </w:t>
                      </w:r>
                      <w:r w:rsidR="009E3DA1" w:rsidRPr="00820B09">
                        <w:rPr>
                          <w:rFonts w:asciiTheme="majorHAnsi" w:hAnsiTheme="majorHAnsi"/>
                          <w:sz w:val="20"/>
                          <w:szCs w:val="15"/>
                        </w:rPr>
                        <w:t>Direct discrimination includes criteria that exclude persons from holding products or services, or requires them to appoint a third party in order to access or use their accounts, on the basis of their disability or a medical diagnosis.</w:t>
                      </w:r>
                    </w:p>
                    <w:p w14:paraId="1F9DDE3D" w14:textId="6F267542" w:rsidR="00933F0D" w:rsidRPr="00820B09" w:rsidRDefault="009E3DA1" w:rsidP="00661760">
                      <w:pPr>
                        <w:pStyle w:val="NormalWeb"/>
                        <w:jc w:val="both"/>
                        <w:rPr>
                          <w:rFonts w:asciiTheme="majorHAnsi" w:hAnsiTheme="majorHAnsi"/>
                          <w:sz w:val="20"/>
                          <w:szCs w:val="20"/>
                        </w:rPr>
                      </w:pPr>
                      <w:r w:rsidRPr="00820B09">
                        <w:rPr>
                          <w:rFonts w:asciiTheme="majorHAnsi" w:hAnsiTheme="majorHAnsi"/>
                          <w:sz w:val="20"/>
                          <w:szCs w:val="20"/>
                        </w:rPr>
                        <w:t xml:space="preserve">Persons with disabilities face barriers to accessing formal employment, and are more likely to turn to self-employment or entrepreneurship </w:t>
                      </w:r>
                      <w:r w:rsidR="00933F0D" w:rsidRPr="00820B09">
                        <w:rPr>
                          <w:rFonts w:asciiTheme="majorHAnsi" w:hAnsiTheme="majorHAnsi"/>
                          <w:sz w:val="20"/>
                          <w:szCs w:val="20"/>
                        </w:rPr>
                        <w:t>for income generation</w:t>
                      </w:r>
                      <w:r w:rsidRPr="00820B09">
                        <w:rPr>
                          <w:rFonts w:asciiTheme="majorHAnsi" w:hAnsiTheme="majorHAnsi"/>
                          <w:sz w:val="20"/>
                          <w:szCs w:val="20"/>
                        </w:rPr>
                        <w:t>. However,</w:t>
                      </w:r>
                      <w:r w:rsidR="00933F0D" w:rsidRPr="00820B09">
                        <w:rPr>
                          <w:rFonts w:asciiTheme="majorHAnsi" w:hAnsiTheme="majorHAnsi"/>
                          <w:sz w:val="20"/>
                          <w:szCs w:val="20"/>
                        </w:rPr>
                        <w:t xml:space="preserve"> they face barriers to accessing business loans and other financial products to enable them to invest in and grow their businesses.</w:t>
                      </w:r>
                      <w:r w:rsidR="00972C9C" w:rsidRPr="00820B09">
                        <w:rPr>
                          <w:rFonts w:asciiTheme="majorHAnsi" w:hAnsiTheme="majorHAnsi"/>
                          <w:sz w:val="20"/>
                          <w:szCs w:val="20"/>
                        </w:rPr>
                        <w:t xml:space="preserve"> These include </w:t>
                      </w:r>
                      <w:r w:rsidR="00F4017B" w:rsidRPr="00820B09">
                        <w:rPr>
                          <w:rFonts w:asciiTheme="majorHAnsi" w:hAnsiTheme="majorHAnsi"/>
                          <w:sz w:val="20"/>
                          <w:szCs w:val="20"/>
                        </w:rPr>
                        <w:t>affordability barriers, lack of collateral,</w:t>
                      </w:r>
                      <w:r w:rsidR="00A5227F" w:rsidRPr="00820B09">
                        <w:rPr>
                          <w:rFonts w:asciiTheme="majorHAnsi" w:hAnsiTheme="majorHAnsi"/>
                          <w:sz w:val="20"/>
                          <w:szCs w:val="20"/>
                        </w:rPr>
                        <w:t xml:space="preserve"> lack of ID documents or proof o</w:t>
                      </w:r>
                      <w:r w:rsidR="007D5E7F" w:rsidRPr="00820B09">
                        <w:rPr>
                          <w:rFonts w:asciiTheme="majorHAnsi" w:hAnsiTheme="majorHAnsi"/>
                          <w:sz w:val="20"/>
                          <w:szCs w:val="20"/>
                        </w:rPr>
                        <w:t>f</w:t>
                      </w:r>
                      <w:r w:rsidR="00A5227F" w:rsidRPr="00820B09">
                        <w:rPr>
                          <w:rFonts w:asciiTheme="majorHAnsi" w:hAnsiTheme="majorHAnsi"/>
                          <w:sz w:val="20"/>
                          <w:szCs w:val="20"/>
                        </w:rPr>
                        <w:t xml:space="preserve"> income,</w:t>
                      </w:r>
                      <w:r w:rsidR="00F4017B" w:rsidRPr="00820B09">
                        <w:rPr>
                          <w:rFonts w:asciiTheme="majorHAnsi" w:hAnsiTheme="majorHAnsi"/>
                          <w:sz w:val="20"/>
                          <w:szCs w:val="20"/>
                        </w:rPr>
                        <w:t xml:space="preserve"> </w:t>
                      </w:r>
                      <w:r w:rsidR="00A5227F" w:rsidRPr="00820B09">
                        <w:rPr>
                          <w:rFonts w:asciiTheme="majorHAnsi" w:hAnsiTheme="majorHAnsi"/>
                          <w:sz w:val="20"/>
                          <w:szCs w:val="20"/>
                        </w:rPr>
                        <w:t>inflexible payment schedules, and complex and inaccessible product documents</w:t>
                      </w:r>
                      <w:r w:rsidR="007D5E7F" w:rsidRPr="00820B09">
                        <w:rPr>
                          <w:rFonts w:asciiTheme="majorHAnsi" w:hAnsiTheme="majorHAnsi"/>
                          <w:sz w:val="20"/>
                          <w:szCs w:val="20"/>
                        </w:rPr>
                        <w:t xml:space="preserve">, </w:t>
                      </w:r>
                      <w:r w:rsidR="003D2F8F" w:rsidRPr="00820B09">
                        <w:rPr>
                          <w:rFonts w:asciiTheme="majorHAnsi" w:hAnsiTheme="majorHAnsi"/>
                          <w:sz w:val="20"/>
                          <w:szCs w:val="20"/>
                        </w:rPr>
                        <w:t>and staff bias</w:t>
                      </w:r>
                      <w:r w:rsidR="007D5E7F" w:rsidRPr="00820B09">
                        <w:rPr>
                          <w:rFonts w:asciiTheme="majorHAnsi" w:hAnsiTheme="majorHAnsi"/>
                          <w:sz w:val="20"/>
                          <w:szCs w:val="20"/>
                        </w:rPr>
                        <w:t>, as well as low levels of financial literacy</w:t>
                      </w:r>
                      <w:r w:rsidR="00A5227F" w:rsidRPr="00820B09">
                        <w:rPr>
                          <w:rFonts w:asciiTheme="majorHAnsi" w:hAnsiTheme="majorHAnsi"/>
                          <w:sz w:val="20"/>
                          <w:szCs w:val="20"/>
                        </w:rPr>
                        <w:t>.</w:t>
                      </w:r>
                    </w:p>
                    <w:p w14:paraId="0F2B13F7" w14:textId="3D815121" w:rsidR="003D2F8F" w:rsidRPr="00820B09" w:rsidRDefault="007D5E7F" w:rsidP="000F3547">
                      <w:pPr>
                        <w:pStyle w:val="NormalWeb"/>
                        <w:jc w:val="both"/>
                        <w:rPr>
                          <w:rFonts w:asciiTheme="majorHAnsi" w:hAnsiTheme="majorHAnsi"/>
                          <w:sz w:val="20"/>
                          <w:szCs w:val="20"/>
                        </w:rPr>
                      </w:pPr>
                      <w:r w:rsidRPr="00820B09">
                        <w:rPr>
                          <w:rFonts w:asciiTheme="majorHAnsi" w:hAnsiTheme="majorHAnsi"/>
                          <w:sz w:val="20"/>
                          <w:szCs w:val="20"/>
                        </w:rPr>
                        <w:t>Providers can</w:t>
                      </w:r>
                      <w:r w:rsidR="003D2F8F" w:rsidRPr="00820B09">
                        <w:rPr>
                          <w:rFonts w:asciiTheme="majorHAnsi" w:hAnsiTheme="majorHAnsi"/>
                          <w:sz w:val="20"/>
                          <w:szCs w:val="20"/>
                        </w:rPr>
                        <w:t xml:space="preserve"> develop </w:t>
                      </w:r>
                      <w:r w:rsidRPr="00820B09">
                        <w:rPr>
                          <w:rFonts w:asciiTheme="majorHAnsi" w:hAnsiTheme="majorHAnsi"/>
                          <w:sz w:val="20"/>
                          <w:szCs w:val="20"/>
                        </w:rPr>
                        <w:t xml:space="preserve">holistic </w:t>
                      </w:r>
                      <w:r w:rsidR="003D2F8F" w:rsidRPr="00820B09">
                        <w:rPr>
                          <w:rFonts w:asciiTheme="majorHAnsi" w:hAnsiTheme="majorHAnsi"/>
                          <w:sz w:val="20"/>
                          <w:szCs w:val="20"/>
                        </w:rPr>
                        <w:t xml:space="preserve">product and service offerings </w:t>
                      </w:r>
                      <w:r w:rsidRPr="00820B09">
                        <w:rPr>
                          <w:rFonts w:asciiTheme="majorHAnsi" w:hAnsiTheme="majorHAnsi"/>
                          <w:sz w:val="20"/>
                          <w:szCs w:val="20"/>
                        </w:rPr>
                        <w:t xml:space="preserve">to address these barriers and support persons with disabilities to achieve sustainable livelihoods. For example, Chamroeun Microfinance plc in Cambodia partnered with NGO Good Return and four </w:t>
                      </w:r>
                      <w:r w:rsidR="00FE5465" w:rsidRPr="00820B09">
                        <w:rPr>
                          <w:rFonts w:asciiTheme="majorHAnsi" w:hAnsiTheme="majorHAnsi"/>
                          <w:sz w:val="20"/>
                          <w:szCs w:val="20"/>
                        </w:rPr>
                        <w:t>organizations of persons with disabilities (</w:t>
                      </w:r>
                      <w:r w:rsidRPr="00820B09">
                        <w:rPr>
                          <w:rFonts w:asciiTheme="majorHAnsi" w:hAnsiTheme="majorHAnsi"/>
                          <w:sz w:val="20"/>
                          <w:szCs w:val="20"/>
                        </w:rPr>
                        <w:t>OPDs</w:t>
                      </w:r>
                      <w:r w:rsidR="00FE5465" w:rsidRPr="00820B09">
                        <w:rPr>
                          <w:rFonts w:asciiTheme="majorHAnsi" w:hAnsiTheme="majorHAnsi"/>
                          <w:sz w:val="20"/>
                          <w:szCs w:val="20"/>
                        </w:rPr>
                        <w:t>)</w:t>
                      </w:r>
                      <w:r w:rsidRPr="00820B09">
                        <w:rPr>
                          <w:rFonts w:asciiTheme="majorHAnsi" w:hAnsiTheme="majorHAnsi"/>
                          <w:sz w:val="20"/>
                          <w:szCs w:val="20"/>
                        </w:rPr>
                        <w:t xml:space="preserve"> to provide an accessible financial literacy program and access to a small business loan for persons with disabilities, with a nominated co-borrower </w:t>
                      </w:r>
                      <w:r w:rsidR="000F3547" w:rsidRPr="00820B09">
                        <w:rPr>
                          <w:rFonts w:asciiTheme="majorHAnsi" w:hAnsiTheme="majorHAnsi"/>
                          <w:sz w:val="20"/>
                          <w:szCs w:val="20"/>
                        </w:rPr>
                        <w:t xml:space="preserve">as an alternative to </w:t>
                      </w:r>
                      <w:r w:rsidRPr="00820B09">
                        <w:rPr>
                          <w:rFonts w:asciiTheme="majorHAnsi" w:hAnsiTheme="majorHAnsi"/>
                          <w:sz w:val="20"/>
                          <w:szCs w:val="20"/>
                        </w:rPr>
                        <w:t>collateral, a discounted on interest rate for the first loan cycle as an entry point</w:t>
                      </w:r>
                      <w:r w:rsidR="003D2F8F" w:rsidRPr="00820B09">
                        <w:rPr>
                          <w:rFonts w:asciiTheme="majorHAnsi" w:hAnsiTheme="majorHAnsi"/>
                          <w:sz w:val="20"/>
                          <w:szCs w:val="20"/>
                        </w:rPr>
                        <w:t>, and accessible servicing options including collecting repayment at the clients’ home</w:t>
                      </w:r>
                      <w:r w:rsidRPr="00820B09">
                        <w:rPr>
                          <w:rFonts w:asciiTheme="majorHAnsi" w:hAnsiTheme="majorHAnsi"/>
                          <w:sz w:val="20"/>
                          <w:szCs w:val="20"/>
                        </w:rPr>
                        <w:t xml:space="preserve">. </w:t>
                      </w:r>
                      <w:r w:rsidR="000F3547" w:rsidRPr="00820B09">
                        <w:rPr>
                          <w:rFonts w:asciiTheme="majorHAnsi" w:hAnsiTheme="majorHAnsi"/>
                          <w:sz w:val="20"/>
                          <w:szCs w:val="20"/>
                        </w:rPr>
                        <w:t>BRAC Myanmar offers a micro-finance loan for persons with disabilities</w:t>
                      </w:r>
                      <w:r w:rsidR="003D2F8F" w:rsidRPr="00820B09">
                        <w:rPr>
                          <w:rFonts w:asciiTheme="majorHAnsi" w:hAnsiTheme="majorHAnsi"/>
                          <w:sz w:val="20"/>
                          <w:szCs w:val="20"/>
                        </w:rPr>
                        <w:t xml:space="preserve"> alongside life-skills and financial training and entrepreneurship support; this </w:t>
                      </w:r>
                      <w:r w:rsidR="000F3547" w:rsidRPr="00820B09">
                        <w:rPr>
                          <w:rFonts w:asciiTheme="majorHAnsi" w:hAnsiTheme="majorHAnsi"/>
                          <w:sz w:val="20"/>
                          <w:szCs w:val="20"/>
                        </w:rPr>
                        <w:t>allows them to use a family-member ID if they don’t possess one</w:t>
                      </w:r>
                      <w:r w:rsidR="003D2F8F" w:rsidRPr="00820B09">
                        <w:rPr>
                          <w:rFonts w:asciiTheme="majorHAnsi" w:hAnsiTheme="majorHAnsi"/>
                          <w:sz w:val="20"/>
                          <w:szCs w:val="20"/>
                        </w:rPr>
                        <w:t xml:space="preserve">, </w:t>
                      </w:r>
                      <w:r w:rsidR="000F3547" w:rsidRPr="00820B09">
                        <w:rPr>
                          <w:rFonts w:asciiTheme="majorHAnsi" w:hAnsiTheme="majorHAnsi"/>
                          <w:sz w:val="20"/>
                          <w:szCs w:val="20"/>
                        </w:rPr>
                        <w:t xml:space="preserve">access collateral-free credit by appointing a co-borrower, and </w:t>
                      </w:r>
                      <w:r w:rsidR="003D2F8F" w:rsidRPr="00820B09">
                        <w:rPr>
                          <w:rFonts w:asciiTheme="majorHAnsi" w:hAnsiTheme="majorHAnsi"/>
                          <w:sz w:val="20"/>
                          <w:szCs w:val="20"/>
                        </w:rPr>
                        <w:t xml:space="preserve">use </w:t>
                      </w:r>
                      <w:r w:rsidR="000F3547" w:rsidRPr="00820B09">
                        <w:rPr>
                          <w:rFonts w:asciiTheme="majorHAnsi" w:hAnsiTheme="majorHAnsi"/>
                          <w:sz w:val="20"/>
                          <w:szCs w:val="20"/>
                        </w:rPr>
                        <w:t>a voucher facility to postpone one loan repayment if they face an emergency issue.</w:t>
                      </w:r>
                      <w:r w:rsidR="003D2F8F" w:rsidRPr="00820B09">
                        <w:rPr>
                          <w:rFonts w:asciiTheme="majorHAnsi" w:hAnsiTheme="majorHAnsi"/>
                          <w:sz w:val="20"/>
                          <w:szCs w:val="20"/>
                        </w:rPr>
                        <w:t xml:space="preserve"> </w:t>
                      </w:r>
                    </w:p>
                    <w:p w14:paraId="3C4FF647" w14:textId="0B92E3FA" w:rsidR="00A02E2F" w:rsidRPr="00820B09" w:rsidRDefault="003D2F8F" w:rsidP="000F3547">
                      <w:pPr>
                        <w:pStyle w:val="NormalWeb"/>
                        <w:jc w:val="both"/>
                        <w:rPr>
                          <w:rFonts w:asciiTheme="majorHAnsi" w:hAnsiTheme="majorHAnsi"/>
                          <w:sz w:val="20"/>
                          <w:szCs w:val="20"/>
                        </w:rPr>
                      </w:pPr>
                      <w:r w:rsidRPr="00820B09">
                        <w:rPr>
                          <w:rFonts w:asciiTheme="majorHAnsi" w:hAnsiTheme="majorHAnsi"/>
                          <w:sz w:val="20"/>
                          <w:szCs w:val="20"/>
                        </w:rPr>
                        <w:t>In both cases, the providers found clients with disabilities had repayment rates as good or better than clients without disabilities. Providing training on disability inclusion for client-facing staff is important to counter negative stereotypes and misconceptions of persons with disabilities as more ‘risky’ clients, and equip them to communicate product terms and conditions</w:t>
                      </w:r>
                      <w:r w:rsidR="000F3547" w:rsidRPr="00820B09">
                        <w:rPr>
                          <w:rFonts w:asciiTheme="majorHAnsi" w:hAnsiTheme="majorHAnsi"/>
                          <w:sz w:val="20"/>
                          <w:szCs w:val="20"/>
                        </w:rPr>
                        <w:t xml:space="preserve"> </w:t>
                      </w:r>
                      <w:r w:rsidRPr="00820B09">
                        <w:rPr>
                          <w:rFonts w:asciiTheme="majorHAnsi" w:hAnsiTheme="majorHAnsi"/>
                          <w:sz w:val="20"/>
                          <w:szCs w:val="20"/>
                        </w:rPr>
                        <w:t>effectively to clients with disabilities.</w:t>
                      </w:r>
                      <w:r w:rsidR="007D5E7F" w:rsidRPr="00820B09">
                        <w:rPr>
                          <w:rFonts w:asciiTheme="majorHAnsi" w:hAnsiTheme="majorHAnsi"/>
                          <w:sz w:val="20"/>
                          <w:szCs w:val="20"/>
                        </w:rPr>
                        <w:t xml:space="preserve">    </w:t>
                      </w:r>
                    </w:p>
                  </w:txbxContent>
                </v:textbox>
                <w10:wrap type="square"/>
              </v:shape>
            </w:pict>
          </mc:Fallback>
        </mc:AlternateContent>
      </w:r>
    </w:p>
    <w:p w14:paraId="7D1923A1" w14:textId="142E5AD2" w:rsidR="00771594" w:rsidRPr="00A608EE" w:rsidRDefault="00771594"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4878C209" w14:textId="77777777" w:rsidR="00771594" w:rsidRPr="00A608EE" w:rsidRDefault="00771594" w:rsidP="00A27AAA">
      <w:pPr>
        <w:pStyle w:val="NormalWeb"/>
        <w:numPr>
          <w:ilvl w:val="0"/>
          <w:numId w:val="20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Score ’yes’ if the providers is offering a wide range of financial products with flexible terms and size that enable clients to invest effectively in economic opportunities, such as business loans for investment, working capital, and investment.</w:t>
      </w:r>
    </w:p>
    <w:p w14:paraId="5BB8B87F" w14:textId="77777777" w:rsidR="00771594" w:rsidRPr="00A608EE" w:rsidRDefault="00771594" w:rsidP="00A27AAA">
      <w:pPr>
        <w:pStyle w:val="NormalWeb"/>
        <w:numPr>
          <w:ilvl w:val="0"/>
          <w:numId w:val="20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is offering one or two business loan products that do account for less than 50% of the gross loan portfolio. For instance, the provider is offering working capital loans only or additionally just short-term investment loans of up to two years.</w:t>
      </w:r>
    </w:p>
    <w:p w14:paraId="588AC92F" w14:textId="77777777" w:rsidR="00771594" w:rsidRPr="00A608EE" w:rsidRDefault="00771594" w:rsidP="00A27AAA">
      <w:pPr>
        <w:pStyle w:val="NormalWeb"/>
        <w:numPr>
          <w:ilvl w:val="0"/>
          <w:numId w:val="20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is not offering client-centric business loans.</w:t>
      </w:r>
    </w:p>
    <w:p w14:paraId="5AA201DD" w14:textId="77777777" w:rsidR="00771594" w:rsidRPr="00A608EE" w:rsidRDefault="00771594" w:rsidP="00EE208A">
      <w:pPr>
        <w:pStyle w:val="NormalWeb"/>
        <w:spacing w:before="0" w:beforeAutospacing="0" w:after="0" w:afterAutospacing="0"/>
        <w:jc w:val="both"/>
        <w:rPr>
          <w:rFonts w:asciiTheme="majorHAnsi" w:hAnsiTheme="majorHAnsi"/>
          <w:sz w:val="20"/>
          <w:szCs w:val="20"/>
        </w:rPr>
      </w:pPr>
    </w:p>
    <w:p w14:paraId="5F55033D" w14:textId="25E19872" w:rsidR="00771594" w:rsidRPr="00A608EE" w:rsidRDefault="00771594"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5B6A1BF7" w14:textId="77777777" w:rsidR="00771594" w:rsidRPr="00A608EE" w:rsidRDefault="00771594" w:rsidP="00A27AAA">
      <w:pPr>
        <w:pStyle w:val="NormalWeb"/>
        <w:numPr>
          <w:ilvl w:val="0"/>
          <w:numId w:val="20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Credit Policy &amp; Operational manual(s)</w:t>
      </w:r>
    </w:p>
    <w:p w14:paraId="10BFC6A6" w14:textId="77777777" w:rsidR="00771594" w:rsidRPr="00A608EE" w:rsidRDefault="00771594" w:rsidP="00A27AAA">
      <w:pPr>
        <w:pStyle w:val="NormalWeb"/>
        <w:numPr>
          <w:ilvl w:val="0"/>
          <w:numId w:val="20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Product description</w:t>
      </w:r>
    </w:p>
    <w:p w14:paraId="283481B5" w14:textId="77777777" w:rsidR="00771594" w:rsidRPr="00A608EE" w:rsidRDefault="00771594" w:rsidP="00A27AAA">
      <w:pPr>
        <w:pStyle w:val="NormalWeb"/>
        <w:numPr>
          <w:ilvl w:val="0"/>
          <w:numId w:val="20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operations manager, branch managers</w:t>
      </w:r>
    </w:p>
    <w:p w14:paraId="0160C776" w14:textId="77777777" w:rsidR="00771594" w:rsidRPr="00A608EE" w:rsidRDefault="00771594" w:rsidP="00A27AAA">
      <w:pPr>
        <w:pStyle w:val="NormalWeb"/>
        <w:numPr>
          <w:ilvl w:val="0"/>
          <w:numId w:val="20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Client interviews, incl. focus groups (optional)</w:t>
      </w:r>
    </w:p>
    <w:p w14:paraId="3B7C2D46" w14:textId="77777777" w:rsidR="00771594" w:rsidRPr="00A608EE" w:rsidRDefault="00771594" w:rsidP="00EE208A">
      <w:pPr>
        <w:pStyle w:val="NormalWeb"/>
        <w:spacing w:before="0" w:beforeAutospacing="0" w:after="0" w:afterAutospacing="0"/>
        <w:jc w:val="both"/>
        <w:rPr>
          <w:rFonts w:asciiTheme="majorHAnsi" w:hAnsiTheme="majorHAnsi"/>
          <w:sz w:val="20"/>
          <w:szCs w:val="20"/>
        </w:rPr>
      </w:pPr>
    </w:p>
    <w:p w14:paraId="78D0B103" w14:textId="41E2F921" w:rsidR="00771594" w:rsidRPr="00A608EE" w:rsidRDefault="00771594"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7923B44D" w14:textId="77777777" w:rsidR="00771594" w:rsidRPr="00A608EE" w:rsidRDefault="007715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product's purpose and terms that allow it to fit with productive/economic opportunity needs.</w:t>
      </w:r>
    </w:p>
    <w:p w14:paraId="119DB4A3" w14:textId="77777777" w:rsidR="00771594" w:rsidRPr="00A608EE" w:rsidRDefault="00771594" w:rsidP="00EE208A">
      <w:pPr>
        <w:pStyle w:val="NormalWeb"/>
        <w:spacing w:before="0" w:beforeAutospacing="0" w:after="0" w:afterAutospacing="0"/>
        <w:jc w:val="both"/>
        <w:rPr>
          <w:rFonts w:asciiTheme="majorHAnsi" w:hAnsiTheme="majorHAnsi"/>
          <w:sz w:val="20"/>
          <w:szCs w:val="20"/>
        </w:rPr>
      </w:pPr>
    </w:p>
    <w:p w14:paraId="69C8EF39" w14:textId="42D572B0" w:rsidR="00771594" w:rsidRPr="00A608EE" w:rsidRDefault="00771594"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Examples/implementation guidance</w:t>
      </w:r>
    </w:p>
    <w:p w14:paraId="46A95F30" w14:textId="77777777" w:rsidR="00771594" w:rsidRPr="00A608EE" w:rsidRDefault="007715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Providing wide range of business loans may mean making higher-risk loans for the provider in investing in innovative sectors, value chains or start-up.</w:t>
      </w:r>
      <w:r w:rsidRPr="00A608EE">
        <w:rPr>
          <w:rFonts w:asciiTheme="majorHAnsi" w:hAnsiTheme="majorHAnsi"/>
          <w:sz w:val="20"/>
          <w:szCs w:val="20"/>
        </w:rPr>
        <w:br/>
      </w:r>
    </w:p>
    <w:p w14:paraId="5C8E4448" w14:textId="073CEA04" w:rsidR="00771594" w:rsidRPr="00A608EE" w:rsidRDefault="007715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Short-term loans with monthly repayment are poorly suited to many productive activities.</w:t>
      </w:r>
      <w:r w:rsidR="006827A5" w:rsidRPr="00A608EE">
        <w:rPr>
          <w:rFonts w:asciiTheme="majorHAnsi" w:hAnsiTheme="majorHAnsi"/>
          <w:sz w:val="20"/>
          <w:szCs w:val="20"/>
        </w:rPr>
        <w:t xml:space="preserve"> </w:t>
      </w:r>
      <w:r w:rsidRPr="00A608EE">
        <w:rPr>
          <w:rFonts w:asciiTheme="majorHAnsi" w:hAnsiTheme="majorHAnsi"/>
          <w:sz w:val="20"/>
          <w:szCs w:val="20"/>
        </w:rPr>
        <w:t>Providers are better positioned to serve artisan and agricultural sectors, for example, by adapting terms, conditions and loan amounts to the specificities of these sectors.</w:t>
      </w:r>
    </w:p>
    <w:p w14:paraId="0CE02086" w14:textId="77777777" w:rsidR="00771594" w:rsidRPr="00A608EE" w:rsidRDefault="00771594" w:rsidP="00EE208A">
      <w:pPr>
        <w:pStyle w:val="NormalWeb"/>
        <w:spacing w:before="0" w:beforeAutospacing="0" w:after="0" w:afterAutospacing="0"/>
        <w:jc w:val="both"/>
        <w:rPr>
          <w:rFonts w:asciiTheme="majorHAnsi" w:hAnsiTheme="majorHAnsi"/>
          <w:sz w:val="20"/>
          <w:szCs w:val="20"/>
        </w:rPr>
      </w:pPr>
    </w:p>
    <w:p w14:paraId="58DE718B" w14:textId="6A279DDD" w:rsidR="00771594" w:rsidRPr="00A608EE" w:rsidRDefault="007715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can also offer loans to entrepreneurs, linked with non-financial services for financial literacy, business skills, and market access. Examples of other products include: home improvement loans or housing loans, fixed-term deposits, leasing options, pension services, loans for agriculture, enterprise skills development, business development services, SME loans, checking accounts, etc.</w:t>
      </w:r>
    </w:p>
    <w:p w14:paraId="5ADDB442" w14:textId="77777777" w:rsidR="00627EB7" w:rsidRPr="00A608EE" w:rsidRDefault="00627EB7" w:rsidP="00EE208A">
      <w:pPr>
        <w:pStyle w:val="NormalWeb"/>
        <w:spacing w:before="0" w:beforeAutospacing="0" w:after="0" w:afterAutospacing="0"/>
        <w:jc w:val="both"/>
        <w:rPr>
          <w:rFonts w:asciiTheme="majorHAnsi" w:hAnsiTheme="majorHAnsi"/>
          <w:sz w:val="20"/>
          <w:szCs w:val="20"/>
        </w:rPr>
      </w:pPr>
    </w:p>
    <w:p w14:paraId="487AA294" w14:textId="57C7AA51" w:rsidR="00627EB7" w:rsidRPr="00A608EE" w:rsidRDefault="00627EB7"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3.B.5.2</w:t>
      </w:r>
    </w:p>
    <w:p w14:paraId="0BD67900" w14:textId="77777777" w:rsidR="00133A07" w:rsidRPr="00A608EE" w:rsidRDefault="00133A07" w:rsidP="00A27AAA">
      <w:pPr>
        <w:pStyle w:val="NormalWeb"/>
        <w:numPr>
          <w:ilvl w:val="0"/>
          <w:numId w:val="419"/>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HAnsi"/>
          <w:b/>
          <w:bCs/>
          <w:sz w:val="20"/>
          <w:szCs w:val="20"/>
        </w:rPr>
        <w:t>[DI Focus]:</w:t>
      </w:r>
      <w:r w:rsidRPr="00A608EE">
        <w:rPr>
          <w:rFonts w:asciiTheme="majorHAnsi" w:hAnsiTheme="majorHAnsi" w:cstheme="majorHAnsi"/>
          <w:sz w:val="20"/>
          <w:szCs w:val="20"/>
        </w:rPr>
        <w:t xml:space="preserve"> </w:t>
      </w:r>
      <w:hyperlink r:id="rId183" w:history="1">
        <w:r w:rsidRPr="00A608EE">
          <w:rPr>
            <w:rStyle w:val="Hyperlink"/>
            <w:rFonts w:asciiTheme="majorHAnsi" w:hAnsiTheme="majorHAnsi" w:cstheme="majorHAnsi"/>
            <w:sz w:val="20"/>
            <w:szCs w:val="20"/>
          </w:rPr>
          <w:t>Designing holistic solutions for people with disabilities: Lessons from BRAC Myanmar</w:t>
        </w:r>
      </w:hyperlink>
    </w:p>
    <w:p w14:paraId="0574ED2A" w14:textId="7A3C9A49" w:rsidR="00627EB7" w:rsidRPr="00A608EE" w:rsidRDefault="00627EB7" w:rsidP="00A27AAA">
      <w:pPr>
        <w:pStyle w:val="NormalWeb"/>
        <w:numPr>
          <w:ilvl w:val="0"/>
          <w:numId w:val="419"/>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184" w:history="1">
        <w:r w:rsidRPr="00A608EE">
          <w:rPr>
            <w:rStyle w:val="Hyperlink"/>
            <w:rFonts w:asciiTheme="majorHAnsi" w:hAnsiTheme="majorHAnsi"/>
            <w:sz w:val="20"/>
            <w:szCs w:val="20"/>
          </w:rPr>
          <w:t xml:space="preserve">Chamroeun Microfinance plc and NGO Good Return partnered to provide accessible financial capability </w:t>
        </w:r>
        <w:r w:rsidR="00133A07" w:rsidRPr="00A608EE">
          <w:rPr>
            <w:rStyle w:val="Hyperlink"/>
            <w:rFonts w:asciiTheme="majorHAnsi" w:hAnsiTheme="majorHAnsi"/>
            <w:sz w:val="20"/>
            <w:szCs w:val="20"/>
          </w:rPr>
          <w:t>coaching</w:t>
        </w:r>
        <w:r w:rsidRPr="00A608EE">
          <w:rPr>
            <w:rStyle w:val="Hyperlink"/>
            <w:rFonts w:asciiTheme="majorHAnsi" w:hAnsiTheme="majorHAnsi"/>
            <w:sz w:val="20"/>
            <w:szCs w:val="20"/>
          </w:rPr>
          <w:t xml:space="preserve"> and a tailored microloan to empower persons with disabilities </w:t>
        </w:r>
        <w:r w:rsidR="00133A07" w:rsidRPr="00A608EE">
          <w:rPr>
            <w:rStyle w:val="Hyperlink"/>
            <w:rFonts w:asciiTheme="majorHAnsi" w:hAnsiTheme="majorHAnsi"/>
            <w:sz w:val="20"/>
            <w:szCs w:val="20"/>
          </w:rPr>
          <w:t xml:space="preserve">in Cambodia </w:t>
        </w:r>
        <w:r w:rsidRPr="00A608EE">
          <w:rPr>
            <w:rStyle w:val="Hyperlink"/>
            <w:rFonts w:asciiTheme="majorHAnsi" w:hAnsiTheme="majorHAnsi"/>
            <w:sz w:val="20"/>
            <w:szCs w:val="20"/>
          </w:rPr>
          <w:t xml:space="preserve">to </w:t>
        </w:r>
        <w:r w:rsidR="00133A07" w:rsidRPr="00A608EE">
          <w:rPr>
            <w:rStyle w:val="Hyperlink"/>
            <w:rFonts w:asciiTheme="majorHAnsi" w:hAnsiTheme="majorHAnsi"/>
            <w:sz w:val="20"/>
            <w:szCs w:val="20"/>
          </w:rPr>
          <w:t xml:space="preserve">generate income through entrepreneurship </w:t>
        </w:r>
        <w:r w:rsidRPr="00A608EE">
          <w:rPr>
            <w:rStyle w:val="Hyperlink"/>
            <w:rFonts w:asciiTheme="majorHAnsi" w:hAnsiTheme="majorHAnsi"/>
            <w:sz w:val="20"/>
            <w:szCs w:val="20"/>
          </w:rPr>
          <w:t>(see case study on page 5 of this manual)</w:t>
        </w:r>
      </w:hyperlink>
    </w:p>
    <w:p w14:paraId="7916C7FC" w14:textId="2C9D8310" w:rsidR="001F5812" w:rsidRPr="00A608EE" w:rsidRDefault="001F5812" w:rsidP="00A27AAA">
      <w:pPr>
        <w:pStyle w:val="NormalWeb"/>
        <w:numPr>
          <w:ilvl w:val="0"/>
          <w:numId w:val="419"/>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185" w:history="1">
        <w:r w:rsidRPr="00A608EE">
          <w:rPr>
            <w:rStyle w:val="Hyperlink"/>
            <w:rFonts w:asciiTheme="majorHAnsi" w:hAnsiTheme="majorHAnsi"/>
            <w:sz w:val="20"/>
            <w:szCs w:val="20"/>
          </w:rPr>
          <w:t>Grameen Foundation USA and the National Union of Disabled Persons of Uganda (NUD</w:t>
        </w:r>
        <w:r w:rsidR="00907EF8" w:rsidRPr="00A608EE">
          <w:rPr>
            <w:rStyle w:val="Hyperlink"/>
            <w:rFonts w:asciiTheme="majorHAnsi" w:hAnsiTheme="majorHAnsi"/>
            <w:sz w:val="20"/>
            <w:szCs w:val="20"/>
          </w:rPr>
          <w:t>I</w:t>
        </w:r>
        <w:r w:rsidRPr="00A608EE">
          <w:rPr>
            <w:rStyle w:val="Hyperlink"/>
            <w:rFonts w:asciiTheme="majorHAnsi" w:hAnsiTheme="majorHAnsi"/>
            <w:sz w:val="20"/>
            <w:szCs w:val="20"/>
          </w:rPr>
          <w:t xml:space="preserve">PU): multisectoral assessment of opportunities to advance economic empowerment of </w:t>
        </w:r>
        <w:r w:rsidR="00907EF8" w:rsidRPr="00A608EE">
          <w:rPr>
            <w:rStyle w:val="Hyperlink"/>
            <w:rFonts w:asciiTheme="majorHAnsi" w:hAnsiTheme="majorHAnsi"/>
            <w:sz w:val="20"/>
            <w:szCs w:val="20"/>
          </w:rPr>
          <w:t>adults and youth</w:t>
        </w:r>
        <w:r w:rsidRPr="00A608EE">
          <w:rPr>
            <w:rStyle w:val="Hyperlink"/>
            <w:rFonts w:asciiTheme="majorHAnsi" w:hAnsiTheme="majorHAnsi"/>
            <w:sz w:val="20"/>
            <w:szCs w:val="20"/>
          </w:rPr>
          <w:t xml:space="preserve"> with disabilities in Uganda through entrepreneurship and increased access to finance</w:t>
        </w:r>
      </w:hyperlink>
    </w:p>
    <w:p w14:paraId="5E30D87C" w14:textId="77777777" w:rsidR="00910B31" w:rsidRPr="00A608EE" w:rsidRDefault="00910B31" w:rsidP="00EE208A">
      <w:pPr>
        <w:pStyle w:val="NormalWeb"/>
        <w:spacing w:before="0" w:beforeAutospacing="0" w:after="0" w:afterAutospacing="0"/>
        <w:jc w:val="both"/>
        <w:rPr>
          <w:rFonts w:asciiTheme="majorHAnsi" w:hAnsiTheme="majorHAnsi"/>
          <w:sz w:val="20"/>
          <w:szCs w:val="20"/>
        </w:rPr>
      </w:pPr>
    </w:p>
    <w:p w14:paraId="685BB61B" w14:textId="77777777" w:rsidR="00DC7F8D" w:rsidRPr="00A608EE" w:rsidRDefault="00DC7F8D" w:rsidP="00EE208A">
      <w:pPr>
        <w:pStyle w:val="NormalWeb"/>
        <w:spacing w:before="0" w:beforeAutospacing="0" w:after="0" w:afterAutospacing="0"/>
        <w:jc w:val="both"/>
        <w:rPr>
          <w:rFonts w:asciiTheme="majorHAnsi" w:hAnsiTheme="majorHAnsi"/>
          <w:sz w:val="20"/>
          <w:szCs w:val="20"/>
        </w:rPr>
      </w:pPr>
    </w:p>
    <w:p w14:paraId="74214325" w14:textId="32C8EED6" w:rsidR="00D04A17" w:rsidRPr="00A608EE" w:rsidRDefault="00D04A17" w:rsidP="00EE208A">
      <w:pPr>
        <w:pStyle w:val="Heading4"/>
        <w:spacing w:before="0" w:line="240" w:lineRule="auto"/>
        <w:jc w:val="both"/>
      </w:pPr>
      <w:r w:rsidRPr="00A608EE">
        <w:rPr>
          <w:rStyle w:val="text-primary"/>
        </w:rPr>
        <w:t xml:space="preserve">3.B.5.3 </w:t>
      </w:r>
      <w:r w:rsidR="006827A5" w:rsidRPr="00A608EE">
        <w:t>The provider offers products/services for major life events such as weddings, maternity care/child birth, housing, higher education, and funerals</w:t>
      </w:r>
      <w:r w:rsidR="007B04C2" w:rsidRPr="00A608EE">
        <w:t>.</w:t>
      </w:r>
    </w:p>
    <w:p w14:paraId="539DE64F" w14:textId="77777777" w:rsidR="00AB4D3F" w:rsidRPr="00A608EE" w:rsidRDefault="00AB4D3F" w:rsidP="00EE208A">
      <w:pPr>
        <w:jc w:val="both"/>
        <w:rPr>
          <w:rFonts w:asciiTheme="majorHAnsi" w:hAnsiTheme="majorHAnsi" w:cstheme="majorHAnsi"/>
          <w:szCs w:val="20"/>
        </w:rPr>
      </w:pPr>
    </w:p>
    <w:p w14:paraId="47852B4C" w14:textId="4B616155" w:rsidR="00DC7F8D" w:rsidRPr="00A608EE" w:rsidRDefault="004F5FC3" w:rsidP="00EE208A">
      <w:pPr>
        <w:jc w:val="both"/>
        <w:rPr>
          <w:rFonts w:asciiTheme="majorHAnsi" w:hAnsi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DC7F8D" w:rsidRPr="00A608EE">
        <w:rPr>
          <w:rFonts w:asciiTheme="majorHAnsi" w:hAnsiTheme="majorHAnsi"/>
          <w:b/>
          <w:bCs/>
          <w:color w:val="2145CC" w:themeColor="accent5" w:themeShade="BF"/>
          <w:sz w:val="20"/>
          <w:szCs w:val="20"/>
        </w:rPr>
        <w:t>SPI5 Entry</w:t>
      </w:r>
      <w:r w:rsidR="00615EE5" w:rsidRPr="00A608EE">
        <w:rPr>
          <w:rFonts w:asciiTheme="majorHAnsi" w:hAnsiTheme="majorHAnsi"/>
          <w:b/>
          <w:bCs/>
          <w:color w:val="2145CC" w:themeColor="accent5" w:themeShade="BF"/>
          <w:sz w:val="20"/>
          <w:szCs w:val="20"/>
        </w:rPr>
        <w:t xml:space="preserve"> | </w:t>
      </w:r>
      <w:r w:rsidR="00DC7F8D" w:rsidRPr="00A608EE">
        <w:rPr>
          <w:rFonts w:asciiTheme="majorHAnsi" w:hAnsiTheme="majorHAnsi"/>
          <w:b/>
          <w:bCs/>
          <w:color w:val="2145CC" w:themeColor="accent5" w:themeShade="BF"/>
          <w:sz w:val="20"/>
          <w:szCs w:val="20"/>
        </w:rPr>
        <w:t>SPI5 Full</w:t>
      </w:r>
      <w:r w:rsidR="004A48FF" w:rsidRPr="00A608EE">
        <w:rPr>
          <w:rFonts w:asciiTheme="majorHAnsi" w:hAnsi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19F98FD3" w14:textId="1D931E8E" w:rsidR="00A02E2F" w:rsidRPr="00A608EE" w:rsidRDefault="006827A5"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A wide range of well-adapted products and services can translate into a wide range of possibilities for clients to address anticipated household needs at each life cycle stage.</w:t>
      </w:r>
    </w:p>
    <w:p w14:paraId="31F36951"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p>
    <w:p w14:paraId="6B8F458E"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p>
    <w:p w14:paraId="6D0956A5" w14:textId="621C1CF1"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noProof/>
          <w:sz w:val="20"/>
          <w:szCs w:val="20"/>
        </w:rPr>
        <w:lastRenderedPageBreak/>
        <w:drawing>
          <wp:anchor distT="0" distB="0" distL="114300" distR="114300" simplePos="0" relativeHeight="251850752" behindDoc="1" locked="0" layoutInCell="1" allowOverlap="1" wp14:anchorId="1ACF86C7" wp14:editId="24F52378">
            <wp:simplePos x="0" y="0"/>
            <wp:positionH relativeFrom="margin">
              <wp:align>left</wp:align>
            </wp:positionH>
            <wp:positionV relativeFrom="paragraph">
              <wp:posOffset>170815</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79469001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2982D26E" w14:textId="75F3D351"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385B8179"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sz w:val="20"/>
          <w:szCs w:val="20"/>
        </w:rPr>
      </w:pPr>
    </w:p>
    <w:p w14:paraId="08B5F90E" w14:textId="001B4416" w:rsidR="00A02E2F" w:rsidRPr="00A608EE" w:rsidRDefault="00FC6779" w:rsidP="00221BCE">
      <w:pPr>
        <w:pStyle w:val="paragraph"/>
        <w:spacing w:before="120" w:beforeAutospacing="0" w:after="120" w:afterAutospacing="0"/>
        <w:jc w:val="both"/>
        <w:textAlignment w:val="baseline"/>
        <w:rPr>
          <w:rStyle w:val="normaltextrun"/>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A02E2F" w:rsidRPr="00A608EE">
        <w:rPr>
          <w:rStyle w:val="normaltextrun"/>
          <w:rFonts w:asciiTheme="majorHAnsi" w:hAnsiTheme="majorHAnsi"/>
          <w:sz w:val="20"/>
          <w:szCs w:val="20"/>
        </w:rPr>
        <w:t>The provider offers products/services for major life events such as weddings, maternity care/child birth, housing, higher education, and funerals, that are:</w:t>
      </w:r>
    </w:p>
    <w:p w14:paraId="48204C6D" w14:textId="6040D405" w:rsidR="00A02E2F" w:rsidRPr="00A608EE" w:rsidRDefault="00221BCE" w:rsidP="00A27AAA">
      <w:pPr>
        <w:pStyle w:val="paragraph"/>
        <w:numPr>
          <w:ilvl w:val="0"/>
          <w:numId w:val="395"/>
        </w:numPr>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A</w:t>
      </w:r>
      <w:r w:rsidR="00A02E2F" w:rsidRPr="00A608EE">
        <w:rPr>
          <w:rStyle w:val="normaltextrun"/>
          <w:rFonts w:asciiTheme="majorHAnsi" w:hAnsiTheme="majorHAnsi"/>
          <w:sz w:val="20"/>
          <w:szCs w:val="20"/>
        </w:rPr>
        <w:t>ccessible and available to persons with disabilities on an equal basis with others;</w:t>
      </w:r>
    </w:p>
    <w:p w14:paraId="1A20D03C" w14:textId="51880F04" w:rsidR="00A02E2F" w:rsidRPr="00A608EE" w:rsidRDefault="00221BCE" w:rsidP="00A27AAA">
      <w:pPr>
        <w:pStyle w:val="paragraph"/>
        <w:numPr>
          <w:ilvl w:val="0"/>
          <w:numId w:val="395"/>
        </w:numPr>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D</w:t>
      </w:r>
      <w:r w:rsidR="00A02E2F" w:rsidRPr="00A608EE">
        <w:rPr>
          <w:rStyle w:val="normaltextrun"/>
          <w:rFonts w:asciiTheme="majorHAnsi" w:hAnsiTheme="majorHAnsi"/>
          <w:sz w:val="20"/>
          <w:szCs w:val="20"/>
        </w:rPr>
        <w:t xml:space="preserve">o not exclude or discriminate against persons with disabilities; and </w:t>
      </w:r>
    </w:p>
    <w:p w14:paraId="22D1833D" w14:textId="1A64908B" w:rsidR="00A02E2F" w:rsidRPr="00A608EE" w:rsidRDefault="00221BCE" w:rsidP="00A27AAA">
      <w:pPr>
        <w:pStyle w:val="paragraph"/>
        <w:numPr>
          <w:ilvl w:val="0"/>
          <w:numId w:val="395"/>
        </w:numPr>
        <w:spacing w:before="0" w:beforeAutospacing="0" w:after="0" w:afterAutospacing="0"/>
        <w:jc w:val="both"/>
        <w:textAlignment w:val="baseline"/>
        <w:rPr>
          <w:rStyle w:val="normaltextrun"/>
          <w:rFonts w:asciiTheme="majorHAnsi" w:hAnsiTheme="majorHAnsi"/>
          <w:sz w:val="20"/>
          <w:szCs w:val="20"/>
        </w:rPr>
      </w:pPr>
      <w:r w:rsidRPr="00A608EE">
        <w:rPr>
          <w:rStyle w:val="normaltextrun"/>
          <w:rFonts w:asciiTheme="majorHAnsi" w:hAnsiTheme="majorHAnsi"/>
          <w:sz w:val="20"/>
          <w:szCs w:val="20"/>
        </w:rPr>
        <w:t>A</w:t>
      </w:r>
      <w:r w:rsidR="00A02E2F" w:rsidRPr="00A608EE">
        <w:rPr>
          <w:rStyle w:val="normaltextrun"/>
          <w:rFonts w:asciiTheme="majorHAnsi" w:hAnsiTheme="majorHAnsi"/>
          <w:sz w:val="20"/>
          <w:szCs w:val="20"/>
        </w:rPr>
        <w:t>re responsive to their needs.</w:t>
      </w:r>
    </w:p>
    <w:p w14:paraId="194C6C58" w14:textId="77777777" w:rsidR="00A02E2F" w:rsidRPr="00A608EE" w:rsidRDefault="00A02E2F" w:rsidP="00A02E2F">
      <w:pPr>
        <w:jc w:val="both"/>
        <w:rPr>
          <w:rFonts w:asciiTheme="majorHAnsi" w:hAnsiTheme="majorHAnsi"/>
          <w:szCs w:val="20"/>
          <w:lang w:eastAsia="fr-FR"/>
        </w:rPr>
      </w:pPr>
    </w:p>
    <w:p w14:paraId="219A4169" w14:textId="23E51C3A" w:rsidR="006827A5" w:rsidRPr="00A608EE" w:rsidRDefault="00A02E2F" w:rsidP="00EE208A">
      <w:pPr>
        <w:jc w:val="both"/>
        <w:rPr>
          <w:rFonts w:asciiTheme="majorHAnsi" w:hAnsiTheme="majorHAnsi"/>
          <w:szCs w:val="20"/>
          <w:lang w:eastAsia="fr-FR"/>
        </w:rPr>
      </w:pPr>
      <w:r w:rsidRPr="00A608EE">
        <w:rPr>
          <w:noProof/>
        </w:rPr>
        <mc:AlternateContent>
          <mc:Choice Requires="wps">
            <w:drawing>
              <wp:anchor distT="0" distB="0" distL="114300" distR="114300" simplePos="0" relativeHeight="251702272" behindDoc="0" locked="0" layoutInCell="1" allowOverlap="1" wp14:anchorId="6A2DEF63" wp14:editId="7F45AA23">
                <wp:simplePos x="0" y="0"/>
                <wp:positionH relativeFrom="column">
                  <wp:posOffset>0</wp:posOffset>
                </wp:positionH>
                <wp:positionV relativeFrom="paragraph">
                  <wp:posOffset>0</wp:posOffset>
                </wp:positionV>
                <wp:extent cx="1828800" cy="1828800"/>
                <wp:effectExtent l="0" t="0" r="0" b="0"/>
                <wp:wrapSquare wrapText="bothSides"/>
                <wp:docPr id="1443424734"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7F42EA6" w14:textId="4B6DD74A" w:rsidR="00A02E2F" w:rsidRPr="00820B09" w:rsidRDefault="00EB123D" w:rsidP="00A02E2F">
                            <w:pPr>
                              <w:pStyle w:val="paragraph"/>
                              <w:spacing w:before="0" w:beforeAutospacing="0" w:after="0" w:afterAutospacing="0"/>
                              <w:jc w:val="both"/>
                              <w:textAlignment w:val="baseline"/>
                              <w:rPr>
                                <w:rStyle w:val="normaltextrun"/>
                                <w:rFonts w:asciiTheme="majorHAnsi" w:hAnsiTheme="majorHAnsi"/>
                                <w:b/>
                                <w:bCs/>
                                <w:sz w:val="20"/>
                                <w:szCs w:val="20"/>
                              </w:rPr>
                            </w:pPr>
                            <w:r w:rsidRPr="00820B09">
                              <w:t xml:space="preserve"> </w:t>
                            </w:r>
                            <w:r w:rsidRPr="00820B09">
                              <w:rPr>
                                <w:rStyle w:val="normaltextrun"/>
                                <w:rFonts w:asciiTheme="majorHAnsi" w:hAnsiTheme="majorHAnsi"/>
                                <w:b/>
                                <w:bCs/>
                                <w:sz w:val="20"/>
                                <w:szCs w:val="20"/>
                              </w:rPr>
                              <w:t>Disability Inclusion - Info Box</w:t>
                            </w:r>
                            <w:r w:rsidR="00A02E2F" w:rsidRPr="00820B09">
                              <w:rPr>
                                <w:rStyle w:val="normaltextrun"/>
                                <w:rFonts w:asciiTheme="majorHAnsi" w:hAnsiTheme="majorHAnsi"/>
                                <w:b/>
                                <w:bCs/>
                                <w:sz w:val="20"/>
                                <w:szCs w:val="20"/>
                              </w:rPr>
                              <w:t xml:space="preserve"> 3.B.5.3</w:t>
                            </w:r>
                          </w:p>
                          <w:p w14:paraId="00955965" w14:textId="2012431A" w:rsidR="00A02E2F" w:rsidRPr="00820B09" w:rsidRDefault="00A02E2F" w:rsidP="003D2F8F">
                            <w:pPr>
                              <w:jc w:val="both"/>
                              <w:rPr>
                                <w:rFonts w:asciiTheme="majorHAnsi" w:hAnsiTheme="majorHAnsi"/>
                                <w:sz w:val="20"/>
                                <w:szCs w:val="20"/>
                                <w:lang w:eastAsia="fr-FR"/>
                              </w:rPr>
                            </w:pPr>
                            <w:r w:rsidRPr="00820B09">
                              <w:rPr>
                                <w:rFonts w:asciiTheme="majorHAnsi" w:hAnsiTheme="majorHAnsi"/>
                                <w:sz w:val="20"/>
                                <w:szCs w:val="20"/>
                              </w:rPr>
                              <w:t xml:space="preserve">The provider's products and services </w:t>
                            </w:r>
                            <w:r w:rsidR="009C6968" w:rsidRPr="00820B09">
                              <w:rPr>
                                <w:rFonts w:asciiTheme="majorHAnsi" w:hAnsiTheme="majorHAnsi"/>
                                <w:sz w:val="20"/>
                                <w:szCs w:val="20"/>
                              </w:rPr>
                              <w:t>should</w:t>
                            </w:r>
                            <w:r w:rsidRPr="00820B09">
                              <w:rPr>
                                <w:rFonts w:asciiTheme="majorHAnsi" w:hAnsiTheme="majorHAnsi"/>
                                <w:sz w:val="20"/>
                                <w:szCs w:val="20"/>
                              </w:rPr>
                              <w:t xml:space="preserve"> not have eligibility criteria that directly or indirectly discriminate against or exclude persons with disabilities.</w:t>
                            </w:r>
                            <w:r w:rsidR="003D2F8F" w:rsidRPr="00820B09">
                              <w:rPr>
                                <w:rFonts w:asciiTheme="majorHAnsi" w:hAnsiTheme="majorHAnsi"/>
                                <w:sz w:val="20"/>
                                <w:szCs w:val="20"/>
                              </w:rPr>
                              <w:t xml:space="preserve"> </w:t>
                            </w:r>
                            <w:r w:rsidR="003D2F8F" w:rsidRPr="00820B09">
                              <w:rPr>
                                <w:rFonts w:asciiTheme="majorHAnsi" w:hAnsiTheme="majorHAnsi"/>
                                <w:sz w:val="20"/>
                                <w:szCs w:val="15"/>
                              </w:rPr>
                              <w:t>Direct discrimination includes criteria that exclude persons from holding products or services, or requires them to appoint a third party in order to access or use their accounts, on the basis of their disability or a medical diagnosis.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A2DEF63" id="_x0000_s1051" type="#_x0000_t202" style="position:absolute;left:0;text-align:left;margin-left:0;margin-top:0;width:2in;height:2in;z-index:2517022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" filled="f" strokeweight=".5pt">
                <v:textbox style="mso-fit-shape-to-text:t">
                  <w:txbxContent>
                    <w:p w14:paraId="57F42EA6" w14:textId="4B6DD74A" w:rsidR="00A02E2F" w:rsidRPr="00820B09" w:rsidRDefault="00EB123D" w:rsidP="00A02E2F">
                      <w:pPr>
                        <w:pStyle w:val="paragraph"/>
                        <w:spacing w:before="0" w:beforeAutospacing="0" w:after="0" w:afterAutospacing="0"/>
                        <w:jc w:val="both"/>
                        <w:textAlignment w:val="baseline"/>
                        <w:rPr>
                          <w:rStyle w:val="normaltextrun"/>
                          <w:rFonts w:asciiTheme="majorHAnsi" w:hAnsiTheme="majorHAnsi"/>
                          <w:b/>
                          <w:bCs/>
                          <w:sz w:val="20"/>
                          <w:szCs w:val="20"/>
                        </w:rPr>
                      </w:pPr>
                      <w:r w:rsidRPr="00820B09">
                        <w:t xml:space="preserve"> </w:t>
                      </w:r>
                      <w:r w:rsidRPr="00820B09">
                        <w:rPr>
                          <w:rStyle w:val="normaltextrun"/>
                          <w:rFonts w:asciiTheme="majorHAnsi" w:hAnsiTheme="majorHAnsi"/>
                          <w:b/>
                          <w:bCs/>
                          <w:sz w:val="20"/>
                          <w:szCs w:val="20"/>
                        </w:rPr>
                        <w:t>Disability Inclusion - Info Box</w:t>
                      </w:r>
                      <w:r w:rsidR="00A02E2F" w:rsidRPr="00820B09">
                        <w:rPr>
                          <w:rStyle w:val="normaltextrun"/>
                          <w:rFonts w:asciiTheme="majorHAnsi" w:hAnsiTheme="majorHAnsi"/>
                          <w:b/>
                          <w:bCs/>
                          <w:sz w:val="20"/>
                          <w:szCs w:val="20"/>
                        </w:rPr>
                        <w:t xml:space="preserve"> 3.B.5.3</w:t>
                      </w:r>
                    </w:p>
                    <w:p w14:paraId="00955965" w14:textId="2012431A" w:rsidR="00A02E2F" w:rsidRPr="00820B09" w:rsidRDefault="00A02E2F" w:rsidP="003D2F8F">
                      <w:pPr>
                        <w:jc w:val="both"/>
                        <w:rPr>
                          <w:rFonts w:asciiTheme="majorHAnsi" w:hAnsiTheme="majorHAnsi"/>
                          <w:sz w:val="20"/>
                          <w:szCs w:val="20"/>
                          <w:lang w:eastAsia="fr-FR"/>
                        </w:rPr>
                      </w:pPr>
                      <w:r w:rsidRPr="00820B09">
                        <w:rPr>
                          <w:rFonts w:asciiTheme="majorHAnsi" w:hAnsiTheme="majorHAnsi"/>
                          <w:sz w:val="20"/>
                          <w:szCs w:val="20"/>
                        </w:rPr>
                        <w:t xml:space="preserve">The provider's products and services </w:t>
                      </w:r>
                      <w:r w:rsidR="009C6968" w:rsidRPr="00820B09">
                        <w:rPr>
                          <w:rFonts w:asciiTheme="majorHAnsi" w:hAnsiTheme="majorHAnsi"/>
                          <w:sz w:val="20"/>
                          <w:szCs w:val="20"/>
                        </w:rPr>
                        <w:t>should</w:t>
                      </w:r>
                      <w:r w:rsidRPr="00820B09">
                        <w:rPr>
                          <w:rFonts w:asciiTheme="majorHAnsi" w:hAnsiTheme="majorHAnsi"/>
                          <w:sz w:val="20"/>
                          <w:szCs w:val="20"/>
                        </w:rPr>
                        <w:t xml:space="preserve"> not have eligibility criteria that directly or indirectly discriminate against or exclude persons with disabilities.</w:t>
                      </w:r>
                      <w:r w:rsidR="003D2F8F" w:rsidRPr="00820B09">
                        <w:rPr>
                          <w:rFonts w:asciiTheme="majorHAnsi" w:hAnsiTheme="majorHAnsi"/>
                          <w:sz w:val="20"/>
                          <w:szCs w:val="20"/>
                        </w:rPr>
                        <w:t xml:space="preserve"> </w:t>
                      </w:r>
                      <w:r w:rsidR="003D2F8F" w:rsidRPr="00820B09">
                        <w:rPr>
                          <w:rFonts w:asciiTheme="majorHAnsi" w:hAnsiTheme="majorHAnsi"/>
                          <w:sz w:val="20"/>
                          <w:szCs w:val="15"/>
                        </w:rPr>
                        <w:t>Direct discrimination includes criteria that exclude persons from holding products or services, or requires them to appoint a third party in order to access or use their accounts, on the basis of their disability or a medical diagnosis.</w:t>
                      </w:r>
                    </w:p>
                  </w:txbxContent>
                </v:textbox>
                <w10:wrap type="square"/>
              </v:shape>
            </w:pict>
          </mc:Fallback>
        </mc:AlternateContent>
      </w:r>
    </w:p>
    <w:p w14:paraId="78C3BD6F" w14:textId="0F7549BB" w:rsidR="006827A5" w:rsidRPr="00A608EE" w:rsidRDefault="006827A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08473FC4" w14:textId="77777777" w:rsidR="006827A5" w:rsidRPr="00A608EE" w:rsidRDefault="006827A5" w:rsidP="00A27AAA">
      <w:pPr>
        <w:numPr>
          <w:ilvl w:val="0"/>
          <w:numId w:val="209"/>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offers a wide range of well-adapted savings, loan, insurance or combined products/services that help clients to finance effectively major life cycle events, like weddings, child birth, housing, children’s education, and funerals.</w:t>
      </w:r>
    </w:p>
    <w:p w14:paraId="3066002C" w14:textId="77777777" w:rsidR="006827A5" w:rsidRPr="00A608EE" w:rsidRDefault="006827A5" w:rsidP="00A27AAA">
      <w:pPr>
        <w:numPr>
          <w:ilvl w:val="0"/>
          <w:numId w:val="209"/>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offers only one or two products/services that help clients to finance major life cycle events.</w:t>
      </w:r>
    </w:p>
    <w:p w14:paraId="542153C7" w14:textId="77777777" w:rsidR="006827A5" w:rsidRPr="00A608EE" w:rsidRDefault="006827A5" w:rsidP="00A27AAA">
      <w:pPr>
        <w:numPr>
          <w:ilvl w:val="0"/>
          <w:numId w:val="209"/>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does not offer a single product/service that helps clients to finance major life cycle events.</w:t>
      </w:r>
    </w:p>
    <w:p w14:paraId="705A9DF0" w14:textId="77777777" w:rsidR="006827A5" w:rsidRPr="00A608EE" w:rsidRDefault="006827A5" w:rsidP="00EE208A">
      <w:pPr>
        <w:jc w:val="both"/>
        <w:rPr>
          <w:rFonts w:asciiTheme="majorHAnsi" w:hAnsiTheme="majorHAnsi"/>
          <w:sz w:val="20"/>
          <w:szCs w:val="20"/>
          <w:lang w:eastAsia="fr-FR"/>
        </w:rPr>
      </w:pPr>
    </w:p>
    <w:p w14:paraId="1D97D130" w14:textId="35CC0EA5" w:rsidR="006827A5" w:rsidRPr="00A608EE" w:rsidRDefault="006827A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6440D462" w14:textId="77777777" w:rsidR="006827A5" w:rsidRPr="00A608EE" w:rsidRDefault="006827A5" w:rsidP="00A27AAA">
      <w:pPr>
        <w:numPr>
          <w:ilvl w:val="0"/>
          <w:numId w:val="210"/>
        </w:numPr>
        <w:jc w:val="both"/>
        <w:rPr>
          <w:rFonts w:asciiTheme="majorHAnsi" w:hAnsiTheme="majorHAnsi"/>
          <w:sz w:val="20"/>
          <w:szCs w:val="20"/>
          <w:lang w:eastAsia="fr-FR"/>
        </w:rPr>
      </w:pPr>
      <w:r w:rsidRPr="00A608EE">
        <w:rPr>
          <w:rFonts w:asciiTheme="majorHAnsi" w:hAnsiTheme="majorHAnsi"/>
          <w:sz w:val="20"/>
          <w:szCs w:val="20"/>
          <w:lang w:eastAsia="fr-FR"/>
        </w:rPr>
        <w:t>Loan Policy &amp; Operational manual(s)</w:t>
      </w:r>
    </w:p>
    <w:p w14:paraId="2620AB6A" w14:textId="77777777" w:rsidR="006827A5" w:rsidRPr="00A608EE" w:rsidRDefault="006827A5" w:rsidP="00A27AAA">
      <w:pPr>
        <w:numPr>
          <w:ilvl w:val="0"/>
          <w:numId w:val="210"/>
        </w:numPr>
        <w:jc w:val="both"/>
        <w:rPr>
          <w:rFonts w:asciiTheme="majorHAnsi" w:hAnsiTheme="majorHAnsi"/>
          <w:sz w:val="20"/>
          <w:szCs w:val="20"/>
          <w:lang w:eastAsia="fr-FR"/>
        </w:rPr>
      </w:pPr>
      <w:r w:rsidRPr="00A608EE">
        <w:rPr>
          <w:rFonts w:asciiTheme="majorHAnsi" w:hAnsiTheme="majorHAnsi"/>
          <w:sz w:val="20"/>
          <w:szCs w:val="20"/>
          <w:lang w:eastAsia="fr-FR"/>
        </w:rPr>
        <w:t>Savings Policy &amp; operational manual(s)</w:t>
      </w:r>
    </w:p>
    <w:p w14:paraId="4E5CC5FE" w14:textId="77777777" w:rsidR="006827A5" w:rsidRPr="00A608EE" w:rsidRDefault="006827A5" w:rsidP="00A27AAA">
      <w:pPr>
        <w:numPr>
          <w:ilvl w:val="0"/>
          <w:numId w:val="210"/>
        </w:numPr>
        <w:jc w:val="both"/>
        <w:rPr>
          <w:rFonts w:asciiTheme="majorHAnsi" w:hAnsiTheme="majorHAnsi"/>
          <w:sz w:val="20"/>
          <w:szCs w:val="20"/>
          <w:lang w:eastAsia="fr-FR"/>
        </w:rPr>
      </w:pPr>
      <w:r w:rsidRPr="00A608EE">
        <w:rPr>
          <w:rFonts w:asciiTheme="majorHAnsi" w:hAnsiTheme="majorHAnsi"/>
          <w:sz w:val="20"/>
          <w:szCs w:val="20"/>
          <w:lang w:eastAsia="fr-FR"/>
        </w:rPr>
        <w:t>Insurance policy &amp; Operational manual(s)</w:t>
      </w:r>
    </w:p>
    <w:p w14:paraId="58247BDC" w14:textId="77777777" w:rsidR="006827A5" w:rsidRPr="00A608EE" w:rsidRDefault="006827A5" w:rsidP="00A27AAA">
      <w:pPr>
        <w:numPr>
          <w:ilvl w:val="0"/>
          <w:numId w:val="210"/>
        </w:numPr>
        <w:jc w:val="both"/>
        <w:rPr>
          <w:rFonts w:asciiTheme="majorHAnsi" w:hAnsiTheme="majorHAnsi"/>
          <w:sz w:val="20"/>
          <w:szCs w:val="20"/>
          <w:lang w:eastAsia="fr-FR"/>
        </w:rPr>
      </w:pPr>
      <w:r w:rsidRPr="00A608EE">
        <w:rPr>
          <w:rFonts w:asciiTheme="majorHAnsi" w:hAnsiTheme="majorHAnsi"/>
          <w:sz w:val="20"/>
          <w:szCs w:val="20"/>
          <w:lang w:eastAsia="fr-FR"/>
        </w:rPr>
        <w:t>Product fact sheets and brochures</w:t>
      </w:r>
    </w:p>
    <w:p w14:paraId="0AB097EB" w14:textId="77777777" w:rsidR="006827A5" w:rsidRPr="00A608EE" w:rsidRDefault="006827A5" w:rsidP="00A27AAA">
      <w:pPr>
        <w:numPr>
          <w:ilvl w:val="0"/>
          <w:numId w:val="210"/>
        </w:numPr>
        <w:jc w:val="both"/>
        <w:rPr>
          <w:rFonts w:asciiTheme="majorHAnsi" w:hAnsiTheme="majorHAnsi"/>
          <w:sz w:val="20"/>
          <w:szCs w:val="20"/>
          <w:lang w:eastAsia="fr-FR"/>
        </w:rPr>
      </w:pPr>
      <w:r w:rsidRPr="00A608EE">
        <w:rPr>
          <w:rFonts w:asciiTheme="majorHAnsi" w:hAnsiTheme="majorHAnsi"/>
          <w:sz w:val="20"/>
          <w:szCs w:val="20"/>
          <w:lang w:eastAsia="fr-FR"/>
        </w:rPr>
        <w:t>Interviews with operations manager, branch managers</w:t>
      </w:r>
    </w:p>
    <w:p w14:paraId="33C0C28D" w14:textId="77777777" w:rsidR="006827A5" w:rsidRPr="00A608EE" w:rsidRDefault="006827A5" w:rsidP="00A27AAA">
      <w:pPr>
        <w:numPr>
          <w:ilvl w:val="0"/>
          <w:numId w:val="210"/>
        </w:numPr>
        <w:jc w:val="both"/>
        <w:rPr>
          <w:rFonts w:asciiTheme="majorHAnsi" w:hAnsiTheme="majorHAnsi"/>
          <w:sz w:val="20"/>
          <w:szCs w:val="20"/>
          <w:lang w:eastAsia="fr-FR"/>
        </w:rPr>
      </w:pPr>
      <w:r w:rsidRPr="00A608EE">
        <w:rPr>
          <w:rFonts w:asciiTheme="majorHAnsi" w:hAnsiTheme="majorHAnsi"/>
          <w:sz w:val="20"/>
          <w:szCs w:val="20"/>
          <w:lang w:eastAsia="fr-FR"/>
        </w:rPr>
        <w:t>Client interviews, incl. focus groups (optional)</w:t>
      </w:r>
    </w:p>
    <w:p w14:paraId="011F282F" w14:textId="77777777" w:rsidR="006827A5" w:rsidRPr="00A608EE" w:rsidRDefault="006827A5" w:rsidP="00EE208A">
      <w:pPr>
        <w:jc w:val="both"/>
        <w:rPr>
          <w:rFonts w:asciiTheme="majorHAnsi" w:hAnsiTheme="majorHAnsi"/>
          <w:sz w:val="20"/>
          <w:szCs w:val="20"/>
          <w:lang w:eastAsia="fr-FR"/>
        </w:rPr>
      </w:pPr>
    </w:p>
    <w:p w14:paraId="04F46D33" w14:textId="5F6A03C3" w:rsidR="006827A5" w:rsidRPr="00A608EE" w:rsidRDefault="006827A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300DE611" w14:textId="77777777" w:rsidR="006827A5" w:rsidRPr="00A608EE" w:rsidRDefault="006827A5" w:rsidP="00EE208A">
      <w:pPr>
        <w:jc w:val="both"/>
        <w:rPr>
          <w:rFonts w:asciiTheme="majorHAnsi" w:hAnsiTheme="majorHAnsi"/>
          <w:sz w:val="20"/>
          <w:szCs w:val="20"/>
          <w:lang w:eastAsia="fr-FR"/>
        </w:rPr>
      </w:pPr>
      <w:r w:rsidRPr="00A608EE">
        <w:rPr>
          <w:rFonts w:asciiTheme="majorHAnsi" w:hAnsiTheme="majorHAnsi"/>
          <w:sz w:val="20"/>
          <w:szCs w:val="20"/>
          <w:lang w:eastAsia="fr-FR"/>
        </w:rPr>
        <w:t>Specify the purpose and terms of all products/services that help clients to finance major life cycle events.</w:t>
      </w:r>
    </w:p>
    <w:p w14:paraId="77764656" w14:textId="77777777" w:rsidR="006827A5" w:rsidRPr="00A608EE" w:rsidRDefault="006827A5" w:rsidP="00EE208A">
      <w:pPr>
        <w:jc w:val="both"/>
        <w:rPr>
          <w:rFonts w:asciiTheme="majorHAnsi" w:hAnsiTheme="majorHAnsi"/>
          <w:sz w:val="20"/>
          <w:szCs w:val="20"/>
          <w:lang w:eastAsia="fr-FR"/>
        </w:rPr>
      </w:pPr>
    </w:p>
    <w:p w14:paraId="203FD7EB" w14:textId="230AFC1A" w:rsidR="006827A5" w:rsidRPr="00A608EE" w:rsidRDefault="006827A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3.B.5.3</w:t>
      </w:r>
    </w:p>
    <w:p w14:paraId="794F7245" w14:textId="77777777" w:rsidR="00890A11" w:rsidRPr="00A608EE" w:rsidRDefault="00890A11" w:rsidP="00A27AAA">
      <w:pPr>
        <w:numPr>
          <w:ilvl w:val="0"/>
          <w:numId w:val="13"/>
        </w:numPr>
        <w:jc w:val="both"/>
        <w:rPr>
          <w:rFonts w:asciiTheme="majorHAnsi" w:hAnsiTheme="majorHAnsi"/>
          <w:sz w:val="20"/>
          <w:szCs w:val="15"/>
        </w:rPr>
      </w:pPr>
      <w:hyperlink r:id="rId186" w:history="1">
        <w:r w:rsidRPr="00A608EE">
          <w:rPr>
            <w:rStyle w:val="Hyperlink"/>
            <w:rFonts w:asciiTheme="majorHAnsi" w:hAnsiTheme="majorHAnsi"/>
            <w:color w:val="auto"/>
            <w:sz w:val="20"/>
            <w:szCs w:val="15"/>
          </w:rPr>
          <w:t>Komida Uses Data-Driven Product Design</w:t>
        </w:r>
      </w:hyperlink>
    </w:p>
    <w:p w14:paraId="5E20E12E" w14:textId="21ACE9B9" w:rsidR="002A36AA" w:rsidRPr="00A608EE" w:rsidRDefault="002A36AA" w:rsidP="00EE208A">
      <w:pPr>
        <w:jc w:val="both"/>
        <w:rPr>
          <w:rFonts w:asciiTheme="majorHAnsi" w:hAnsiTheme="majorHAnsi"/>
          <w:szCs w:val="20"/>
        </w:rPr>
      </w:pPr>
    </w:p>
    <w:p w14:paraId="018F1AAE" w14:textId="77777777" w:rsidR="002A36AA" w:rsidRPr="00A608EE" w:rsidRDefault="002A36AA" w:rsidP="00EE208A">
      <w:pPr>
        <w:jc w:val="both"/>
        <w:rPr>
          <w:rFonts w:asciiTheme="majorHAnsi" w:hAnsiTheme="majorHAnsi"/>
          <w:szCs w:val="20"/>
        </w:rPr>
      </w:pPr>
      <w:r w:rsidRPr="00A608EE">
        <w:rPr>
          <w:rFonts w:asciiTheme="majorHAnsi" w:hAnsiTheme="majorHAnsi"/>
          <w:szCs w:val="20"/>
        </w:rPr>
        <w:br w:type="page"/>
      </w:r>
    </w:p>
    <w:p w14:paraId="62F29374" w14:textId="5BB59E84" w:rsidR="002A36AA" w:rsidRPr="00A608EE" w:rsidRDefault="002A36AA" w:rsidP="00EE208A">
      <w:pPr>
        <w:pStyle w:val="Heading1"/>
        <w:spacing w:before="0" w:line="240" w:lineRule="auto"/>
        <w:jc w:val="both"/>
      </w:pPr>
      <w:bookmarkStart w:id="64" w:name="_Toc230938795"/>
      <w:r w:rsidRPr="00A608EE">
        <w:lastRenderedPageBreak/>
        <w:t xml:space="preserve">Dimension 4. </w:t>
      </w:r>
      <w:r w:rsidR="001F5753" w:rsidRPr="00A608EE">
        <w:t xml:space="preserve">Client </w:t>
      </w:r>
      <w:r w:rsidRPr="00A608EE">
        <w:t>Protection</w:t>
      </w:r>
      <w:bookmarkEnd w:id="64"/>
    </w:p>
    <w:p w14:paraId="39949F50" w14:textId="77777777" w:rsidR="002A36AA" w:rsidRPr="00A608EE" w:rsidRDefault="002A36AA" w:rsidP="00EE208A">
      <w:pPr>
        <w:jc w:val="both"/>
        <w:rPr>
          <w:rFonts w:asciiTheme="majorHAnsi" w:hAnsiTheme="majorHAnsi"/>
          <w:szCs w:val="20"/>
        </w:rPr>
      </w:pPr>
    </w:p>
    <w:p w14:paraId="1D7EE3D3" w14:textId="77777777" w:rsidR="001F5753" w:rsidRPr="00A608EE" w:rsidRDefault="001F5753" w:rsidP="00EE208A">
      <w:pPr>
        <w:jc w:val="both"/>
        <w:rPr>
          <w:rFonts w:asciiTheme="majorHAnsi" w:hAnsiTheme="majorHAnsi"/>
          <w:sz w:val="20"/>
          <w:szCs w:val="20"/>
          <w:lang w:eastAsia="fr-FR"/>
        </w:rPr>
      </w:pPr>
      <w:r w:rsidRPr="00A608EE">
        <w:rPr>
          <w:rFonts w:asciiTheme="majorHAnsi" w:hAnsiTheme="majorHAnsi"/>
          <w:sz w:val="20"/>
          <w:szCs w:val="20"/>
          <w:lang w:eastAsia="fr-FR"/>
        </w:rPr>
        <w:t>Client protection is the minimum standard for all responsible financial service providers. The standards in this dimension ensure that the financial institution has the practices and systems in place to prevent harm to their clients, while those clients access and utilize their financial and non-financial services. Institutions that seek to create benefits in their clients’ lives must first ensure that they do no harm, and it’s their responsibility to prevent causing any harm to their clients.</w:t>
      </w:r>
    </w:p>
    <w:p w14:paraId="79BF3EEC" w14:textId="77777777" w:rsidR="001F5753" w:rsidRPr="00A608EE" w:rsidRDefault="001F5753" w:rsidP="00EE208A">
      <w:pPr>
        <w:jc w:val="both"/>
        <w:rPr>
          <w:rFonts w:asciiTheme="majorHAnsi" w:hAnsiTheme="majorHAnsi"/>
          <w:b/>
          <w:bCs/>
          <w:sz w:val="20"/>
          <w:szCs w:val="20"/>
          <w:lang w:eastAsia="fr-FR"/>
        </w:rPr>
      </w:pPr>
    </w:p>
    <w:p w14:paraId="27F6DCC3" w14:textId="3020EA0A" w:rsidR="001F5753" w:rsidRPr="00A608EE" w:rsidRDefault="001F5753" w:rsidP="00EE208A">
      <w:pPr>
        <w:jc w:val="both"/>
        <w:rPr>
          <w:rFonts w:asciiTheme="majorHAnsi" w:hAnsiTheme="majorHAnsi"/>
          <w:sz w:val="20"/>
          <w:szCs w:val="20"/>
          <w:lang w:eastAsia="fr-FR"/>
        </w:rPr>
      </w:pPr>
      <w:r w:rsidRPr="00A608EE">
        <w:rPr>
          <w:rFonts w:asciiTheme="majorHAnsi" w:hAnsiTheme="majorHAnsi"/>
          <w:b/>
          <w:bCs/>
          <w:sz w:val="20"/>
          <w:szCs w:val="20"/>
          <w:lang w:eastAsia="fr-FR"/>
        </w:rPr>
        <w:t>Important note</w:t>
      </w:r>
      <w:r w:rsidRPr="00A608EE">
        <w:rPr>
          <w:rFonts w:asciiTheme="majorHAnsi" w:hAnsiTheme="majorHAnsi"/>
          <w:sz w:val="20"/>
          <w:szCs w:val="20"/>
          <w:lang w:eastAsia="fr-FR"/>
        </w:rPr>
        <w:t>: the Client Protection (CP) Standards that are used for CP assessments and Certifications are not limited to this Dimension and are composed of Essential Practices and Indicators across other dimensions of the Universal Standards as well. Please refer to the Client Protection Standards Manual to see a full list.</w:t>
      </w:r>
    </w:p>
    <w:p w14:paraId="31171B9C" w14:textId="77777777" w:rsidR="001F5753" w:rsidRPr="00A608EE" w:rsidRDefault="001F5753" w:rsidP="00EE208A">
      <w:pPr>
        <w:jc w:val="both"/>
        <w:rPr>
          <w:rFonts w:asciiTheme="majorHAnsi" w:hAnsiTheme="majorHAnsi"/>
          <w:sz w:val="20"/>
          <w:szCs w:val="20"/>
          <w:lang w:eastAsia="fr-FR"/>
        </w:rPr>
      </w:pPr>
    </w:p>
    <w:p w14:paraId="447FE6C7" w14:textId="38DDD3E7" w:rsidR="001F5753" w:rsidRPr="00A608EE" w:rsidRDefault="001F5753" w:rsidP="00EE208A">
      <w:pPr>
        <w:jc w:val="both"/>
        <w:rPr>
          <w:rFonts w:asciiTheme="majorHAnsi" w:hAnsiTheme="majorHAnsi"/>
          <w:sz w:val="20"/>
          <w:szCs w:val="20"/>
          <w:lang w:eastAsia="fr-FR"/>
        </w:rPr>
      </w:pPr>
      <w:r w:rsidRPr="00A608EE">
        <w:rPr>
          <w:rFonts w:asciiTheme="majorHAnsi" w:hAnsiTheme="majorHAnsi"/>
          <w:sz w:val="20"/>
          <w:szCs w:val="20"/>
          <w:lang w:eastAsia="fr-FR"/>
        </w:rPr>
        <w:t>Dimension 4 includes five standards:</w:t>
      </w:r>
    </w:p>
    <w:p w14:paraId="79C53422" w14:textId="74147425" w:rsidR="001F5753" w:rsidRPr="00A608EE" w:rsidRDefault="001F5753" w:rsidP="00A27AAA">
      <w:pPr>
        <w:numPr>
          <w:ilvl w:val="0"/>
          <w:numId w:val="211"/>
        </w:numPr>
        <w:jc w:val="both"/>
        <w:rPr>
          <w:rFonts w:asciiTheme="majorHAnsi" w:hAnsiTheme="majorHAnsi"/>
          <w:sz w:val="20"/>
          <w:szCs w:val="20"/>
          <w:lang w:eastAsia="fr-FR"/>
        </w:rPr>
      </w:pPr>
      <w:r w:rsidRPr="00A608EE">
        <w:rPr>
          <w:rFonts w:asciiTheme="majorHAnsi" w:hAnsiTheme="majorHAnsi"/>
          <w:sz w:val="20"/>
          <w:szCs w:val="20"/>
          <w:lang w:eastAsia="fr-FR"/>
        </w:rPr>
        <w:t>Standard 4A: The provider does not overindebt clients.</w:t>
      </w:r>
    </w:p>
    <w:p w14:paraId="1D6E065F" w14:textId="7FBD18EB" w:rsidR="001F5753" w:rsidRPr="00A608EE" w:rsidRDefault="001F5753" w:rsidP="00A27AAA">
      <w:pPr>
        <w:numPr>
          <w:ilvl w:val="0"/>
          <w:numId w:val="211"/>
        </w:numPr>
        <w:jc w:val="both"/>
        <w:rPr>
          <w:rFonts w:asciiTheme="majorHAnsi" w:hAnsiTheme="majorHAnsi"/>
          <w:sz w:val="20"/>
          <w:szCs w:val="20"/>
          <w:lang w:eastAsia="fr-FR"/>
        </w:rPr>
      </w:pPr>
      <w:r w:rsidRPr="00A608EE">
        <w:rPr>
          <w:rFonts w:asciiTheme="majorHAnsi" w:hAnsiTheme="majorHAnsi"/>
          <w:sz w:val="20"/>
          <w:szCs w:val="20"/>
          <w:lang w:eastAsia="fr-FR"/>
        </w:rPr>
        <w:t>Standard 4B: The provider gives clients clear and timely information to support client decision making.</w:t>
      </w:r>
    </w:p>
    <w:p w14:paraId="20F73478" w14:textId="217522B5" w:rsidR="001F5753" w:rsidRPr="00A608EE" w:rsidRDefault="001F5753" w:rsidP="00A27AAA">
      <w:pPr>
        <w:numPr>
          <w:ilvl w:val="0"/>
          <w:numId w:val="211"/>
        </w:numPr>
        <w:jc w:val="both"/>
        <w:rPr>
          <w:rFonts w:asciiTheme="majorHAnsi" w:hAnsiTheme="majorHAnsi"/>
          <w:sz w:val="20"/>
          <w:szCs w:val="20"/>
          <w:lang w:eastAsia="fr-FR"/>
        </w:rPr>
      </w:pPr>
      <w:r w:rsidRPr="00A608EE">
        <w:rPr>
          <w:rFonts w:asciiTheme="majorHAnsi" w:hAnsiTheme="majorHAnsi"/>
          <w:sz w:val="20"/>
          <w:szCs w:val="20"/>
          <w:lang w:eastAsia="fr-FR"/>
        </w:rPr>
        <w:t>Standard 4C: The provider enforces fair and respectful treatment of clients.</w:t>
      </w:r>
    </w:p>
    <w:p w14:paraId="46A49DC9" w14:textId="54712395" w:rsidR="001F5753" w:rsidRPr="00A608EE" w:rsidRDefault="001F5753" w:rsidP="00A27AAA">
      <w:pPr>
        <w:numPr>
          <w:ilvl w:val="0"/>
          <w:numId w:val="211"/>
        </w:numPr>
        <w:jc w:val="both"/>
        <w:rPr>
          <w:rFonts w:asciiTheme="majorHAnsi" w:hAnsiTheme="majorHAnsi"/>
          <w:sz w:val="20"/>
          <w:szCs w:val="20"/>
          <w:lang w:eastAsia="fr-FR"/>
        </w:rPr>
      </w:pPr>
      <w:r w:rsidRPr="00A608EE">
        <w:rPr>
          <w:rFonts w:asciiTheme="majorHAnsi" w:hAnsiTheme="majorHAnsi"/>
          <w:sz w:val="20"/>
          <w:szCs w:val="20"/>
          <w:lang w:eastAsia="fr-FR"/>
        </w:rPr>
        <w:t>Standard 4D: The provider secures client data and informs clients about their data rights.</w:t>
      </w:r>
    </w:p>
    <w:p w14:paraId="3445F8B8" w14:textId="17E18DCA" w:rsidR="001F5753" w:rsidRPr="00A608EE" w:rsidRDefault="001F5753" w:rsidP="00A27AAA">
      <w:pPr>
        <w:numPr>
          <w:ilvl w:val="0"/>
          <w:numId w:val="211"/>
        </w:numPr>
        <w:jc w:val="both"/>
        <w:rPr>
          <w:rFonts w:asciiTheme="majorHAnsi" w:hAnsiTheme="majorHAnsi"/>
          <w:sz w:val="20"/>
          <w:szCs w:val="20"/>
          <w:lang w:eastAsia="fr-FR"/>
        </w:rPr>
      </w:pPr>
      <w:r w:rsidRPr="00A608EE">
        <w:rPr>
          <w:rFonts w:asciiTheme="majorHAnsi" w:hAnsiTheme="majorHAnsi"/>
          <w:sz w:val="20"/>
          <w:szCs w:val="20"/>
          <w:lang w:eastAsia="fr-FR"/>
        </w:rPr>
        <w:t>Standard 4E: The provider receives and resolves client complaints.</w:t>
      </w:r>
    </w:p>
    <w:p w14:paraId="0FE16925" w14:textId="77777777" w:rsidR="00910B31" w:rsidRPr="00A608EE" w:rsidRDefault="00910B31" w:rsidP="00EE208A">
      <w:pPr>
        <w:jc w:val="both"/>
        <w:rPr>
          <w:rFonts w:asciiTheme="majorHAnsi" w:hAnsiTheme="majorHAnsi"/>
          <w:szCs w:val="20"/>
        </w:rPr>
      </w:pPr>
    </w:p>
    <w:p w14:paraId="57031837" w14:textId="52C517DB" w:rsidR="00BB442E" w:rsidRPr="00A608EE" w:rsidRDefault="001F5753" w:rsidP="00EE208A">
      <w:pPr>
        <w:pStyle w:val="Heading2"/>
        <w:spacing w:before="0" w:line="240" w:lineRule="auto"/>
        <w:jc w:val="both"/>
      </w:pPr>
      <w:bookmarkStart w:id="65" w:name="_Toc230938796"/>
      <w:r w:rsidRPr="00A608EE">
        <w:t>Standard 4A. The provider does not overindebt clients.</w:t>
      </w:r>
      <w:bookmarkEnd w:id="65"/>
    </w:p>
    <w:p w14:paraId="75F9FB27" w14:textId="77777777" w:rsidR="00D66BAA" w:rsidRPr="00A608EE" w:rsidRDefault="00D66BAA" w:rsidP="00EE208A">
      <w:pPr>
        <w:jc w:val="both"/>
        <w:rPr>
          <w:rFonts w:asciiTheme="majorHAnsi" w:hAnsiTheme="majorHAnsi"/>
          <w:sz w:val="20"/>
          <w:szCs w:val="20"/>
        </w:rPr>
      </w:pPr>
    </w:p>
    <w:p w14:paraId="45BE6E54" w14:textId="77777777" w:rsidR="001F5753" w:rsidRPr="00A608EE" w:rsidRDefault="001F5753" w:rsidP="00EE208A">
      <w:pPr>
        <w:jc w:val="both"/>
        <w:rPr>
          <w:rFonts w:asciiTheme="majorHAnsi" w:hAnsiTheme="majorHAnsi"/>
          <w:sz w:val="20"/>
          <w:szCs w:val="20"/>
          <w:lang w:eastAsia="fr-FR"/>
        </w:rPr>
      </w:pPr>
      <w:r w:rsidRPr="00A608EE">
        <w:rPr>
          <w:rFonts w:asciiTheme="majorHAnsi" w:hAnsiTheme="majorHAnsi"/>
          <w:sz w:val="20"/>
          <w:szCs w:val="20"/>
          <w:lang w:eastAsia="fr-FR"/>
        </w:rPr>
        <w:t>Providers are responsible to take adequate care in all phases of their credit process to determine each client’s repayment capacity and provide credit within this capacity, such that clients can repay without risk of becoming over-indebted. In addition, providers implement and monitor internal systems that support prevention of over-indebtedness and foster efforts to improve market-level credit risk management (such as credit information sharing/reporting).</w:t>
      </w:r>
    </w:p>
    <w:p w14:paraId="780E4240" w14:textId="77777777" w:rsidR="001F5753" w:rsidRPr="00A608EE" w:rsidRDefault="001F5753" w:rsidP="00EE208A">
      <w:pPr>
        <w:jc w:val="both"/>
        <w:rPr>
          <w:rFonts w:asciiTheme="majorHAnsi" w:hAnsiTheme="majorHAnsi"/>
          <w:sz w:val="20"/>
          <w:szCs w:val="20"/>
          <w:lang w:eastAsia="fr-FR"/>
        </w:rPr>
      </w:pPr>
    </w:p>
    <w:p w14:paraId="359B6C16" w14:textId="653D345A" w:rsidR="001F5753" w:rsidRPr="00A608EE" w:rsidRDefault="001F5753" w:rsidP="00EE208A">
      <w:pPr>
        <w:jc w:val="both"/>
        <w:rPr>
          <w:rFonts w:asciiTheme="majorHAnsi" w:hAnsiTheme="majorHAnsi"/>
          <w:sz w:val="20"/>
          <w:szCs w:val="20"/>
          <w:lang w:eastAsia="fr-FR"/>
        </w:rPr>
      </w:pPr>
      <w:r w:rsidRPr="00A608EE">
        <w:rPr>
          <w:rFonts w:asciiTheme="majorHAnsi" w:hAnsiTheme="majorHAnsi"/>
          <w:sz w:val="20"/>
          <w:szCs w:val="20"/>
          <w:lang w:eastAsia="fr-FR"/>
        </w:rPr>
        <w:t>This standard has 2 essential practices:</w:t>
      </w:r>
    </w:p>
    <w:p w14:paraId="268E68CD" w14:textId="3CAC2E38" w:rsidR="001F5753" w:rsidRPr="00A608EE" w:rsidRDefault="001F5753" w:rsidP="00A27AAA">
      <w:pPr>
        <w:pStyle w:val="ListParagraph"/>
        <w:numPr>
          <w:ilvl w:val="0"/>
          <w:numId w:val="212"/>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Essential practice 4.A.1: The provider makes loan decisions based on a client's repayment capacity.</w:t>
      </w:r>
    </w:p>
    <w:p w14:paraId="40574E06" w14:textId="2C8CFC18" w:rsidR="001F5753" w:rsidRPr="00A608EE" w:rsidRDefault="001F5753" w:rsidP="00A27AAA">
      <w:pPr>
        <w:pStyle w:val="ListParagraph"/>
        <w:numPr>
          <w:ilvl w:val="0"/>
          <w:numId w:val="212"/>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Essential practice 4.A.2: The provider monitors the market and responds to heightened over-indebtedness risk.</w:t>
      </w:r>
    </w:p>
    <w:p w14:paraId="585BDD68" w14:textId="77777777" w:rsidR="00910B31" w:rsidRPr="00A608EE" w:rsidRDefault="00910B31" w:rsidP="00EE208A">
      <w:pPr>
        <w:shd w:val="clear" w:color="auto" w:fill="FFFFFF"/>
        <w:jc w:val="both"/>
        <w:rPr>
          <w:rFonts w:asciiTheme="majorHAnsi" w:hAnsiTheme="majorHAnsi"/>
          <w:szCs w:val="20"/>
        </w:rPr>
      </w:pPr>
    </w:p>
    <w:p w14:paraId="4EB951E2" w14:textId="6CE4F55E" w:rsidR="005A4155" w:rsidRPr="00A608EE" w:rsidRDefault="005A4155" w:rsidP="00EE208A">
      <w:pPr>
        <w:pStyle w:val="Heading3"/>
        <w:spacing w:before="0" w:line="240" w:lineRule="auto"/>
        <w:jc w:val="both"/>
      </w:pPr>
      <w:bookmarkStart w:id="66" w:name="_Toc230938797"/>
      <w:r w:rsidRPr="00A608EE">
        <w:rPr>
          <w:rStyle w:val="text-primary"/>
        </w:rPr>
        <w:t>4.A.1</w:t>
      </w:r>
      <w:r w:rsidRPr="00A608EE">
        <w:t xml:space="preserve"> </w:t>
      </w:r>
      <w:r w:rsidR="005D7607" w:rsidRPr="00A608EE">
        <w:t>The provider makes loan decisions based on a client's repayment capacity</w:t>
      </w:r>
      <w:r w:rsidR="003579BD" w:rsidRPr="00A608EE">
        <w:t>.</w:t>
      </w:r>
      <w:bookmarkEnd w:id="66"/>
    </w:p>
    <w:p w14:paraId="32FD4832" w14:textId="77777777" w:rsidR="00FC51C1" w:rsidRPr="00A608EE" w:rsidRDefault="00FC51C1" w:rsidP="00EE208A">
      <w:pPr>
        <w:jc w:val="both"/>
        <w:rPr>
          <w:sz w:val="20"/>
          <w:szCs w:val="20"/>
        </w:rPr>
      </w:pPr>
    </w:p>
    <w:p w14:paraId="1DE6A1B7" w14:textId="77777777" w:rsidR="005D7607" w:rsidRPr="00A608EE" w:rsidRDefault="005D7607" w:rsidP="00EE208A">
      <w:pPr>
        <w:jc w:val="both"/>
        <w:rPr>
          <w:rFonts w:ascii="Work Sans" w:eastAsia="Work Sans" w:hAnsi="Work Sans" w:cs="Work Sans"/>
          <w:color w:val="000000" w:themeColor="background1"/>
          <w:sz w:val="20"/>
          <w:szCs w:val="20"/>
        </w:rPr>
      </w:pPr>
      <w:r w:rsidRPr="00A608EE">
        <w:rPr>
          <w:rFonts w:asciiTheme="majorHAnsi" w:hAnsiTheme="majorHAnsi" w:cstheme="majorBidi"/>
          <w:sz w:val="20"/>
          <w:szCs w:val="20"/>
          <w:lang w:eastAsia="fr-FR"/>
        </w:rPr>
        <w:t>Providers should have policies, especially for field staff, that define each step in the loan analysis and credit approval process and help prevent client over-indebtedness.  Loan collateral/guarantees (cash deposits, assets, joint liability, co-signers, or salaries) should not substitute for good repayment capacity analysis. Make sure that field staff not only know the procedures but understand why over-indebtedness is dangerous for clients and the institution as well as bad for their own portfolios. For more information about the causes of over-indebtedness and the consequences for clients, you can read the field example below on Musoma and/or these market level studies:</w:t>
      </w:r>
    </w:p>
    <w:p w14:paraId="353467CF" w14:textId="526C402B" w:rsidR="7C16D02A" w:rsidRPr="00A608EE" w:rsidRDefault="7C16D02A" w:rsidP="00A27AAA">
      <w:pPr>
        <w:numPr>
          <w:ilvl w:val="0"/>
          <w:numId w:val="14"/>
        </w:numPr>
        <w:jc w:val="both"/>
        <w:rPr>
          <w:rFonts w:ascii="Work Sans" w:eastAsia="Work Sans" w:hAnsi="Work Sans" w:cs="Work Sans"/>
          <w:color w:val="000000" w:themeColor="background1"/>
          <w:sz w:val="20"/>
          <w:szCs w:val="20"/>
        </w:rPr>
      </w:pPr>
      <w:hyperlink r:id="rId187">
        <w:r w:rsidRPr="00A608EE">
          <w:rPr>
            <w:rStyle w:val="Hyperlink"/>
            <w:rFonts w:ascii="Work Sans" w:eastAsia="Work Sans" w:hAnsi="Work Sans" w:cs="Work Sans"/>
            <w:sz w:val="20"/>
            <w:szCs w:val="20"/>
          </w:rPr>
          <w:t>Over-indebtedness of Microborrowers in Ghana</w:t>
        </w:r>
      </w:hyperlink>
    </w:p>
    <w:p w14:paraId="7A3B574A" w14:textId="3637312E" w:rsidR="7C16D02A" w:rsidRPr="00A608EE" w:rsidRDefault="7C16D02A" w:rsidP="00A27AAA">
      <w:pPr>
        <w:pStyle w:val="ListParagraph"/>
        <w:numPr>
          <w:ilvl w:val="0"/>
          <w:numId w:val="14"/>
        </w:numPr>
        <w:spacing w:after="0" w:line="240" w:lineRule="auto"/>
        <w:jc w:val="both"/>
        <w:rPr>
          <w:rFonts w:eastAsia="Work Sans"/>
          <w:color w:val="000000" w:themeColor="background1"/>
          <w:szCs w:val="20"/>
        </w:rPr>
      </w:pPr>
      <w:hyperlink r:id="rId188">
        <w:r w:rsidRPr="00A608EE">
          <w:rPr>
            <w:rStyle w:val="Hyperlink"/>
            <w:rFonts w:ascii="Work Sans" w:eastAsia="Work Sans" w:hAnsi="Work Sans" w:cs="Work Sans"/>
            <w:szCs w:val="20"/>
          </w:rPr>
          <w:t>Drivers of Over-Indebtedness of Microfinance Borrowers in Cambodia: An In-depth Investigation of Saturated Area</w:t>
        </w:r>
      </w:hyperlink>
    </w:p>
    <w:p w14:paraId="55586245" w14:textId="2EAE00E3" w:rsidR="7C16D02A" w:rsidRPr="00A608EE" w:rsidRDefault="7C16D02A" w:rsidP="00A27AAA">
      <w:pPr>
        <w:pStyle w:val="ListParagraph"/>
        <w:numPr>
          <w:ilvl w:val="0"/>
          <w:numId w:val="14"/>
        </w:numPr>
        <w:spacing w:after="0" w:line="240" w:lineRule="auto"/>
        <w:jc w:val="both"/>
        <w:rPr>
          <w:rFonts w:eastAsia="Work Sans"/>
          <w:color w:val="000000" w:themeColor="background1"/>
          <w:szCs w:val="20"/>
        </w:rPr>
      </w:pPr>
      <w:hyperlink r:id="rId189">
        <w:r w:rsidRPr="00A608EE">
          <w:rPr>
            <w:rStyle w:val="Hyperlink"/>
            <w:rFonts w:ascii="Work Sans" w:eastAsia="Work Sans" w:hAnsi="Work Sans" w:cs="Work Sans"/>
            <w:szCs w:val="20"/>
          </w:rPr>
          <w:t>Musoma Investigates and A</w:t>
        </w:r>
        <w:r w:rsidR="00C37E87" w:rsidRPr="00A608EE">
          <w:rPr>
            <w:rStyle w:val="Hyperlink"/>
            <w:rFonts w:ascii="Work Sans" w:eastAsia="Work Sans" w:hAnsi="Work Sans" w:cs="Work Sans"/>
            <w:szCs w:val="20"/>
          </w:rPr>
          <w:t>d</w:t>
        </w:r>
        <w:r w:rsidRPr="00A608EE">
          <w:rPr>
            <w:rStyle w:val="Hyperlink"/>
            <w:rFonts w:ascii="Work Sans" w:eastAsia="Work Sans" w:hAnsi="Work Sans" w:cs="Work Sans"/>
            <w:szCs w:val="20"/>
          </w:rPr>
          <w:t>dresses Causes of Over-Indebtedness</w:t>
        </w:r>
      </w:hyperlink>
    </w:p>
    <w:p w14:paraId="7FD70DCF" w14:textId="77777777" w:rsidR="00910B31" w:rsidRPr="00A608EE" w:rsidRDefault="00910B31" w:rsidP="00EE208A">
      <w:pPr>
        <w:jc w:val="both"/>
        <w:rPr>
          <w:rFonts w:asciiTheme="majorHAnsi" w:hAnsiTheme="majorHAnsi" w:cstheme="majorHAnsi"/>
          <w:szCs w:val="20"/>
        </w:rPr>
      </w:pPr>
    </w:p>
    <w:p w14:paraId="68BEF864" w14:textId="77777777" w:rsidR="00942A43" w:rsidRPr="00A608EE" w:rsidRDefault="00942A43" w:rsidP="00EE208A">
      <w:pPr>
        <w:jc w:val="both"/>
        <w:rPr>
          <w:rFonts w:asciiTheme="majorHAnsi" w:hAnsiTheme="majorHAnsi"/>
          <w:b/>
          <w:bCs/>
          <w:sz w:val="20"/>
          <w:szCs w:val="20"/>
        </w:rPr>
      </w:pPr>
    </w:p>
    <w:p w14:paraId="34BF9613" w14:textId="799F20EC" w:rsidR="005D7607" w:rsidRPr="00A608EE" w:rsidRDefault="005D7607" w:rsidP="00EE208A">
      <w:pPr>
        <w:jc w:val="both"/>
        <w:rPr>
          <w:rFonts w:asciiTheme="majorHAnsi" w:hAnsiTheme="majorHAnsi"/>
          <w:b/>
          <w:bCs/>
          <w:sz w:val="20"/>
          <w:szCs w:val="20"/>
        </w:rPr>
      </w:pPr>
      <w:r w:rsidRPr="00A608EE">
        <w:rPr>
          <w:rFonts w:asciiTheme="majorHAnsi" w:hAnsiTheme="majorHAnsi"/>
          <w:b/>
          <w:bCs/>
          <w:sz w:val="20"/>
          <w:szCs w:val="20"/>
        </w:rPr>
        <w:lastRenderedPageBreak/>
        <w:t>Resources for essential practice 4.A.1</w:t>
      </w:r>
    </w:p>
    <w:p w14:paraId="34ED1757" w14:textId="77777777" w:rsidR="005D7607" w:rsidRPr="00A608EE" w:rsidRDefault="005D7607" w:rsidP="00A27AAA">
      <w:pPr>
        <w:numPr>
          <w:ilvl w:val="0"/>
          <w:numId w:val="213"/>
        </w:numPr>
        <w:jc w:val="both"/>
        <w:rPr>
          <w:rFonts w:asciiTheme="majorHAnsi" w:hAnsiTheme="majorHAnsi"/>
          <w:sz w:val="20"/>
          <w:szCs w:val="20"/>
        </w:rPr>
      </w:pPr>
      <w:hyperlink r:id="rId190" w:history="1">
        <w:r w:rsidRPr="00A608EE">
          <w:rPr>
            <w:rStyle w:val="Hyperlink"/>
            <w:rFonts w:asciiTheme="majorHAnsi" w:hAnsiTheme="majorHAnsi"/>
            <w:sz w:val="20"/>
            <w:szCs w:val="20"/>
          </w:rPr>
          <w:t>Avoidance of Over-indebtedness: Guidelines for Financial and Non-financial Evaluation </w:t>
        </w:r>
      </w:hyperlink>
    </w:p>
    <w:p w14:paraId="06A5468A" w14:textId="77777777" w:rsidR="005D7607" w:rsidRPr="00A608EE" w:rsidRDefault="005D7607" w:rsidP="00A27AAA">
      <w:pPr>
        <w:numPr>
          <w:ilvl w:val="0"/>
          <w:numId w:val="213"/>
        </w:numPr>
        <w:jc w:val="both"/>
        <w:rPr>
          <w:rFonts w:asciiTheme="majorHAnsi" w:hAnsiTheme="majorHAnsi"/>
          <w:sz w:val="20"/>
          <w:szCs w:val="20"/>
        </w:rPr>
      </w:pPr>
      <w:hyperlink r:id="rId191" w:history="1">
        <w:r w:rsidRPr="00A608EE">
          <w:rPr>
            <w:rStyle w:val="Hyperlink"/>
            <w:rFonts w:asciiTheme="majorHAnsi" w:hAnsiTheme="majorHAnsi"/>
            <w:sz w:val="20"/>
            <w:szCs w:val="20"/>
          </w:rPr>
          <w:t>Smart Lending: Guidelines for Client Protection in the Group Loan Process</w:t>
        </w:r>
      </w:hyperlink>
      <w:r w:rsidRPr="00A608EE">
        <w:rPr>
          <w:sz w:val="20"/>
          <w:szCs w:val="20"/>
        </w:rPr>
        <w:t> </w:t>
      </w:r>
    </w:p>
    <w:p w14:paraId="0D8FDF1F" w14:textId="77777777" w:rsidR="005D7607" w:rsidRPr="00A608EE" w:rsidRDefault="005D7607" w:rsidP="00A27AAA">
      <w:pPr>
        <w:numPr>
          <w:ilvl w:val="0"/>
          <w:numId w:val="213"/>
        </w:numPr>
        <w:jc w:val="both"/>
        <w:rPr>
          <w:rFonts w:asciiTheme="majorHAnsi" w:hAnsiTheme="majorHAnsi"/>
          <w:sz w:val="20"/>
          <w:szCs w:val="20"/>
        </w:rPr>
      </w:pPr>
      <w:r w:rsidRPr="00A608EE">
        <w:rPr>
          <w:rFonts w:asciiTheme="majorHAnsi" w:hAnsiTheme="majorHAnsi"/>
          <w:sz w:val="20"/>
          <w:szCs w:val="20"/>
        </w:rPr>
        <w:t>Tool for integrating client protection into the </w:t>
      </w:r>
      <w:hyperlink r:id="rId192" w:history="1">
        <w:r w:rsidRPr="00A608EE">
          <w:rPr>
            <w:rStyle w:val="Hyperlink"/>
            <w:rFonts w:asciiTheme="majorHAnsi" w:hAnsiTheme="majorHAnsi"/>
            <w:sz w:val="20"/>
            <w:szCs w:val="20"/>
          </w:rPr>
          <w:t>Group Loan Process</w:t>
        </w:r>
      </w:hyperlink>
    </w:p>
    <w:p w14:paraId="636F6A92" w14:textId="77777777" w:rsidR="005D7607" w:rsidRPr="00A608EE" w:rsidRDefault="005D7607" w:rsidP="00A27AAA">
      <w:pPr>
        <w:numPr>
          <w:ilvl w:val="0"/>
          <w:numId w:val="213"/>
        </w:numPr>
        <w:jc w:val="both"/>
        <w:rPr>
          <w:rFonts w:asciiTheme="majorHAnsi" w:hAnsiTheme="majorHAnsi"/>
          <w:sz w:val="20"/>
          <w:szCs w:val="20"/>
          <w:lang w:val="es-ES"/>
        </w:rPr>
      </w:pPr>
      <w:hyperlink r:id="rId193" w:tgtFrame="_blank" w:history="1">
        <w:r w:rsidRPr="00A608EE">
          <w:rPr>
            <w:rStyle w:val="Hyperlink"/>
            <w:rFonts w:asciiTheme="majorHAnsi" w:hAnsiTheme="majorHAnsi"/>
            <w:sz w:val="20"/>
            <w:szCs w:val="20"/>
            <w:lang w:val="es-ES"/>
          </w:rPr>
          <w:t>Préstamo SMART : Protección al cliente en el proceso de crédito grupal - Una guía general para incorporar las prácticas de protección al cliente al proceso de crédito en grupo para instituciones de microfinanzas</w:t>
        </w:r>
      </w:hyperlink>
    </w:p>
    <w:p w14:paraId="445859BA" w14:textId="090DD1EA" w:rsidR="005D7607" w:rsidRPr="00A608EE" w:rsidRDefault="005D7607" w:rsidP="00A27AAA">
      <w:pPr>
        <w:numPr>
          <w:ilvl w:val="0"/>
          <w:numId w:val="213"/>
        </w:numPr>
        <w:jc w:val="both"/>
        <w:rPr>
          <w:rFonts w:asciiTheme="majorHAnsi" w:hAnsiTheme="majorHAnsi"/>
          <w:sz w:val="20"/>
          <w:szCs w:val="20"/>
          <w:lang w:val="es-ES"/>
        </w:rPr>
      </w:pPr>
      <w:hyperlink r:id="rId194" w:tgtFrame="_blank" w:history="1">
        <w:r w:rsidRPr="00A608EE">
          <w:rPr>
            <w:rStyle w:val="Hyperlink"/>
            <w:rFonts w:asciiTheme="majorHAnsi" w:hAnsiTheme="majorHAnsi"/>
            <w:sz w:val="20"/>
            <w:szCs w:val="20"/>
            <w:lang w:val="es-ES"/>
          </w:rPr>
          <w:t>SMART Lending : Protección al cliente en el proceso de crédito indiv</w:t>
        </w:r>
        <w:r w:rsidR="00C37E87" w:rsidRPr="00A608EE">
          <w:rPr>
            <w:rStyle w:val="Hyperlink"/>
            <w:rFonts w:asciiTheme="majorHAnsi" w:hAnsiTheme="majorHAnsi"/>
            <w:sz w:val="20"/>
            <w:szCs w:val="20"/>
            <w:lang w:val="es-ES"/>
          </w:rPr>
          <w:t>id</w:t>
        </w:r>
        <w:r w:rsidRPr="00A608EE">
          <w:rPr>
            <w:rStyle w:val="Hyperlink"/>
            <w:rFonts w:asciiTheme="majorHAnsi" w:hAnsiTheme="majorHAnsi"/>
            <w:sz w:val="20"/>
            <w:szCs w:val="20"/>
            <w:lang w:val="es-ES"/>
          </w:rPr>
          <w:t>ual - Una Guía para Incorporar las Prácticas de Protección al Cliente al Proceso de Crédito Individual para Instituciones de Microfinanzas</w:t>
        </w:r>
      </w:hyperlink>
    </w:p>
    <w:p w14:paraId="0C7703A0" w14:textId="77777777" w:rsidR="005D7607" w:rsidRPr="00A608EE" w:rsidRDefault="005D7607" w:rsidP="00A27AAA">
      <w:pPr>
        <w:numPr>
          <w:ilvl w:val="0"/>
          <w:numId w:val="213"/>
        </w:numPr>
        <w:jc w:val="both"/>
        <w:rPr>
          <w:rFonts w:asciiTheme="majorHAnsi" w:hAnsiTheme="majorHAnsi"/>
          <w:sz w:val="20"/>
          <w:szCs w:val="20"/>
          <w:lang w:val="es-ES"/>
        </w:rPr>
      </w:pPr>
      <w:hyperlink r:id="rId195" w:tgtFrame="_blank" w:history="1">
        <w:r w:rsidRPr="00A608EE">
          <w:rPr>
            <w:rStyle w:val="Hyperlink"/>
            <w:rFonts w:asciiTheme="majorHAnsi" w:hAnsiTheme="majorHAnsi"/>
            <w:sz w:val="20"/>
            <w:szCs w:val="20"/>
            <w:lang w:val="es-ES"/>
          </w:rPr>
          <w:t>Evitar el sobreendeudamiento directrices para la evaluación financiera</w:t>
        </w:r>
      </w:hyperlink>
    </w:p>
    <w:p w14:paraId="33CFCC96" w14:textId="77777777" w:rsidR="00910B31" w:rsidRPr="00A608EE" w:rsidRDefault="00910B31" w:rsidP="00EE208A">
      <w:pPr>
        <w:jc w:val="both"/>
        <w:rPr>
          <w:rFonts w:asciiTheme="majorHAnsi" w:hAnsiTheme="majorHAnsi" w:cstheme="majorHAnsi"/>
          <w:sz w:val="20"/>
          <w:szCs w:val="20"/>
          <w:lang w:val="es-ES"/>
        </w:rPr>
      </w:pPr>
    </w:p>
    <w:p w14:paraId="7C39E4AA" w14:textId="77777777" w:rsidR="005D7607" w:rsidRPr="00A608EE" w:rsidRDefault="005D7607" w:rsidP="00EE208A">
      <w:pPr>
        <w:jc w:val="both"/>
        <w:rPr>
          <w:rFonts w:asciiTheme="majorHAnsi" w:hAnsiTheme="majorHAnsi"/>
          <w:b/>
          <w:bCs/>
          <w:sz w:val="20"/>
          <w:szCs w:val="20"/>
        </w:rPr>
      </w:pPr>
      <w:r w:rsidRPr="00A608EE">
        <w:rPr>
          <w:rFonts w:asciiTheme="majorHAnsi" w:hAnsiTheme="majorHAnsi"/>
          <w:b/>
          <w:bCs/>
          <w:sz w:val="20"/>
          <w:szCs w:val="20"/>
        </w:rPr>
        <w:t>Implementation for essential practice 4.A.1</w:t>
      </w:r>
    </w:p>
    <w:p w14:paraId="4AC2108F" w14:textId="77777777" w:rsidR="005D7607" w:rsidRPr="00A608EE" w:rsidRDefault="005D7607" w:rsidP="00EE208A">
      <w:pPr>
        <w:jc w:val="both"/>
        <w:rPr>
          <w:rFonts w:asciiTheme="majorHAnsi" w:hAnsiTheme="majorHAnsi"/>
          <w:b/>
          <w:bCs/>
          <w:sz w:val="20"/>
          <w:szCs w:val="20"/>
        </w:rPr>
      </w:pPr>
      <w:r w:rsidRPr="00A608EE">
        <w:rPr>
          <w:rFonts w:asciiTheme="majorHAnsi" w:hAnsiTheme="majorHAnsi"/>
          <w:b/>
          <w:bCs/>
          <w:sz w:val="20"/>
          <w:szCs w:val="20"/>
        </w:rPr>
        <w:t>Loan approval</w:t>
      </w:r>
    </w:p>
    <w:p w14:paraId="69700561" w14:textId="77777777" w:rsidR="005D7607" w:rsidRPr="00A608EE" w:rsidRDefault="005D7607" w:rsidP="00A27AAA">
      <w:pPr>
        <w:numPr>
          <w:ilvl w:val="0"/>
          <w:numId w:val="15"/>
        </w:numPr>
        <w:jc w:val="both"/>
        <w:rPr>
          <w:rFonts w:asciiTheme="majorHAnsi" w:hAnsiTheme="majorHAnsi" w:cstheme="majorBidi"/>
          <w:sz w:val="20"/>
          <w:szCs w:val="20"/>
        </w:rPr>
      </w:pPr>
      <w:r w:rsidRPr="00A608EE">
        <w:rPr>
          <w:rFonts w:asciiTheme="majorHAnsi" w:hAnsiTheme="majorHAnsi" w:cstheme="majorBidi"/>
          <w:sz w:val="20"/>
          <w:szCs w:val="20"/>
        </w:rPr>
        <w:t>Define the maximum percentage of a borrower’s disposable income that can be applied to debt service, including debt from your institution. Establish a maximum debt threshold (no more than 70% - where the percentage is calculated as a portion of the client’s monthly disposable income, e.g., installment/household surplus. The remaining amount (minimum 30%) is there to allow a safety net for the client in case of emergency expenses, or to account for approximation or errors in the cash-flow analysis, or for a potential unexpected drop of income. Use conservative criteria when the information collected from the client is less reliable than usual, the client is new to the provider, market saturation is high, the provider is experiencing system-wide delinquency, and in other situations where the client may be more vulnerable to over-indebtedness. Loan officers should not recommend a loan amount that exceeds the maximum debt threshold for the client. The amount recommended for the client should be based on the cash flow of the client’s household and business income, which was constructed during the repayment capacity analysis.</w:t>
      </w:r>
    </w:p>
    <w:p w14:paraId="5B924E10" w14:textId="77777777" w:rsidR="005D7607" w:rsidRPr="00A608EE" w:rsidRDefault="005D7607" w:rsidP="00A27AAA">
      <w:pPr>
        <w:numPr>
          <w:ilvl w:val="0"/>
          <w:numId w:val="15"/>
        </w:numPr>
        <w:jc w:val="both"/>
        <w:rPr>
          <w:rFonts w:asciiTheme="majorHAnsi" w:hAnsiTheme="majorHAnsi" w:cstheme="majorBidi"/>
          <w:sz w:val="20"/>
          <w:szCs w:val="20"/>
        </w:rPr>
      </w:pPr>
      <w:r w:rsidRPr="00A608EE">
        <w:rPr>
          <w:rFonts w:asciiTheme="majorHAnsi" w:hAnsiTheme="majorHAnsi" w:cstheme="majorBidi"/>
          <w:sz w:val="20"/>
          <w:szCs w:val="20"/>
        </w:rPr>
        <w:t>The benchmark used for the household surplus ratio generally increases for renewal loans, depending on the number of loans the client has with the provider, their other outstanding debts, and the client’s repayment history. For example, you may determine the threshold such that for the first loan this ratio must not exceed 50 percent, for the second loan 60 percent, and for all subsequent loans, 70 percent of the client’s monthly disposable income.</w:t>
      </w:r>
    </w:p>
    <w:p w14:paraId="21279DB6" w14:textId="77777777" w:rsidR="000C2D99" w:rsidRPr="00A608EE" w:rsidRDefault="000C2D99" w:rsidP="00EE208A">
      <w:pPr>
        <w:jc w:val="both"/>
        <w:rPr>
          <w:rFonts w:asciiTheme="majorHAnsi" w:hAnsiTheme="majorHAnsi" w:cstheme="majorHAnsi"/>
          <w:sz w:val="20"/>
          <w:szCs w:val="20"/>
        </w:rPr>
      </w:pPr>
    </w:p>
    <w:p w14:paraId="07DA01EC" w14:textId="156972AE" w:rsidR="000C2D99" w:rsidRPr="00A608EE" w:rsidRDefault="005D7607" w:rsidP="00EE208A">
      <w:pPr>
        <w:jc w:val="both"/>
        <w:rPr>
          <w:rFonts w:asciiTheme="majorHAnsi" w:hAnsiTheme="majorHAnsi"/>
          <w:b/>
          <w:bCs/>
          <w:sz w:val="20"/>
          <w:szCs w:val="20"/>
        </w:rPr>
      </w:pPr>
      <w:r w:rsidRPr="00A608EE">
        <w:rPr>
          <w:rFonts w:asciiTheme="majorHAnsi" w:hAnsiTheme="majorHAnsi"/>
          <w:b/>
          <w:bCs/>
          <w:sz w:val="20"/>
          <w:szCs w:val="20"/>
        </w:rPr>
        <w:t>Cash flow analysis</w:t>
      </w:r>
    </w:p>
    <w:p w14:paraId="57D4C3A4" w14:textId="77777777" w:rsidR="005D7607" w:rsidRPr="00A608EE" w:rsidRDefault="005D7607" w:rsidP="00A27AAA">
      <w:pPr>
        <w:pStyle w:val="NormalWeb"/>
        <w:numPr>
          <w:ilvl w:val="0"/>
          <w:numId w:val="214"/>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The cash flow analysis should take into account business and household income/expenses and liabilities from all sources, including informal ones such as a loan from a neighbor. Include all household members in the debt assessment (e.g., a spouse’s loans outstanding), and count indirect debt as well (e.g., guarantees made for another person’s loan).</w:t>
      </w:r>
    </w:p>
    <w:p w14:paraId="7AD91533" w14:textId="186245FE" w:rsidR="000C2D99" w:rsidRPr="00A608EE" w:rsidRDefault="005D7607" w:rsidP="00A27AAA">
      <w:pPr>
        <w:pStyle w:val="NormalWeb"/>
        <w:numPr>
          <w:ilvl w:val="0"/>
          <w:numId w:val="214"/>
        </w:numPr>
        <w:spacing w:before="0" w:beforeAutospacing="0" w:after="0" w:afterAutospacing="0"/>
        <w:jc w:val="both"/>
        <w:rPr>
          <w:rFonts w:asciiTheme="majorHAnsi" w:hAnsiTheme="majorHAnsi" w:cstheme="majorHAnsi"/>
          <w:sz w:val="20"/>
          <w:szCs w:val="20"/>
        </w:rPr>
      </w:pPr>
      <w:r w:rsidRPr="00A608EE">
        <w:rPr>
          <w:rFonts w:asciiTheme="majorHAnsi" w:hAnsiTheme="majorHAnsi" w:cstheme="majorBidi"/>
          <w:sz w:val="20"/>
          <w:szCs w:val="20"/>
        </w:rPr>
        <w:t>In the credit policy, the provider should list the specific sources of income that can count toward the client’s total household income. For example, remittances may be a volatile income source in some cases (e.g., a relative living abroad has an informal job and sends variable amounts on an occasional basis)—in which case they should not count as income—or they might be relatively stable (e.g., a husband has steady employment and sends regular payments)—in which case it is likely safe to count the remittances as income. Provide your loan officers with explicit guidance on different income sources and scenarios and guidance on how to account for them in the repayment capacity analysis.</w:t>
      </w:r>
    </w:p>
    <w:p w14:paraId="55A7F99C" w14:textId="77777777" w:rsidR="005D7607" w:rsidRPr="00A608EE" w:rsidRDefault="005D7607" w:rsidP="00EE208A">
      <w:pPr>
        <w:pStyle w:val="NormalWeb"/>
        <w:spacing w:before="0" w:beforeAutospacing="0" w:after="0" w:afterAutospacing="0"/>
        <w:jc w:val="both"/>
        <w:rPr>
          <w:rFonts w:asciiTheme="majorHAnsi" w:hAnsiTheme="majorHAnsi" w:cstheme="majorHAnsi"/>
          <w:sz w:val="20"/>
          <w:szCs w:val="20"/>
        </w:rPr>
      </w:pPr>
    </w:p>
    <w:p w14:paraId="750F36BE" w14:textId="09890E0D" w:rsidR="000C2D99" w:rsidRPr="00A608EE" w:rsidRDefault="005D7607" w:rsidP="00EE208A">
      <w:pPr>
        <w:jc w:val="both"/>
        <w:rPr>
          <w:rFonts w:asciiTheme="majorHAnsi" w:hAnsiTheme="majorHAnsi"/>
          <w:b/>
          <w:bCs/>
          <w:sz w:val="20"/>
          <w:szCs w:val="20"/>
        </w:rPr>
      </w:pPr>
      <w:r w:rsidRPr="00A608EE">
        <w:rPr>
          <w:rFonts w:asciiTheme="majorHAnsi" w:hAnsiTheme="majorHAnsi"/>
          <w:b/>
          <w:bCs/>
          <w:sz w:val="20"/>
          <w:szCs w:val="20"/>
        </w:rPr>
        <w:t>Pre-payment</w:t>
      </w:r>
    </w:p>
    <w:p w14:paraId="634DBD0C" w14:textId="3457F70C" w:rsidR="005D7607" w:rsidRPr="00A608EE" w:rsidRDefault="005D7607" w:rsidP="00A27AAA">
      <w:pPr>
        <w:pStyle w:val="ListParagraph"/>
        <w:numPr>
          <w:ilvl w:val="0"/>
          <w:numId w:val="215"/>
        </w:numPr>
        <w:spacing w:after="0" w:line="240" w:lineRule="auto"/>
        <w:jc w:val="both"/>
        <w:rPr>
          <w:rFonts w:asciiTheme="majorHAnsi" w:hAnsiTheme="majorHAnsi" w:cstheme="majorHAnsi"/>
          <w:szCs w:val="20"/>
        </w:rPr>
      </w:pPr>
      <w:r w:rsidRPr="00A608EE">
        <w:rPr>
          <w:rFonts w:asciiTheme="majorHAnsi" w:hAnsiTheme="majorHAnsi" w:cstheme="majorBidi"/>
          <w:szCs w:val="20"/>
        </w:rPr>
        <w:t xml:space="preserve">Enforce prudent limits for renewal in the case of early repayment. Require a “cooling off period”—a short break of one month—between loans, to inhibit clients from using borrowed money in order pay loans early and also take on a larger loan. Such behavior increases the risk of over-indebtedness and gives the impression that the client’s </w:t>
      </w:r>
      <w:r w:rsidRPr="00A608EE">
        <w:rPr>
          <w:rFonts w:asciiTheme="majorHAnsi" w:hAnsiTheme="majorHAnsi" w:cstheme="majorBidi"/>
          <w:szCs w:val="20"/>
        </w:rPr>
        <w:lastRenderedPageBreak/>
        <w:t>credit history is good, when in fact s/he is borrowing to pay off loans rather than paying off the loans with the income generated from a productive activity</w:t>
      </w:r>
    </w:p>
    <w:p w14:paraId="0ABBEDA9" w14:textId="546F96A4" w:rsidR="005A4155" w:rsidRPr="00A608EE" w:rsidRDefault="005A4155" w:rsidP="00EE208A">
      <w:pPr>
        <w:pStyle w:val="Heading4"/>
        <w:spacing w:before="0" w:line="240" w:lineRule="auto"/>
        <w:jc w:val="both"/>
      </w:pPr>
      <w:r w:rsidRPr="00A608EE">
        <w:rPr>
          <w:rStyle w:val="text-primary"/>
        </w:rPr>
        <w:t>4.A.1.1</w:t>
      </w:r>
      <w:r w:rsidRPr="00A608EE">
        <w:t xml:space="preserve"> </w:t>
      </w:r>
      <w:r w:rsidR="005D7607" w:rsidRPr="00A608EE">
        <w:t>The provider has a policy and documented process for loan approvals</w:t>
      </w:r>
      <w:r w:rsidR="00D60696" w:rsidRPr="00A608EE">
        <w:t>.</w:t>
      </w:r>
    </w:p>
    <w:p w14:paraId="06A93704" w14:textId="2C7B7CEA" w:rsidR="005D7607" w:rsidRPr="00A608EE" w:rsidRDefault="005D7607" w:rsidP="00EE208A">
      <w:pPr>
        <w:pStyle w:val="NormalWeb"/>
        <w:spacing w:before="0" w:beforeAutospacing="0" w:after="0" w:afterAutospacing="0"/>
        <w:ind w:left="708"/>
        <w:jc w:val="both"/>
        <w:rPr>
          <w:rFonts w:asciiTheme="majorHAnsi" w:hAnsiTheme="majorHAnsi" w:cstheme="majorHAnsi"/>
          <w:i/>
          <w:sz w:val="20"/>
          <w:szCs w:val="20"/>
        </w:rPr>
      </w:pPr>
      <w:r w:rsidRPr="00A608EE">
        <w:rPr>
          <w:rFonts w:asciiTheme="majorHAnsi" w:hAnsiTheme="majorHAnsi" w:cstheme="majorHAnsi"/>
          <w:i/>
          <w:sz w:val="20"/>
          <w:szCs w:val="20"/>
        </w:rPr>
        <w:t>4.A.1.1.1 The percentage of a borrower's disposable income that can be applied to debt service may not be higher than 70%, including debt from the provider and other lenders.</w:t>
      </w:r>
    </w:p>
    <w:p w14:paraId="24B0374C" w14:textId="77777777" w:rsidR="005D7607" w:rsidRPr="00A608EE" w:rsidRDefault="005D7607" w:rsidP="00EE208A">
      <w:pPr>
        <w:pStyle w:val="NormalWeb"/>
        <w:spacing w:before="0" w:beforeAutospacing="0" w:after="0" w:afterAutospacing="0"/>
        <w:ind w:left="708"/>
        <w:jc w:val="both"/>
        <w:rPr>
          <w:rFonts w:asciiTheme="majorHAnsi" w:hAnsiTheme="majorHAnsi" w:cstheme="majorHAnsi"/>
          <w:i/>
          <w:sz w:val="20"/>
          <w:szCs w:val="20"/>
        </w:rPr>
      </w:pPr>
      <w:r w:rsidRPr="00A608EE">
        <w:rPr>
          <w:rFonts w:asciiTheme="majorHAnsi" w:hAnsiTheme="majorHAnsi" w:cstheme="majorHAnsi"/>
          <w:i/>
          <w:sz w:val="20"/>
          <w:szCs w:val="20"/>
        </w:rPr>
        <w:t>4.A.1.1.2 Loan approval decisions are made by at least two people, one of whom does not interact directly with the client.</w:t>
      </w:r>
    </w:p>
    <w:p w14:paraId="174623D9" w14:textId="77777777" w:rsidR="005D7607" w:rsidRPr="00A608EE" w:rsidRDefault="005D7607" w:rsidP="00EE208A">
      <w:pPr>
        <w:pStyle w:val="NormalWeb"/>
        <w:spacing w:before="0" w:beforeAutospacing="0" w:after="0" w:afterAutospacing="0"/>
        <w:ind w:left="708"/>
        <w:jc w:val="both"/>
        <w:rPr>
          <w:rFonts w:asciiTheme="majorHAnsi" w:hAnsiTheme="majorHAnsi" w:cstheme="majorHAnsi"/>
          <w:i/>
          <w:sz w:val="20"/>
          <w:szCs w:val="20"/>
        </w:rPr>
      </w:pPr>
      <w:r w:rsidRPr="00A608EE">
        <w:rPr>
          <w:rFonts w:asciiTheme="majorHAnsi" w:hAnsiTheme="majorHAnsi" w:cstheme="majorHAnsi"/>
          <w:i/>
          <w:sz w:val="20"/>
          <w:szCs w:val="20"/>
        </w:rPr>
        <w:t>4.A.1.1.3 If a credit bureau exists, the provider reports client data to credit bureaus and uses credit reports in the approval process for loans.</w:t>
      </w:r>
    </w:p>
    <w:p w14:paraId="132005D3" w14:textId="78D9E903" w:rsidR="00E65C40" w:rsidRPr="00A608EE" w:rsidRDefault="005D7607" w:rsidP="00EE208A">
      <w:pPr>
        <w:pStyle w:val="NormalWeb"/>
        <w:spacing w:before="0" w:beforeAutospacing="0" w:after="0" w:afterAutospacing="0"/>
        <w:ind w:left="708"/>
        <w:jc w:val="both"/>
        <w:rPr>
          <w:rFonts w:asciiTheme="majorHAnsi" w:hAnsiTheme="majorHAnsi" w:cstheme="majorHAnsi"/>
          <w:i/>
          <w:iCs/>
          <w:sz w:val="20"/>
          <w:szCs w:val="20"/>
        </w:rPr>
      </w:pPr>
      <w:r w:rsidRPr="00A608EE">
        <w:rPr>
          <w:rFonts w:asciiTheme="majorHAnsi" w:hAnsiTheme="majorHAnsi" w:cstheme="majorHAnsi"/>
          <w:i/>
          <w:sz w:val="20"/>
          <w:szCs w:val="20"/>
        </w:rPr>
        <w:t>4.A.1.1.4 If the provider offers group loans, either the provider or fellow group members conduct due diligence for each group member.</w:t>
      </w:r>
    </w:p>
    <w:p w14:paraId="709141A4" w14:textId="77777777" w:rsidR="00E65C40" w:rsidRPr="00A608EE" w:rsidRDefault="00E65C40" w:rsidP="00EE208A">
      <w:pPr>
        <w:pStyle w:val="NormalWeb"/>
        <w:spacing w:before="0" w:beforeAutospacing="0" w:after="0" w:afterAutospacing="0"/>
        <w:jc w:val="both"/>
        <w:rPr>
          <w:rFonts w:asciiTheme="majorHAnsi" w:hAnsiTheme="majorHAnsi" w:cstheme="majorHAnsi"/>
          <w:sz w:val="20"/>
          <w:szCs w:val="20"/>
        </w:rPr>
      </w:pPr>
    </w:p>
    <w:p w14:paraId="1A9E1836" w14:textId="29890F5F" w:rsidR="000C2D99"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0C2D99" w:rsidRPr="00A608EE">
        <w:rPr>
          <w:rFonts w:asciiTheme="majorHAnsi" w:hAnsiTheme="majorHAnsi" w:cstheme="majorHAnsi"/>
          <w:b/>
          <w:bCs/>
          <w:color w:val="2145CC" w:themeColor="accent5" w:themeShade="BF"/>
          <w:sz w:val="20"/>
          <w:szCs w:val="20"/>
        </w:rPr>
        <w:t xml:space="preserve">ESG Risk | ALINUS | SPI5 Entry | SPI5 Full | CP Commit | CP Full </w:t>
      </w:r>
      <w:r w:rsidR="004A48FF" w:rsidRPr="00A608EE">
        <w:rPr>
          <w:rFonts w:ascii="Work Sans" w:hAnsi="Work Sans"/>
          <w:b/>
          <w:bCs/>
          <w:color w:val="2145CC" w:themeColor="accent5" w:themeShade="BF"/>
          <w:sz w:val="20"/>
          <w:szCs w:val="20"/>
        </w:rPr>
        <w:t>| DI Focus</w:t>
      </w:r>
    </w:p>
    <w:p w14:paraId="3E139D18" w14:textId="3806B4A4" w:rsidR="000C2D99" w:rsidRPr="00A608EE" w:rsidRDefault="000C2D9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5D7607"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4.A.1.1.1</w:t>
      </w:r>
      <w:r w:rsidR="005D7607" w:rsidRPr="00A608EE">
        <w:rPr>
          <w:rFonts w:asciiTheme="majorHAnsi" w:hAnsiTheme="majorHAnsi" w:cstheme="majorHAnsi"/>
          <w:b/>
          <w:bCs/>
          <w:color w:val="2145CC" w:themeColor="accent5" w:themeShade="BF"/>
          <w:sz w:val="20"/>
          <w:szCs w:val="20"/>
        </w:rPr>
        <w:t>:</w:t>
      </w:r>
      <w:r w:rsidRPr="00A608EE">
        <w:rPr>
          <w:rFonts w:asciiTheme="majorHAnsi" w:hAnsiTheme="majorHAnsi" w:cstheme="majorHAnsi"/>
          <w:b/>
          <w:bCs/>
          <w:color w:val="2145CC" w:themeColor="accent5" w:themeShade="BF"/>
          <w:sz w:val="20"/>
          <w:szCs w:val="20"/>
        </w:rPr>
        <w:t xml:space="preserve"> Progress</w:t>
      </w:r>
      <w:r w:rsidR="00EE208A" w:rsidRPr="00A608EE">
        <w:rPr>
          <w:rFonts w:asciiTheme="majorHAnsi" w:hAnsiTheme="majorHAnsi" w:cstheme="majorHAnsi"/>
          <w:b/>
          <w:bCs/>
          <w:color w:val="2145CC" w:themeColor="accent5" w:themeShade="BF"/>
          <w:sz w:val="20"/>
          <w:szCs w:val="20"/>
        </w:rPr>
        <w:t xml:space="preserve"> CP</w:t>
      </w:r>
    </w:p>
    <w:p w14:paraId="117E7485" w14:textId="4B9EED91" w:rsidR="000C2D99" w:rsidRPr="00A608EE" w:rsidRDefault="000C2D9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5D7607"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4.A.1.1.2: Entry</w:t>
      </w:r>
      <w:r w:rsidR="00EE208A" w:rsidRPr="00A608EE">
        <w:rPr>
          <w:rFonts w:asciiTheme="majorHAnsi" w:hAnsiTheme="majorHAnsi" w:cstheme="majorHAnsi"/>
          <w:b/>
          <w:bCs/>
          <w:color w:val="2145CC" w:themeColor="accent5" w:themeShade="BF"/>
          <w:sz w:val="20"/>
          <w:szCs w:val="20"/>
        </w:rPr>
        <w:t xml:space="preserve"> CP</w:t>
      </w:r>
    </w:p>
    <w:p w14:paraId="3B48BAC7" w14:textId="05A833E0" w:rsidR="000C2D99" w:rsidRPr="00A608EE" w:rsidRDefault="000C2D9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5D7607"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4.A.1.1.3: Entry</w:t>
      </w:r>
      <w:r w:rsidR="00EE208A" w:rsidRPr="00A608EE">
        <w:rPr>
          <w:rFonts w:asciiTheme="majorHAnsi" w:hAnsiTheme="majorHAnsi" w:cstheme="majorHAnsi"/>
          <w:b/>
          <w:bCs/>
          <w:color w:val="2145CC" w:themeColor="accent5" w:themeShade="BF"/>
          <w:sz w:val="20"/>
          <w:szCs w:val="20"/>
        </w:rPr>
        <w:t xml:space="preserve"> CP</w:t>
      </w:r>
    </w:p>
    <w:p w14:paraId="7032416D" w14:textId="4CBD457A" w:rsidR="000C2D99" w:rsidRPr="00A608EE" w:rsidRDefault="000C2D9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5D7607"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4.A.1.1.4: SPI5 Entry | SPI5 Full | CP Full </w:t>
      </w:r>
    </w:p>
    <w:p w14:paraId="22665CB6" w14:textId="04B3824F" w:rsidR="001D7544" w:rsidRPr="00A608EE" w:rsidRDefault="001D7544" w:rsidP="00A02AC4">
      <w:pPr>
        <w:pStyle w:val="paragraph"/>
        <w:spacing w:before="120" w:beforeAutospacing="0" w:after="120" w:afterAutospacing="0"/>
        <w:jc w:val="both"/>
        <w:textAlignment w:val="baseline"/>
        <w:rPr>
          <w:rFonts w:asciiTheme="majorHAnsi" w:hAnsiTheme="majorHAnsi" w:cstheme="majorBidi"/>
          <w:sz w:val="20"/>
          <w:szCs w:val="20"/>
        </w:rPr>
      </w:pPr>
      <w:r w:rsidRPr="00A608EE">
        <w:rPr>
          <w:rFonts w:asciiTheme="majorHAnsi" w:hAnsiTheme="majorHAnsi"/>
          <w:sz w:val="20"/>
          <w:szCs w:val="20"/>
        </w:rPr>
        <w:t> </w:t>
      </w:r>
      <w:r w:rsidR="005D7607" w:rsidRPr="00A608EE">
        <w:rPr>
          <w:rFonts w:asciiTheme="majorHAnsi" w:hAnsiTheme="majorHAnsi" w:cstheme="majorBidi"/>
          <w:sz w:val="20"/>
          <w:szCs w:val="20"/>
        </w:rPr>
        <w:t>The details listed here indicate the minimum elements that constitute an appropriate loan approval policy. This policy will likely be in the Credit Manual. The documented process will likely be the forms that loan officers fill out to conduct the research and analysis necessary for the client underwriting process. Any updates or reinforcements of the main policy document may be released as circulars, or memos, and should be reflected in training materials. These documents need to be updated regularly as key reference materials within the provider.</w:t>
      </w:r>
    </w:p>
    <w:p w14:paraId="3F60C8AF" w14:textId="53C7E4BB" w:rsidR="00672763" w:rsidRPr="00A608EE" w:rsidRDefault="00672763" w:rsidP="00A02AC4">
      <w:pPr>
        <w:pStyle w:val="paragraph"/>
        <w:spacing w:before="120" w:beforeAutospacing="0" w:after="120" w:afterAutospacing="0"/>
        <w:jc w:val="both"/>
        <w:textAlignment w:val="baseline"/>
        <w:rPr>
          <w:rFonts w:asciiTheme="majorHAnsi" w:hAnsiTheme="majorHAnsi" w:cstheme="majorBidi"/>
          <w:sz w:val="20"/>
          <w:szCs w:val="20"/>
        </w:rPr>
      </w:pPr>
      <w:r w:rsidRPr="00A608EE">
        <w:rPr>
          <w:rFonts w:asciiTheme="majorHAnsi" w:hAnsiTheme="majorHAnsi"/>
          <w:noProof/>
          <w:sz w:val="20"/>
          <w:szCs w:val="20"/>
        </w:rPr>
        <w:drawing>
          <wp:anchor distT="0" distB="0" distL="114300" distR="114300" simplePos="0" relativeHeight="251852800" behindDoc="1" locked="0" layoutInCell="1" allowOverlap="1" wp14:anchorId="5A0CC220" wp14:editId="263A4851">
            <wp:simplePos x="0" y="0"/>
            <wp:positionH relativeFrom="column">
              <wp:posOffset>8255</wp:posOffset>
            </wp:positionH>
            <wp:positionV relativeFrom="paragraph">
              <wp:posOffset>158115</wp:posOffset>
            </wp:positionV>
            <wp:extent cx="252000" cy="252000"/>
            <wp:effectExtent l="0" t="0" r="0" b="0"/>
            <wp:wrapTight wrapText="bothSides">
              <wp:wrapPolygon edited="0">
                <wp:start x="0" y="0"/>
                <wp:lineTo x="0" y="18813"/>
                <wp:lineTo x="18813" y="18813"/>
                <wp:lineTo x="18813" y="0"/>
                <wp:lineTo x="0" y="0"/>
              </wp:wrapPolygon>
            </wp:wrapTight>
            <wp:docPr id="54904012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6BDB605D" w14:textId="29D7B859"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30FCC341" w14:textId="77777777" w:rsidR="00672763" w:rsidRPr="00A608EE" w:rsidRDefault="00672763" w:rsidP="00A02AC4">
      <w:pPr>
        <w:pStyle w:val="paragraph"/>
        <w:spacing w:before="120" w:beforeAutospacing="0" w:after="120" w:afterAutospacing="0"/>
        <w:jc w:val="both"/>
        <w:textAlignment w:val="baseline"/>
        <w:rPr>
          <w:rFonts w:asciiTheme="majorHAnsi" w:hAnsiTheme="majorHAnsi" w:cstheme="majorBidi"/>
          <w:sz w:val="20"/>
          <w:szCs w:val="20"/>
        </w:rPr>
      </w:pPr>
    </w:p>
    <w:p w14:paraId="22DA6802" w14:textId="7D39F128" w:rsidR="001D7544" w:rsidRPr="00A608EE" w:rsidRDefault="00FC6779" w:rsidP="00EE208A">
      <w:pPr>
        <w:pStyle w:val="NormalWeb"/>
        <w:spacing w:before="0" w:beforeAutospacing="0" w:after="0" w:afterAutospacing="0"/>
        <w:jc w:val="both"/>
        <w:rPr>
          <w:rFonts w:asciiTheme="majorHAnsi" w:hAnsiTheme="majorHAnsi" w:cstheme="majorBid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1D7544" w:rsidRPr="00A608EE">
        <w:rPr>
          <w:rFonts w:asciiTheme="majorHAnsi" w:hAnsiTheme="majorHAnsi" w:cstheme="majorBidi"/>
          <w:sz w:val="20"/>
          <w:szCs w:val="20"/>
        </w:rPr>
        <w:t xml:space="preserve">The providers loan approval policies prohibit discrimination against persons with disabilities, and do not include requirements or eligibility criteria that directly or indirectly discriminate against or exclude persons with disabilities.  </w:t>
      </w:r>
    </w:p>
    <w:p w14:paraId="76116035" w14:textId="77777777" w:rsidR="00DB45CE" w:rsidRPr="00A608EE" w:rsidRDefault="00DB45CE" w:rsidP="00EE208A">
      <w:pPr>
        <w:pStyle w:val="NormalWeb"/>
        <w:spacing w:before="0" w:beforeAutospacing="0" w:after="0" w:afterAutospacing="0"/>
        <w:jc w:val="both"/>
        <w:rPr>
          <w:rFonts w:asciiTheme="majorHAnsi" w:hAnsiTheme="majorHAnsi" w:cstheme="majorBidi"/>
          <w:sz w:val="20"/>
          <w:szCs w:val="20"/>
        </w:rPr>
      </w:pPr>
    </w:p>
    <w:p w14:paraId="091988BD" w14:textId="54FB054C" w:rsidR="005D7607" w:rsidRPr="00A608EE" w:rsidRDefault="00DB45CE" w:rsidP="00EE208A">
      <w:pPr>
        <w:pStyle w:val="NormalWeb"/>
        <w:spacing w:before="0" w:beforeAutospacing="0" w:after="0" w:afterAutospacing="0"/>
        <w:jc w:val="both"/>
        <w:rPr>
          <w:rFonts w:asciiTheme="majorHAnsi" w:hAnsiTheme="majorHAnsi" w:cstheme="majorBidi"/>
          <w:sz w:val="20"/>
          <w:szCs w:val="20"/>
          <w:u w:val="single"/>
        </w:rPr>
      </w:pPr>
      <w:r w:rsidRPr="00A608EE">
        <w:rPr>
          <w:noProof/>
        </w:rPr>
        <mc:AlternateContent>
          <mc:Choice Requires="wps">
            <w:drawing>
              <wp:anchor distT="0" distB="0" distL="114300" distR="114300" simplePos="0" relativeHeight="251704320" behindDoc="0" locked="0" layoutInCell="1" allowOverlap="1" wp14:anchorId="3D070B60" wp14:editId="524C48C0">
                <wp:simplePos x="0" y="0"/>
                <wp:positionH relativeFrom="column">
                  <wp:posOffset>0</wp:posOffset>
                </wp:positionH>
                <wp:positionV relativeFrom="paragraph">
                  <wp:posOffset>0</wp:posOffset>
                </wp:positionV>
                <wp:extent cx="1828800" cy="1828800"/>
                <wp:effectExtent l="0" t="0" r="0" b="0"/>
                <wp:wrapSquare wrapText="bothSides"/>
                <wp:docPr id="407081472"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657E966" w14:textId="0E9A96A4" w:rsidR="00DB45CE" w:rsidRPr="00820B09" w:rsidRDefault="00EB123D" w:rsidP="00DB45CE">
                            <w:pPr>
                              <w:pStyle w:val="NormalWeb"/>
                              <w:spacing w:after="0"/>
                              <w:jc w:val="both"/>
                              <w:rPr>
                                <w:rFonts w:asciiTheme="majorHAnsi" w:hAnsiTheme="majorHAnsi" w:cstheme="majorBidi"/>
                                <w:b/>
                                <w:bCs/>
                                <w:sz w:val="20"/>
                                <w:szCs w:val="20"/>
                              </w:rPr>
                            </w:pPr>
                            <w:r w:rsidRPr="00820B09">
                              <w:t xml:space="preserve"> </w:t>
                            </w:r>
                            <w:r w:rsidRPr="00820B09">
                              <w:rPr>
                                <w:rFonts w:asciiTheme="majorHAnsi" w:hAnsiTheme="majorHAnsi" w:cstheme="majorBidi"/>
                                <w:b/>
                                <w:bCs/>
                                <w:sz w:val="20"/>
                                <w:szCs w:val="20"/>
                              </w:rPr>
                              <w:t>Disability Inclusion - Info Box</w:t>
                            </w:r>
                            <w:r w:rsidR="0084416A" w:rsidRPr="00820B09">
                              <w:rPr>
                                <w:rFonts w:asciiTheme="majorHAnsi" w:hAnsiTheme="majorHAnsi" w:cstheme="majorBidi"/>
                                <w:b/>
                                <w:bCs/>
                                <w:sz w:val="20"/>
                                <w:szCs w:val="20"/>
                              </w:rPr>
                              <w:t xml:space="preserve"> </w:t>
                            </w:r>
                            <w:r w:rsidR="00DB45CE" w:rsidRPr="00820B09">
                              <w:rPr>
                                <w:rFonts w:asciiTheme="majorHAnsi" w:hAnsiTheme="majorHAnsi" w:cstheme="majorBidi"/>
                                <w:b/>
                                <w:bCs/>
                                <w:sz w:val="20"/>
                                <w:szCs w:val="20"/>
                              </w:rPr>
                              <w:t>4.A.1.1</w:t>
                            </w:r>
                          </w:p>
                          <w:p w14:paraId="6AF7864F" w14:textId="5528E4BD" w:rsidR="009C6968" w:rsidRPr="00820B09" w:rsidRDefault="009C6968" w:rsidP="009C6968">
                            <w:pPr>
                              <w:pStyle w:val="NormalWeb"/>
                              <w:spacing w:after="0"/>
                              <w:jc w:val="both"/>
                              <w:rPr>
                                <w:rFonts w:asciiTheme="majorHAnsi" w:hAnsiTheme="majorHAnsi"/>
                                <w:sz w:val="20"/>
                                <w:szCs w:val="20"/>
                              </w:rPr>
                            </w:pPr>
                            <w:r w:rsidRPr="00820B09">
                              <w:rPr>
                                <w:rFonts w:asciiTheme="majorHAnsi" w:hAnsiTheme="majorHAnsi"/>
                                <w:sz w:val="20"/>
                                <w:szCs w:val="20"/>
                              </w:rPr>
                              <w:t xml:space="preserve">The provider's loan approval process should not have eligibility criteria </w:t>
                            </w:r>
                            <w:r w:rsidRPr="00820B09">
                              <w:rPr>
                                <w:rFonts w:asciiTheme="majorHAnsi" w:hAnsiTheme="majorHAnsi"/>
                                <w:sz w:val="20"/>
                                <w:szCs w:val="15"/>
                              </w:rPr>
                              <w:t>that exclude persons from holding products or services, or requires them to appoint a third party in order to access or use their accounts, on the basis of their disability or a medical diagnosis.</w:t>
                            </w:r>
                            <w:r w:rsidR="00E67CA1" w:rsidRPr="00820B09">
                              <w:rPr>
                                <w:rFonts w:asciiTheme="majorHAnsi" w:hAnsiTheme="majorHAnsi"/>
                                <w:sz w:val="20"/>
                                <w:szCs w:val="15"/>
                              </w:rPr>
                              <w:t xml:space="preserve"> </w:t>
                            </w:r>
                            <w:r w:rsidR="00F03FED" w:rsidRPr="00820B09">
                              <w:rPr>
                                <w:rFonts w:asciiTheme="majorHAnsi" w:hAnsiTheme="majorHAnsi"/>
                                <w:sz w:val="20"/>
                                <w:szCs w:val="15"/>
                              </w:rPr>
                              <w:t>Disability should not be used as a factor in assessing creditworthiness for loan approvals.</w:t>
                            </w:r>
                          </w:p>
                          <w:p w14:paraId="1725AD8B" w14:textId="3ED083E9" w:rsidR="00DB45CE" w:rsidRPr="00820B09" w:rsidRDefault="001901BE" w:rsidP="00DB45C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C</w:t>
                            </w:r>
                            <w:r w:rsidR="00F03FED" w:rsidRPr="00820B09">
                              <w:rPr>
                                <w:rFonts w:asciiTheme="majorHAnsi" w:hAnsiTheme="majorHAnsi" w:cstheme="majorBidi"/>
                                <w:sz w:val="20"/>
                                <w:szCs w:val="20"/>
                              </w:rPr>
                              <w:t xml:space="preserve">redit decisions should be based on the individual’s financial circumstances, using cashflow analysis that includes informal sources of income, and disability benefits. </w:t>
                            </w:r>
                            <w:r w:rsidR="00DB45CE" w:rsidRPr="00820B09">
                              <w:rPr>
                                <w:rFonts w:asciiTheme="majorHAnsi" w:hAnsiTheme="majorHAnsi" w:cstheme="majorBidi"/>
                                <w:sz w:val="20"/>
                                <w:szCs w:val="20"/>
                              </w:rPr>
                              <w:t>The provider's loan approval processes should take into account higher costs faced by persons with disabilities and their households and businesses (extra cost of disability) e.g. for accessibility and other adaptation measures, required support services, mobility, transportation etc</w:t>
                            </w:r>
                            <w:r w:rsidRPr="00820B09">
                              <w:rPr>
                                <w:rFonts w:asciiTheme="majorHAnsi" w:hAnsiTheme="majorHAnsi" w:cstheme="majorBidi"/>
                                <w:sz w:val="20"/>
                                <w:szCs w:val="20"/>
                              </w:rPr>
                              <w:t>. (see indicator 3.A.3.3)</w:t>
                            </w:r>
                            <w:r w:rsidR="00DB45CE" w:rsidRPr="00820B09">
                              <w:rPr>
                                <w:rFonts w:asciiTheme="majorHAnsi" w:hAnsiTheme="majorHAnsi" w:cstheme="majorBidi"/>
                                <w:sz w:val="20"/>
                                <w:szCs w:val="2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070B60" id="_x0000_s1052" type="#_x0000_t202" style="position:absolute;left:0;text-align:left;margin-left:0;margin-top:0;width:2in;height:2in;z-index:2517043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" filled="f" strokeweight=".5pt">
                <v:textbox style="mso-fit-shape-to-text:t">
                  <w:txbxContent>
                    <w:p w14:paraId="0657E966" w14:textId="0E9A96A4" w:rsidR="00DB45CE" w:rsidRPr="00820B09" w:rsidRDefault="00EB123D" w:rsidP="00DB45CE">
                      <w:pPr>
                        <w:pStyle w:val="NormalWeb"/>
                        <w:spacing w:after="0"/>
                        <w:jc w:val="both"/>
                        <w:rPr>
                          <w:rFonts w:asciiTheme="majorHAnsi" w:hAnsiTheme="majorHAnsi" w:cstheme="majorBidi"/>
                          <w:b/>
                          <w:bCs/>
                          <w:sz w:val="20"/>
                          <w:szCs w:val="20"/>
                        </w:rPr>
                      </w:pPr>
                      <w:r w:rsidRPr="00820B09">
                        <w:t xml:space="preserve"> </w:t>
                      </w:r>
                      <w:r w:rsidRPr="00820B09">
                        <w:rPr>
                          <w:rFonts w:asciiTheme="majorHAnsi" w:hAnsiTheme="majorHAnsi" w:cstheme="majorBidi"/>
                          <w:b/>
                          <w:bCs/>
                          <w:sz w:val="20"/>
                          <w:szCs w:val="20"/>
                        </w:rPr>
                        <w:t>Disability Inclusion - Info Box</w:t>
                      </w:r>
                      <w:r w:rsidR="0084416A" w:rsidRPr="00820B09">
                        <w:rPr>
                          <w:rFonts w:asciiTheme="majorHAnsi" w:hAnsiTheme="majorHAnsi" w:cstheme="majorBidi"/>
                          <w:b/>
                          <w:bCs/>
                          <w:sz w:val="20"/>
                          <w:szCs w:val="20"/>
                        </w:rPr>
                        <w:t xml:space="preserve"> </w:t>
                      </w:r>
                      <w:r w:rsidR="00DB45CE" w:rsidRPr="00820B09">
                        <w:rPr>
                          <w:rFonts w:asciiTheme="majorHAnsi" w:hAnsiTheme="majorHAnsi" w:cstheme="majorBidi"/>
                          <w:b/>
                          <w:bCs/>
                          <w:sz w:val="20"/>
                          <w:szCs w:val="20"/>
                        </w:rPr>
                        <w:t>4.A.1.1</w:t>
                      </w:r>
                    </w:p>
                    <w:p w14:paraId="6AF7864F" w14:textId="5528E4BD" w:rsidR="009C6968" w:rsidRPr="00820B09" w:rsidRDefault="009C6968" w:rsidP="009C6968">
                      <w:pPr>
                        <w:pStyle w:val="NormalWeb"/>
                        <w:spacing w:after="0"/>
                        <w:jc w:val="both"/>
                        <w:rPr>
                          <w:rFonts w:asciiTheme="majorHAnsi" w:hAnsiTheme="majorHAnsi"/>
                          <w:sz w:val="20"/>
                          <w:szCs w:val="20"/>
                        </w:rPr>
                      </w:pPr>
                      <w:r w:rsidRPr="00820B09">
                        <w:rPr>
                          <w:rFonts w:asciiTheme="majorHAnsi" w:hAnsiTheme="majorHAnsi"/>
                          <w:sz w:val="20"/>
                          <w:szCs w:val="20"/>
                        </w:rPr>
                        <w:t xml:space="preserve">The provider's loan approval process should not have eligibility criteria </w:t>
                      </w:r>
                      <w:r w:rsidRPr="00820B09">
                        <w:rPr>
                          <w:rFonts w:asciiTheme="majorHAnsi" w:hAnsiTheme="majorHAnsi"/>
                          <w:sz w:val="20"/>
                          <w:szCs w:val="15"/>
                        </w:rPr>
                        <w:t>that exclude persons from holding products or services, or requires them to appoint a third party in order to access or use their accounts, on the basis of their disability or a medical diagnosis.</w:t>
                      </w:r>
                      <w:r w:rsidR="00E67CA1" w:rsidRPr="00820B09">
                        <w:rPr>
                          <w:rFonts w:asciiTheme="majorHAnsi" w:hAnsiTheme="majorHAnsi"/>
                          <w:sz w:val="20"/>
                          <w:szCs w:val="15"/>
                        </w:rPr>
                        <w:t xml:space="preserve"> </w:t>
                      </w:r>
                      <w:r w:rsidR="00F03FED" w:rsidRPr="00820B09">
                        <w:rPr>
                          <w:rFonts w:asciiTheme="majorHAnsi" w:hAnsiTheme="majorHAnsi"/>
                          <w:sz w:val="20"/>
                          <w:szCs w:val="15"/>
                        </w:rPr>
                        <w:t>Disability should not be used as a factor in assessing creditworthiness for loan approvals.</w:t>
                      </w:r>
                    </w:p>
                    <w:p w14:paraId="1725AD8B" w14:textId="3ED083E9" w:rsidR="00DB45CE" w:rsidRPr="00820B09" w:rsidRDefault="001901BE" w:rsidP="00DB45C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C</w:t>
                      </w:r>
                      <w:r w:rsidR="00F03FED" w:rsidRPr="00820B09">
                        <w:rPr>
                          <w:rFonts w:asciiTheme="majorHAnsi" w:hAnsiTheme="majorHAnsi" w:cstheme="majorBidi"/>
                          <w:sz w:val="20"/>
                          <w:szCs w:val="20"/>
                        </w:rPr>
                        <w:t xml:space="preserve">redit decisions should be based on the individual’s financial circumstances, using cashflow analysis that includes informal sources of income, and disability benefits. </w:t>
                      </w:r>
                      <w:r w:rsidR="00DB45CE" w:rsidRPr="00820B09">
                        <w:rPr>
                          <w:rFonts w:asciiTheme="majorHAnsi" w:hAnsiTheme="majorHAnsi" w:cstheme="majorBidi"/>
                          <w:sz w:val="20"/>
                          <w:szCs w:val="20"/>
                        </w:rPr>
                        <w:t>The provider's loan approval processes should take into account higher costs faced by persons with disabilities and their households and businesses (extra cost of disability) e.g. for accessibility and other adaptation measures, required support services, mobility, transportation etc</w:t>
                      </w:r>
                      <w:r w:rsidRPr="00820B09">
                        <w:rPr>
                          <w:rFonts w:asciiTheme="majorHAnsi" w:hAnsiTheme="majorHAnsi" w:cstheme="majorBidi"/>
                          <w:sz w:val="20"/>
                          <w:szCs w:val="20"/>
                        </w:rPr>
                        <w:t>. (see indicator 3.A.3.3)</w:t>
                      </w:r>
                      <w:r w:rsidR="00DB45CE" w:rsidRPr="00820B09">
                        <w:rPr>
                          <w:rFonts w:asciiTheme="majorHAnsi" w:hAnsiTheme="majorHAnsi" w:cstheme="majorBidi"/>
                          <w:sz w:val="20"/>
                          <w:szCs w:val="20"/>
                        </w:rPr>
                        <w:t>.</w:t>
                      </w:r>
                    </w:p>
                  </w:txbxContent>
                </v:textbox>
                <w10:wrap type="square"/>
              </v:shape>
            </w:pict>
          </mc:Fallback>
        </mc:AlternateContent>
      </w:r>
    </w:p>
    <w:p w14:paraId="5CBCA060" w14:textId="7EA4889A"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For 4.A.1.1.1</w:t>
      </w:r>
    </w:p>
    <w:p w14:paraId="4B6172D2"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The percentage of disposable income that can be applied to debt service is usually calculated as: [installment amount] / [net monthly cash surplus] – the remaining amount (thus 30% minimum) is there to allow a safety net for the client in case of emergency expenses, or potential unexpected drop of income / seasonal income, but also to account for approximation or errors in the cash-flow analysis.</w:t>
      </w:r>
    </w:p>
    <w:p w14:paraId="74AF2828"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u w:val="single"/>
        </w:rPr>
      </w:pPr>
    </w:p>
    <w:p w14:paraId="747EBB00" w14:textId="39F7DB91"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lastRenderedPageBreak/>
        <w:t>For 4.A.1.1.2</w:t>
      </w:r>
    </w:p>
    <w:p w14:paraId="3CD8F19A"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Loan decisions can’t be made by the loan officer alone. Since the loan officer collects the data and has the closet relationship with the client, there should be at least one other person (a senior loan officer, the head of credit, or the branch manager) involved in validating the client data collected by the loan officer and verifying that the capacity analysis calculations adhere to policy.</w:t>
      </w:r>
    </w:p>
    <w:p w14:paraId="46E428A3"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u w:val="single"/>
        </w:rPr>
      </w:pPr>
    </w:p>
    <w:p w14:paraId="69B96B7F" w14:textId="229846E3"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For 4.A.1.1.3</w:t>
      </w:r>
    </w:p>
    <w:p w14:paraId="095DDD14"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If there is a functioning credit bureau in the country, it is absolutely critical for the provider to consult the database for every single loan, and to report on every single client.</w:t>
      </w:r>
    </w:p>
    <w:p w14:paraId="67FE51E2"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u w:val="single"/>
        </w:rPr>
      </w:pPr>
    </w:p>
    <w:p w14:paraId="70F6F7FE" w14:textId="5C774E29"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For 4.A.1.1.4</w:t>
      </w:r>
    </w:p>
    <w:p w14:paraId="4D94C029"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Relying on group solidarity to disburse a group loan is not sufficient; the same care should be taken for group loans as individual loans of the same size to ensure that all group members have the capacity to repay their loan. However, the depth of the capacity analysis correlates positively with the loan amount e.g. financial projections are required for a certain loan amount whereas smaller loans can be appraised with a less detailed process, based on historical cash flow data (at least the last 12 months).</w:t>
      </w:r>
    </w:p>
    <w:p w14:paraId="235C9D2B" w14:textId="77777777"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p>
    <w:p w14:paraId="5E9CCC85" w14:textId="57B3AF65"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t>Scoring guidance</w:t>
      </w:r>
    </w:p>
    <w:p w14:paraId="405EEC2C"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For each detail, a ‘yes’ score requires (1) a written loan policy with a documented loan approval process compatible with 4.A.1.1, (2) full comprehension of the credit approval policy by the relevant staff, and (3auditor verified compliance with the credit approval policy for a sample of loans approved for current clients.</w:t>
      </w:r>
    </w:p>
    <w:p w14:paraId="13FFEEC2"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u w:val="single"/>
        </w:rPr>
      </w:pPr>
    </w:p>
    <w:p w14:paraId="1497365E" w14:textId="33064E8B"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Detail 4.A.1.1.1</w:t>
      </w:r>
    </w:p>
    <w:p w14:paraId="080D7A96" w14:textId="77777777" w:rsidR="005D7607" w:rsidRPr="00A608EE" w:rsidRDefault="005D7607" w:rsidP="00A27AAA">
      <w:pPr>
        <w:pStyle w:val="NormalWeb"/>
        <w:numPr>
          <w:ilvl w:val="0"/>
          <w:numId w:val="216"/>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’yes’, if the above three conditions are met fully with a written loan policy that comprises 1) an explicit ceiling (in percentage) of the client’s monthly disposable income that can be used for debt service (the installment amount) which 2) is based on the client’s household and business cash flow.  </w:t>
      </w:r>
    </w:p>
    <w:p w14:paraId="08247615" w14:textId="77777777" w:rsidR="005D7607" w:rsidRPr="00A608EE" w:rsidRDefault="005D7607" w:rsidP="00A27AAA">
      <w:pPr>
        <w:pStyle w:val="NormalWeb"/>
        <w:numPr>
          <w:ilvl w:val="0"/>
          <w:numId w:val="216"/>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‘partially’, if the above three conditions are not met fully. For instance, the written loan policy does not mention a ceiling for the client’s monthly disposable income that can be used for debt service or limited staff comprehension of the loan policy or the sample loan approvals reviewed do not comply fully with the loan policy.</w:t>
      </w:r>
    </w:p>
    <w:p w14:paraId="79D2AFD5" w14:textId="77777777" w:rsidR="005D7607" w:rsidRPr="00A608EE" w:rsidRDefault="005D7607" w:rsidP="00A27AAA">
      <w:pPr>
        <w:pStyle w:val="NormalWeb"/>
        <w:numPr>
          <w:ilvl w:val="0"/>
          <w:numId w:val="216"/>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‘no’, if 1) one of the above three conditions are not met at all– or 2) all three conditions are met only partially.</w:t>
      </w:r>
    </w:p>
    <w:p w14:paraId="4680D68D"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u w:val="single"/>
        </w:rPr>
      </w:pPr>
    </w:p>
    <w:p w14:paraId="22B08507" w14:textId="15D92583"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Detail 4.A.1.1.2</w:t>
      </w:r>
    </w:p>
    <w:p w14:paraId="68EC20C0" w14:textId="77777777" w:rsidR="005D7607" w:rsidRPr="00A608EE" w:rsidRDefault="005D7607" w:rsidP="00A27AAA">
      <w:pPr>
        <w:pStyle w:val="NormalWeb"/>
        <w:numPr>
          <w:ilvl w:val="0"/>
          <w:numId w:val="217"/>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’yes’, if the above three conditions are met fully with a written loan policy that comprises at least a ‘four-eye’ loan approval process 2) in the case of an automated loan approval process, an effective control mechanism of the entered data and the data used for the loan approval is in place.</w:t>
      </w:r>
    </w:p>
    <w:p w14:paraId="45B16354" w14:textId="77777777" w:rsidR="005D7607" w:rsidRPr="00A608EE" w:rsidRDefault="005D7607" w:rsidP="00A27AAA">
      <w:pPr>
        <w:pStyle w:val="NormalWeb"/>
        <w:numPr>
          <w:ilvl w:val="0"/>
          <w:numId w:val="217"/>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‘partially’, if the above three conditions are not met fully. For instance, the written loan policy does not mention an at least ‘four-eye’ loan approval or no effective data control mechanism in the case of an automated loan approval process or the sample loan approvals does not comply fully with the loan policy.</w:t>
      </w:r>
    </w:p>
    <w:p w14:paraId="413C77D7" w14:textId="77777777" w:rsidR="005D7607" w:rsidRPr="00A608EE" w:rsidRDefault="005D7607" w:rsidP="00A27AAA">
      <w:pPr>
        <w:pStyle w:val="NormalWeb"/>
        <w:numPr>
          <w:ilvl w:val="0"/>
          <w:numId w:val="217"/>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‘no’, if 1) one of the above three conditions is not met at all or 2)all three conditions are met only partially.</w:t>
      </w:r>
    </w:p>
    <w:p w14:paraId="0608ACC8"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u w:val="single"/>
        </w:rPr>
      </w:pPr>
    </w:p>
    <w:p w14:paraId="47CE4347" w14:textId="2729B4C5"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Detail 4.A.1.1.3</w:t>
      </w:r>
    </w:p>
    <w:p w14:paraId="4EF7E245" w14:textId="77777777" w:rsidR="005D7607" w:rsidRPr="00A608EE" w:rsidRDefault="005D7607" w:rsidP="00A27AAA">
      <w:pPr>
        <w:pStyle w:val="NormalWeb"/>
        <w:numPr>
          <w:ilvl w:val="0"/>
          <w:numId w:val="218"/>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‘N/A’, if there is no functioning credit bureau.</w:t>
      </w:r>
    </w:p>
    <w:p w14:paraId="16B044FD" w14:textId="77777777" w:rsidR="005D7607" w:rsidRPr="00A608EE" w:rsidRDefault="005D7607" w:rsidP="00A27AAA">
      <w:pPr>
        <w:pStyle w:val="NormalWeb"/>
        <w:numPr>
          <w:ilvl w:val="0"/>
          <w:numId w:val="218"/>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’yes’, if, in the case of a functioning credit bureau, the above three conditions are met fully with a written loan policy that requires (1) the consistent use of credit bureau data for each loan approval and (2) the regular reporting on its borrowers’ loans and payments to the credit bureau.</w:t>
      </w:r>
    </w:p>
    <w:p w14:paraId="0353622D" w14:textId="77777777" w:rsidR="005D7607" w:rsidRPr="00A608EE" w:rsidRDefault="005D7607" w:rsidP="00A27AAA">
      <w:pPr>
        <w:pStyle w:val="NormalWeb"/>
        <w:numPr>
          <w:ilvl w:val="0"/>
          <w:numId w:val="218"/>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 xml:space="preserve">Score ‘partially’, if the above three conditions are not met fully. For instance, the loan policy does not mention the use of credit bureau data for each loan approval, or the credit staff does not fully understand the importance of using consistently credit </w:t>
      </w:r>
      <w:r w:rsidRPr="00A608EE">
        <w:rPr>
          <w:rFonts w:asciiTheme="majorHAnsi" w:hAnsiTheme="majorHAnsi" w:cstheme="majorBidi"/>
          <w:sz w:val="20"/>
          <w:szCs w:val="20"/>
        </w:rPr>
        <w:lastRenderedPageBreak/>
        <w:t>bureau data or the sample loan approvals does not comply fully with the loan policy.</w:t>
      </w:r>
      <w:r w:rsidRPr="00A608EE">
        <w:rPr>
          <w:rFonts w:asciiTheme="majorHAnsi" w:hAnsiTheme="majorHAnsi" w:cstheme="majorBidi"/>
          <w:sz w:val="20"/>
          <w:szCs w:val="20"/>
        </w:rPr>
        <w:br/>
        <w:t>Score also ‘partially’ in a case of a not-well functioning credit bureau - even if the three above conditions are fully met, as it will not be useful to prevent the risk of over-indebtedness (e.g.: if the credit bureau database is updated only once in a while and does not reflect the exact current outstanding loans a client may have).</w:t>
      </w:r>
    </w:p>
    <w:p w14:paraId="30E9F7AB" w14:textId="77777777" w:rsidR="005D7607" w:rsidRPr="00A608EE" w:rsidRDefault="005D7607" w:rsidP="00A27AAA">
      <w:pPr>
        <w:pStyle w:val="NormalWeb"/>
        <w:numPr>
          <w:ilvl w:val="0"/>
          <w:numId w:val="218"/>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‘no’, if the provider does not use credit bureau data for loan approval and/or does not report to it in the case of a functioning credit bureau. If there are several entities providing credit reports, the auditor should assess whether the one(s) the provider is using cover(s) the adequate market and risks.</w:t>
      </w:r>
    </w:p>
    <w:p w14:paraId="132C579C" w14:textId="77777777" w:rsidR="005D7607" w:rsidRPr="00A608EE" w:rsidRDefault="005D7607" w:rsidP="00EE208A">
      <w:pPr>
        <w:pStyle w:val="NormalWeb"/>
        <w:spacing w:before="0" w:beforeAutospacing="0" w:after="0" w:afterAutospacing="0"/>
        <w:jc w:val="both"/>
        <w:rPr>
          <w:rFonts w:asciiTheme="majorHAnsi" w:hAnsiTheme="majorHAnsi" w:cstheme="majorBidi"/>
          <w:sz w:val="20"/>
          <w:szCs w:val="20"/>
          <w:u w:val="single"/>
        </w:rPr>
      </w:pPr>
    </w:p>
    <w:p w14:paraId="1ACF321E" w14:textId="21AA091D" w:rsidR="005D7607" w:rsidRPr="00A608EE" w:rsidRDefault="005D7607"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Detail 4.A.1.1.4</w:t>
      </w:r>
    </w:p>
    <w:p w14:paraId="19C26EF6" w14:textId="77777777" w:rsidR="005D7607" w:rsidRPr="00A608EE" w:rsidRDefault="005D7607" w:rsidP="00A27AAA">
      <w:pPr>
        <w:pStyle w:val="NormalWeb"/>
        <w:numPr>
          <w:ilvl w:val="0"/>
          <w:numId w:val="219"/>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‘N/A’, if the provider does not offer group loans.</w:t>
      </w:r>
    </w:p>
    <w:p w14:paraId="53278079" w14:textId="77777777" w:rsidR="005D7607" w:rsidRPr="00A608EE" w:rsidRDefault="005D7607" w:rsidP="00A27AAA">
      <w:pPr>
        <w:pStyle w:val="NormalWeb"/>
        <w:numPr>
          <w:ilvl w:val="0"/>
          <w:numId w:val="219"/>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’yes’, if the above three conditions are met fully with a written loan policy that requires a loan due diligence for each group borrower for loan approval to be carried out by either the provider or a fellow group borrower. Such individual repayment capacity analysis can be less formal and detailed than for individual borrowers.</w:t>
      </w:r>
    </w:p>
    <w:p w14:paraId="2D788922" w14:textId="77777777" w:rsidR="005D7607" w:rsidRPr="00A608EE" w:rsidRDefault="005D7607" w:rsidP="00A27AAA">
      <w:pPr>
        <w:pStyle w:val="NormalWeb"/>
        <w:numPr>
          <w:ilvl w:val="0"/>
          <w:numId w:val="219"/>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‘partially’, if the above three conditions are not met fully. For instance, the loan policy does not mention the use of a loan due diligence for each borrower or the credit staff or the fellow group borrowers do not fully understand how to analyze the loan repayment capacity of a single group borrower or the sample loan approvals do not comply fully with the loan policy.</w:t>
      </w:r>
    </w:p>
    <w:p w14:paraId="0431BBC4" w14:textId="77777777" w:rsidR="005D7607" w:rsidRPr="00A608EE" w:rsidRDefault="005D7607" w:rsidP="00A27AAA">
      <w:pPr>
        <w:pStyle w:val="NormalWeb"/>
        <w:numPr>
          <w:ilvl w:val="0"/>
          <w:numId w:val="219"/>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‘no’, if neither the provider nor a fellow group borrower is analyzing the loan repayment capacity of each group borrower for loan approval.</w:t>
      </w:r>
    </w:p>
    <w:p w14:paraId="002835F1" w14:textId="77777777"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p>
    <w:p w14:paraId="02FCFC96" w14:textId="0F064F98"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t>Sources of information</w:t>
      </w:r>
    </w:p>
    <w:p w14:paraId="3E72CAAD" w14:textId="77777777" w:rsidR="005D7607" w:rsidRPr="00A608EE" w:rsidRDefault="005D7607" w:rsidP="00A27AAA">
      <w:pPr>
        <w:pStyle w:val="NormalWeb"/>
        <w:numPr>
          <w:ilvl w:val="0"/>
          <w:numId w:val="220"/>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Loan Policy &amp; Procedures manual(s), loan approval process</w:t>
      </w:r>
    </w:p>
    <w:p w14:paraId="54D633ED" w14:textId="77777777" w:rsidR="005D7607" w:rsidRPr="00A608EE" w:rsidRDefault="005D7607" w:rsidP="00A27AAA">
      <w:pPr>
        <w:pStyle w:val="NormalWeb"/>
        <w:numPr>
          <w:ilvl w:val="0"/>
          <w:numId w:val="220"/>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Loan process documents, client repayment capacity evaluation forms  </w:t>
      </w:r>
    </w:p>
    <w:p w14:paraId="3892FD37" w14:textId="77777777" w:rsidR="005D7607" w:rsidRPr="00A608EE" w:rsidRDefault="005D7607" w:rsidP="00A27AAA">
      <w:pPr>
        <w:pStyle w:val="NormalWeb"/>
        <w:numPr>
          <w:ilvl w:val="0"/>
          <w:numId w:val="220"/>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Training materials, circulars, handouts etc.</w:t>
      </w:r>
    </w:p>
    <w:p w14:paraId="7A08F2F4" w14:textId="77777777" w:rsidR="005D7607" w:rsidRPr="00A608EE" w:rsidRDefault="005D7607" w:rsidP="00A27AAA">
      <w:pPr>
        <w:pStyle w:val="NormalWeb"/>
        <w:numPr>
          <w:ilvl w:val="0"/>
          <w:numId w:val="220"/>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Interviews with credit staff at various levels of the organization such as loan officer, branch manager, regional manager, Head of Credit/Operations etc.  (verifying whether the credit policy is understood and that they are staff incentives to follow it)</w:t>
      </w:r>
    </w:p>
    <w:p w14:paraId="445D81E3" w14:textId="77777777" w:rsidR="005D7607" w:rsidRPr="00A608EE" w:rsidRDefault="005D7607" w:rsidP="00A27AAA">
      <w:pPr>
        <w:pStyle w:val="NormalWeb"/>
        <w:numPr>
          <w:ilvl w:val="0"/>
          <w:numId w:val="220"/>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Branch/field observations - attending client loan evaluation visits and Credit Committees to see the content of discussions</w:t>
      </w:r>
    </w:p>
    <w:p w14:paraId="524CB60F" w14:textId="77777777" w:rsidR="005D7607" w:rsidRPr="00A608EE" w:rsidRDefault="005D7607" w:rsidP="00A27AAA">
      <w:pPr>
        <w:pStyle w:val="NormalWeb"/>
        <w:numPr>
          <w:ilvl w:val="0"/>
          <w:numId w:val="220"/>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Credit bureau process and its data accurateness.</w:t>
      </w:r>
    </w:p>
    <w:p w14:paraId="2B058D31" w14:textId="77777777"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p>
    <w:p w14:paraId="63F13A0F" w14:textId="2EA92BE4"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t>Evidence to provide</w:t>
      </w:r>
    </w:p>
    <w:p w14:paraId="384D3EC5" w14:textId="77777777" w:rsidR="005D7607" w:rsidRPr="00A608EE" w:rsidRDefault="005D7607" w:rsidP="00A27AAA">
      <w:pPr>
        <w:pStyle w:val="NormalWeb"/>
        <w:numPr>
          <w:ilvl w:val="0"/>
          <w:numId w:val="221"/>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Specify the percentage of client’s disposable monthly income that can be used for debt service and cite the document name and page/chapter number where this information can be found.</w:t>
      </w:r>
    </w:p>
    <w:p w14:paraId="066DE5EF" w14:textId="77777777" w:rsidR="005D7607" w:rsidRPr="00A608EE" w:rsidRDefault="005D7607" w:rsidP="00A27AAA">
      <w:pPr>
        <w:pStyle w:val="NormalWeb"/>
        <w:numPr>
          <w:ilvl w:val="0"/>
          <w:numId w:val="221"/>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Describe the loan approval process, how credit bureau information is included there and how relevant it is to the analysis and explain the Credit Committee composition and process.</w:t>
      </w:r>
    </w:p>
    <w:p w14:paraId="411AB78C" w14:textId="77777777" w:rsidR="005D7607" w:rsidRPr="00A608EE" w:rsidRDefault="005D7607" w:rsidP="00A27AAA">
      <w:pPr>
        <w:pStyle w:val="NormalWeb"/>
        <w:numPr>
          <w:ilvl w:val="0"/>
          <w:numId w:val="221"/>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Explain how the staff understand and apply the policies and procedures for loan approval.</w:t>
      </w:r>
    </w:p>
    <w:p w14:paraId="4F91FD24" w14:textId="77777777"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p>
    <w:p w14:paraId="390058C4" w14:textId="45CFCA55" w:rsidR="005D7607" w:rsidRPr="00A608EE" w:rsidRDefault="005D7607"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t>Resources for indicator 4.A.1.1</w:t>
      </w:r>
    </w:p>
    <w:p w14:paraId="56F43BBA" w14:textId="30DE827E" w:rsidR="7C16D02A" w:rsidRPr="00A608EE" w:rsidRDefault="7C16D02A" w:rsidP="00A27AAA">
      <w:pPr>
        <w:numPr>
          <w:ilvl w:val="0"/>
          <w:numId w:val="16"/>
        </w:numPr>
        <w:jc w:val="both"/>
        <w:rPr>
          <w:rFonts w:ascii="Work Sans" w:eastAsia="Work Sans" w:hAnsi="Work Sans" w:cs="Work Sans"/>
          <w:color w:val="000000" w:themeColor="background1"/>
          <w:sz w:val="20"/>
          <w:szCs w:val="20"/>
        </w:rPr>
      </w:pPr>
      <w:hyperlink r:id="rId196">
        <w:r w:rsidRPr="00A608EE">
          <w:rPr>
            <w:rStyle w:val="Hyperlink"/>
            <w:rFonts w:ascii="Work Sans" w:eastAsia="Work Sans" w:hAnsi="Work Sans" w:cs="Work Sans"/>
            <w:sz w:val="20"/>
            <w:szCs w:val="20"/>
          </w:rPr>
          <w:t>Income generating and survival skills tool (NWTF, Philippines)</w:t>
        </w:r>
      </w:hyperlink>
    </w:p>
    <w:p w14:paraId="76416A41" w14:textId="2C0B221C" w:rsidR="00484D72" w:rsidRPr="00A608EE" w:rsidRDefault="7C16D02A" w:rsidP="00A27AAA">
      <w:pPr>
        <w:pStyle w:val="ListParagraph"/>
        <w:numPr>
          <w:ilvl w:val="0"/>
          <w:numId w:val="16"/>
        </w:numPr>
        <w:spacing w:after="0" w:line="240" w:lineRule="auto"/>
        <w:jc w:val="both"/>
        <w:rPr>
          <w:rFonts w:eastAsia="Work Sans"/>
          <w:color w:val="000000" w:themeColor="background1"/>
          <w:szCs w:val="20"/>
        </w:rPr>
      </w:pPr>
      <w:hyperlink r:id="rId197">
        <w:r w:rsidRPr="00A608EE">
          <w:rPr>
            <w:rStyle w:val="Hyperlink"/>
            <w:rFonts w:ascii="Work Sans" w:eastAsia="Work Sans" w:hAnsi="Work Sans" w:cs="Work Sans"/>
            <w:szCs w:val="20"/>
          </w:rPr>
          <w:t>Smart Lending: Guidelines for Client Protection in the Group Loan Process</w:t>
        </w:r>
      </w:hyperlink>
      <w:r w:rsidRPr="00A608EE">
        <w:rPr>
          <w:rFonts w:eastAsia="Times New Roman" w:cs="Times New Roman"/>
          <w:color w:val="000000" w:themeColor="background1"/>
          <w:szCs w:val="20"/>
        </w:rPr>
        <w:t> </w:t>
      </w:r>
    </w:p>
    <w:p w14:paraId="5A2429F2" w14:textId="77777777" w:rsidR="008A28D5" w:rsidRPr="00A608EE" w:rsidRDefault="008A28D5" w:rsidP="00EE208A">
      <w:pPr>
        <w:jc w:val="both"/>
        <w:rPr>
          <w:rFonts w:asciiTheme="majorHAnsi" w:hAnsiTheme="majorHAnsi"/>
          <w:szCs w:val="20"/>
        </w:rPr>
      </w:pPr>
    </w:p>
    <w:p w14:paraId="0B9C9A5F" w14:textId="515C2F63" w:rsidR="00A2049F" w:rsidRPr="00A608EE" w:rsidRDefault="005A4155" w:rsidP="00EE208A">
      <w:pPr>
        <w:pStyle w:val="Heading4"/>
        <w:spacing w:before="0" w:line="240" w:lineRule="auto"/>
        <w:jc w:val="both"/>
      </w:pPr>
      <w:r w:rsidRPr="00A608EE">
        <w:rPr>
          <w:rStyle w:val="text-primary"/>
        </w:rPr>
        <w:t xml:space="preserve">4.A.1.4 </w:t>
      </w:r>
      <w:r w:rsidR="00703886" w:rsidRPr="00A608EE">
        <w:rPr>
          <w:rStyle w:val="text-primary"/>
        </w:rPr>
        <w:t>If the loan approval analysis is done through an algorithm, the provider reviews how well the algorithm functions. Minimum frequency: annually.</w:t>
      </w:r>
    </w:p>
    <w:p w14:paraId="71399E49" w14:textId="29B29D8F" w:rsidR="00703886" w:rsidRPr="00A608EE" w:rsidRDefault="00703886" w:rsidP="00EE208A">
      <w:pPr>
        <w:pStyle w:val="NormalWeb"/>
        <w:spacing w:before="0" w:beforeAutospacing="0" w:after="0" w:afterAutospacing="0"/>
        <w:ind w:left="708"/>
        <w:jc w:val="both"/>
        <w:rPr>
          <w:rFonts w:asciiTheme="majorHAnsi" w:hAnsiTheme="majorHAnsi" w:cstheme="majorHAnsi"/>
          <w:i/>
          <w:sz w:val="20"/>
          <w:szCs w:val="20"/>
        </w:rPr>
      </w:pPr>
      <w:r w:rsidRPr="00A608EE">
        <w:rPr>
          <w:rFonts w:asciiTheme="majorHAnsi" w:hAnsiTheme="majorHAnsi" w:cstheme="majorHAnsi"/>
          <w:i/>
          <w:sz w:val="20"/>
          <w:szCs w:val="20"/>
        </w:rPr>
        <w:t>4.A.1.4.1 The provider reviews the effectiveness of the algorithm for predicting client repayment.</w:t>
      </w:r>
    </w:p>
    <w:p w14:paraId="39079590" w14:textId="4A7A4F74" w:rsidR="00E65C40" w:rsidRPr="00A608EE" w:rsidRDefault="00703886" w:rsidP="00EE208A">
      <w:pPr>
        <w:pStyle w:val="NormalWeb"/>
        <w:spacing w:before="0" w:beforeAutospacing="0" w:after="0" w:afterAutospacing="0"/>
        <w:ind w:left="708"/>
        <w:jc w:val="both"/>
        <w:rPr>
          <w:rFonts w:asciiTheme="majorHAnsi" w:hAnsiTheme="majorHAnsi" w:cstheme="majorHAnsi"/>
          <w:sz w:val="20"/>
          <w:szCs w:val="20"/>
        </w:rPr>
      </w:pPr>
      <w:r w:rsidRPr="00A608EE">
        <w:rPr>
          <w:rFonts w:asciiTheme="majorHAnsi" w:hAnsiTheme="majorHAnsi" w:cstheme="majorHAnsi"/>
          <w:i/>
          <w:sz w:val="20"/>
          <w:szCs w:val="20"/>
        </w:rPr>
        <w:t>4.A.1.4.2 The provider checks its algorithms for bias against Protected Categories and corrects it as needed.</w:t>
      </w:r>
    </w:p>
    <w:p w14:paraId="2767B305" w14:textId="77777777" w:rsidR="00264D86" w:rsidRPr="00A608EE" w:rsidRDefault="00264D86" w:rsidP="00EE208A">
      <w:pPr>
        <w:pStyle w:val="NormalWeb"/>
        <w:spacing w:before="0" w:beforeAutospacing="0" w:after="0" w:afterAutospacing="0"/>
        <w:jc w:val="both"/>
        <w:rPr>
          <w:rFonts w:asciiTheme="majorHAnsi" w:hAnsiTheme="majorHAnsi" w:cstheme="majorHAnsi"/>
          <w:sz w:val="20"/>
          <w:szCs w:val="20"/>
        </w:rPr>
      </w:pPr>
    </w:p>
    <w:p w14:paraId="632EA63A" w14:textId="08C7C078" w:rsidR="008A28D5"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8A28D5" w:rsidRPr="00A608EE">
        <w:rPr>
          <w:rFonts w:asciiTheme="majorHAnsi" w:hAnsiTheme="majorHAnsi" w:cstheme="majorHAnsi"/>
          <w:b/>
          <w:bCs/>
          <w:color w:val="2145CC" w:themeColor="accent5" w:themeShade="BF"/>
          <w:sz w:val="20"/>
          <w:szCs w:val="20"/>
        </w:rPr>
        <w:t xml:space="preserve">SPI5 Full | CP Full </w:t>
      </w:r>
      <w:r w:rsidR="004A48FF" w:rsidRPr="00A608EE">
        <w:rPr>
          <w:rFonts w:ascii="Work Sans" w:hAnsi="Work Sans"/>
          <w:b/>
          <w:bCs/>
          <w:color w:val="2145CC" w:themeColor="accent5" w:themeShade="BF"/>
          <w:sz w:val="20"/>
          <w:szCs w:val="20"/>
        </w:rPr>
        <w:t>| DI Focus</w:t>
      </w:r>
    </w:p>
    <w:p w14:paraId="713D7F86" w14:textId="17A45B90" w:rsidR="008A28D5" w:rsidRPr="00A608EE" w:rsidRDefault="008A28D5"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lastRenderedPageBreak/>
        <w:t>D</w:t>
      </w:r>
      <w:r w:rsidR="00703886"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4.A.1.4.1: Advanced CP </w:t>
      </w:r>
    </w:p>
    <w:p w14:paraId="72778049" w14:textId="4C98AD34" w:rsidR="00703886" w:rsidRPr="00A608EE" w:rsidRDefault="00DB45CE" w:rsidP="00A02AC4">
      <w:pPr>
        <w:pStyle w:val="paragraph"/>
        <w:spacing w:before="120" w:beforeAutospacing="0" w:after="120" w:afterAutospacing="0"/>
        <w:jc w:val="both"/>
        <w:textAlignment w:val="baseline"/>
        <w:rPr>
          <w:rFonts w:asciiTheme="majorHAnsi" w:hAnsiTheme="majorHAnsi" w:cstheme="majorBidi"/>
          <w:sz w:val="20"/>
          <w:szCs w:val="20"/>
        </w:rPr>
      </w:pPr>
      <w:r w:rsidRPr="00A608EE">
        <w:rPr>
          <w:rFonts w:asciiTheme="majorHAnsi" w:hAnsiTheme="majorHAnsi"/>
          <w:sz w:val="20"/>
          <w:szCs w:val="20"/>
        </w:rPr>
        <w:t> </w:t>
      </w:r>
      <w:r w:rsidR="00703886" w:rsidRPr="00A608EE">
        <w:rPr>
          <w:rFonts w:asciiTheme="majorHAnsi" w:hAnsiTheme="majorHAnsi" w:cstheme="majorBidi"/>
          <w:sz w:val="20"/>
          <w:szCs w:val="20"/>
        </w:rPr>
        <w:t>Using algorithms to facilitate repayment capacity analysis for loan approval increases dramatically the risk of client over-indebtedness. This is mainly due to the fact that most algorithms are designed to evaluate the probability that the client will repay, not the actual capacity of the client to repay. Any responsible provider using an algorithm in place of a cash flow analysis and loan officer-based repayment capacity analysis must ensure that the designers of the algorithm understand the provider’s mission and target clients prior to designing the algorithm. The provider should test the algorithm on a sample of existing loan files to understand if the results of the algorithm are consistent with their previous repayment capacity analysis and how the two approaches differ and whether or not those differences are consistent with its mission and social goals.</w:t>
      </w:r>
    </w:p>
    <w:p w14:paraId="6A8B2210" w14:textId="77777777" w:rsidR="00703886" w:rsidRPr="00A608EE" w:rsidRDefault="00703886" w:rsidP="00EE208A">
      <w:pPr>
        <w:pStyle w:val="NormalWeb"/>
        <w:spacing w:before="0" w:beforeAutospacing="0" w:after="0" w:afterAutospacing="0"/>
        <w:jc w:val="both"/>
        <w:rPr>
          <w:rFonts w:asciiTheme="majorHAnsi" w:hAnsiTheme="majorHAnsi" w:cstheme="majorBidi"/>
          <w:sz w:val="20"/>
          <w:szCs w:val="20"/>
        </w:rPr>
      </w:pPr>
    </w:p>
    <w:p w14:paraId="6D81634F" w14:textId="32B87C73" w:rsidR="00703886" w:rsidRPr="00A608EE" w:rsidRDefault="00703886"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The details provide further guidance:</w:t>
      </w:r>
    </w:p>
    <w:p w14:paraId="17CBB208" w14:textId="77777777" w:rsidR="00703886" w:rsidRPr="00A608EE" w:rsidRDefault="00703886" w:rsidP="00A27AAA">
      <w:pPr>
        <w:pStyle w:val="NormalWeb"/>
        <w:numPr>
          <w:ilvl w:val="0"/>
          <w:numId w:val="222"/>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After a period of no more than 12 months, the provider conducts a review of the effectiveness of the algorithm at accurately predicting which clients will be willing/able to repay their loans. It is important to conduct this review either in a pilot-test or promptly upon deploying a new algorithm or new criteria to reduce the risk of clients suffering from significant debt stress.  If the provider is switching from a cash flow-based repayment capacity analysis to an algorithm, it should also make sure to define specific monitoring indicators and red-flags to have early warnings of potential debt stress among its clients.</w:t>
      </w:r>
    </w:p>
    <w:p w14:paraId="7C7998C5" w14:textId="77777777" w:rsidR="00703886" w:rsidRPr="00A608EE" w:rsidRDefault="00703886" w:rsidP="00A27AAA">
      <w:pPr>
        <w:pStyle w:val="NormalWeb"/>
        <w:numPr>
          <w:ilvl w:val="0"/>
          <w:numId w:val="222"/>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Since the algorithms used in credit decision-making usually use data mining and analysis of big data sets to develop predictions for each client, there is a higher risk of unintentional bias in this process. The algorithms use criteria such as number of contacts in the candidate’s phone, or number of social media accounts and interactions as predictors of likelihood of repayment. For example, if a gender divide exists in a certain country in terms of smart phone ownership and smart phone ownership is one of the criteria used in the algorithm, the algorithm may contribute to widening the gender gap in terms of access to credit.</w:t>
      </w:r>
    </w:p>
    <w:p w14:paraId="5FE6C2CA" w14:textId="2C44E491" w:rsidR="00703886" w:rsidRPr="00A608EE" w:rsidRDefault="00703886" w:rsidP="00A27AAA">
      <w:pPr>
        <w:pStyle w:val="NormalWeb"/>
        <w:numPr>
          <w:ilvl w:val="0"/>
          <w:numId w:val="222"/>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The International Labor Organization (ILO) defines Protected Categories as those characteristics of a person that cannot be used to discriminate against them for employment purposes, which include ethnicity, gender, age, disability, political affiliation, sexual orientation, caste, and religion.</w:t>
      </w:r>
    </w:p>
    <w:p w14:paraId="32CB97B9" w14:textId="49AF3705" w:rsidR="00703886" w:rsidRPr="00A608EE" w:rsidRDefault="00703886" w:rsidP="00A27AAA">
      <w:pPr>
        <w:pStyle w:val="NormalWeb"/>
        <w:numPr>
          <w:ilvl w:val="0"/>
          <w:numId w:val="222"/>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The provider should consider how the algorithm’s recommendations for credit approval and amount vary based on the gender and ethnicity of the candidates to see whether the biases of the algorithm’s designers or the selection of certain data inputs creates a risk of discrimination. If this type of bias is identified, the provider must work with the designers of the algorithm to reduce the amount and effects of bias in the algorithm over time.</w:t>
      </w:r>
    </w:p>
    <w:p w14:paraId="12F582B5" w14:textId="77777777" w:rsidR="00672763" w:rsidRPr="00A608EE" w:rsidRDefault="00672763" w:rsidP="00672763">
      <w:pPr>
        <w:pStyle w:val="NormalWeb"/>
        <w:spacing w:before="0" w:beforeAutospacing="0" w:after="0" w:afterAutospacing="0"/>
        <w:jc w:val="both"/>
        <w:rPr>
          <w:rFonts w:asciiTheme="majorHAnsi" w:hAnsiTheme="majorHAnsi" w:cstheme="majorBidi"/>
          <w:sz w:val="20"/>
          <w:szCs w:val="20"/>
        </w:rPr>
      </w:pPr>
    </w:p>
    <w:p w14:paraId="36988D9B"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54848" behindDoc="1" locked="0" layoutInCell="1" allowOverlap="1" wp14:anchorId="157D41FC" wp14:editId="3F010C1B">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90879222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399993E" w14:textId="77777777" w:rsidR="00672763" w:rsidRPr="00A608EE" w:rsidRDefault="00672763" w:rsidP="00672763">
      <w:pPr>
        <w:pStyle w:val="NormalWeb"/>
        <w:spacing w:before="0" w:beforeAutospacing="0" w:after="0" w:afterAutospacing="0"/>
        <w:jc w:val="both"/>
        <w:rPr>
          <w:rFonts w:asciiTheme="majorHAnsi" w:hAnsiTheme="majorHAnsi" w:cstheme="majorBidi"/>
          <w:sz w:val="20"/>
          <w:szCs w:val="20"/>
        </w:rPr>
      </w:pPr>
    </w:p>
    <w:p w14:paraId="4F13D507" w14:textId="2A9E2AD2" w:rsidR="00DB45CE" w:rsidRPr="00A608EE" w:rsidRDefault="00FC6779" w:rsidP="00EE208A">
      <w:pPr>
        <w:pStyle w:val="NormalWeb"/>
        <w:spacing w:before="0" w:beforeAutospacing="0" w:after="0" w:afterAutospacing="0"/>
        <w:jc w:val="both"/>
        <w:rPr>
          <w:rFonts w:asciiTheme="majorHAnsi" w:hAnsiTheme="majorHAnsi" w:cstheme="majorBid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DB45CE" w:rsidRPr="00A608EE">
        <w:rPr>
          <w:rFonts w:asciiTheme="majorHAnsi" w:hAnsiTheme="majorHAnsi" w:cstheme="majorBidi"/>
          <w:sz w:val="20"/>
          <w:szCs w:val="20"/>
        </w:rPr>
        <w:t>The provider's development processes and reviews of its algorithms include mitigation of bias against persons with different types of impairments.</w:t>
      </w:r>
    </w:p>
    <w:p w14:paraId="018A8764" w14:textId="77777777" w:rsidR="001901BE" w:rsidRPr="00A608EE" w:rsidRDefault="001901BE" w:rsidP="00EE208A">
      <w:pPr>
        <w:pStyle w:val="NormalWeb"/>
        <w:spacing w:before="0" w:beforeAutospacing="0" w:after="0" w:afterAutospacing="0"/>
        <w:jc w:val="both"/>
        <w:rPr>
          <w:rFonts w:asciiTheme="majorHAnsi" w:hAnsiTheme="majorHAnsi" w:cstheme="majorBidi"/>
          <w:sz w:val="20"/>
          <w:szCs w:val="20"/>
        </w:rPr>
      </w:pPr>
    </w:p>
    <w:p w14:paraId="26299329" w14:textId="6A67C569" w:rsidR="001901BE" w:rsidRPr="00A608EE" w:rsidRDefault="001901BE" w:rsidP="00EE208A">
      <w:pPr>
        <w:pStyle w:val="NormalWeb"/>
        <w:spacing w:before="0" w:beforeAutospacing="0" w:after="0" w:afterAutospacing="0"/>
        <w:jc w:val="both"/>
        <w:rPr>
          <w:rFonts w:asciiTheme="majorHAnsi" w:hAnsiTheme="majorHAnsi" w:cstheme="majorBidi"/>
          <w:sz w:val="20"/>
          <w:szCs w:val="20"/>
        </w:rPr>
      </w:pPr>
      <w:r w:rsidRPr="00A608EE">
        <w:rPr>
          <w:noProof/>
        </w:rPr>
        <w:lastRenderedPageBreak/>
        <mc:AlternateContent>
          <mc:Choice Requires="wps">
            <w:drawing>
              <wp:anchor distT="0" distB="0" distL="114300" distR="114300" simplePos="0" relativeHeight="251757568" behindDoc="0" locked="0" layoutInCell="1" allowOverlap="1" wp14:anchorId="2A0D4EFF" wp14:editId="58A2D99A">
                <wp:simplePos x="0" y="0"/>
                <wp:positionH relativeFrom="margin">
                  <wp:align>left</wp:align>
                </wp:positionH>
                <wp:positionV relativeFrom="paragraph">
                  <wp:posOffset>147955</wp:posOffset>
                </wp:positionV>
                <wp:extent cx="1828800" cy="4095750"/>
                <wp:effectExtent l="0" t="0" r="24130" b="19050"/>
                <wp:wrapSquare wrapText="bothSides"/>
                <wp:docPr id="821329013" name="Cuadro de texto 1"/>
                <wp:cNvGraphicFramePr/>
                <a:graphic xmlns:a="http://schemas.openxmlformats.org/drawingml/2006/main">
                  <a:graphicData uri="http://schemas.microsoft.com/office/word/2010/wordprocessingShape">
                    <wps:wsp>
                      <wps:cNvSpPr txBox="1"/>
                      <wps:spPr>
                        <a:xfrm>
                          <a:off x="0" y="0"/>
                          <a:ext cx="1828800" cy="4095750"/>
                        </a:xfrm>
                        <a:prstGeom prst="rect">
                          <a:avLst/>
                        </a:prstGeom>
                        <a:noFill/>
                        <a:ln w="6350">
                          <a:solidFill>
                            <a:prstClr val="black"/>
                          </a:solidFill>
                        </a:ln>
                      </wps:spPr>
                      <wps:txbx>
                        <w:txbxContent>
                          <w:p w14:paraId="41F49310" w14:textId="7F4D7B2D" w:rsidR="001901BE" w:rsidRPr="00820B09" w:rsidRDefault="00EB123D" w:rsidP="001901BE">
                            <w:pPr>
                              <w:pStyle w:val="NormalWeb"/>
                              <w:spacing w:after="0"/>
                              <w:jc w:val="both"/>
                              <w:rPr>
                                <w:rFonts w:asciiTheme="majorHAnsi" w:hAnsiTheme="majorHAnsi" w:cstheme="majorBidi"/>
                                <w:b/>
                                <w:bCs/>
                                <w:sz w:val="20"/>
                                <w:szCs w:val="20"/>
                              </w:rPr>
                            </w:pPr>
                            <w:r w:rsidRPr="00820B09">
                              <w:t xml:space="preserve"> </w:t>
                            </w:r>
                            <w:r w:rsidRPr="00820B09">
                              <w:rPr>
                                <w:rFonts w:asciiTheme="majorHAnsi" w:hAnsiTheme="majorHAnsi" w:cstheme="majorBidi"/>
                                <w:b/>
                                <w:bCs/>
                                <w:sz w:val="20"/>
                                <w:szCs w:val="20"/>
                              </w:rPr>
                              <w:t xml:space="preserve">Disability Inclusion - Info Box </w:t>
                            </w:r>
                            <w:r w:rsidR="001901BE" w:rsidRPr="00820B09">
                              <w:rPr>
                                <w:rFonts w:asciiTheme="majorHAnsi" w:hAnsiTheme="majorHAnsi" w:cstheme="majorBidi"/>
                                <w:b/>
                                <w:bCs/>
                                <w:sz w:val="20"/>
                                <w:szCs w:val="20"/>
                              </w:rPr>
                              <w:t>4.A.1.4</w:t>
                            </w:r>
                          </w:p>
                          <w:p w14:paraId="5EBA9E2F" w14:textId="77777777" w:rsidR="001901BE" w:rsidRPr="00820B09" w:rsidRDefault="001901BE"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 xml:space="preserve">Loan decisioning processes, both manual and automated, can include biases that lead to exclusion of persons with disabilities. </w:t>
                            </w:r>
                          </w:p>
                          <w:p w14:paraId="38536357" w14:textId="77777777" w:rsidR="001901BE" w:rsidRPr="00820B09" w:rsidRDefault="001901BE"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 xml:space="preserve">In manual processes, this may occur due to staff bias (including negative stereotypes of persons with disabilities as more ‘risky’ clients or unable to run a business), and over-reliance on documentation such as employment records, which has disproportionate impact on persons with disabilities due to higher rates of informal and self-employment. Measures to mitigate bias include training credit officers on disability inclusion and unconscious bias, loan approval decisions being reviewed by a second person, and documenting decisions for transparency. </w:t>
                            </w:r>
                          </w:p>
                          <w:p w14:paraId="7216DA84" w14:textId="77777777" w:rsidR="001901BE" w:rsidRPr="00820B09" w:rsidRDefault="001901BE"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Automated processes and algorithms may lead to bias against persons with disability due to historical data sets that reflect past exclusion and discrimination (e.g. higher decline rates) or under-represent persons with disabilities, or use of variables to indicate risk that apply disproportionately to persons with disabilities (e.g. gaps in employment, income volatility). To mitigate bias, ensure data sets for training AI algorithms include diverse groups including persons with disabilities, review models for disability-related bias, test model outcomes for bias against persons with disabilities, increase transparency about how algorithms work, and provide accessible channels for clients to request a manual review of decisions.</w:t>
                            </w:r>
                          </w:p>
                          <w:p w14:paraId="46541C18" w14:textId="71E48D61" w:rsidR="00133A07" w:rsidRPr="00820B09" w:rsidRDefault="00133A07"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For further information on identifying and mitigating bias against persons with disabilities in loan approval processes, see BFFI’s Disability Inclusion Guide for FSPs.</w:t>
                            </w:r>
                          </w:p>
                          <w:p w14:paraId="120CE3BF" w14:textId="77777777" w:rsidR="00133A07" w:rsidRPr="00820B09" w:rsidRDefault="00133A07" w:rsidP="001901BE">
                            <w:pPr>
                              <w:pStyle w:val="NormalWeb"/>
                              <w:spacing w:after="0"/>
                              <w:jc w:val="both"/>
                              <w:rPr>
                                <w:rFonts w:asciiTheme="majorHAnsi" w:hAnsiTheme="majorHAnsi" w:cstheme="majorBidi"/>
                                <w:sz w:val="20"/>
                                <w:szCs w:val="20"/>
                              </w:rPr>
                            </w:pPr>
                          </w:p>
                          <w:p w14:paraId="71C9F8F4" w14:textId="77777777" w:rsidR="001901BE" w:rsidRPr="00820B09" w:rsidRDefault="001901BE" w:rsidP="001901BE">
                            <w:pPr>
                              <w:pStyle w:val="NormalWeb"/>
                              <w:spacing w:after="0"/>
                              <w:jc w:val="both"/>
                              <w:rPr>
                                <w:rFonts w:asciiTheme="majorHAnsi" w:hAnsiTheme="majorHAnsi" w:cstheme="majorBidi"/>
                                <w:sz w:val="20"/>
                                <w:szCs w:val="20"/>
                              </w:rPr>
                            </w:pPr>
                          </w:p>
                          <w:p w14:paraId="6C60A458" w14:textId="77777777" w:rsidR="001901BE" w:rsidRPr="00820B09" w:rsidRDefault="001901BE" w:rsidP="001901BE">
                            <w:pPr>
                              <w:pStyle w:val="NormalWeb"/>
                              <w:spacing w:after="0"/>
                              <w:jc w:val="both"/>
                              <w:rPr>
                                <w:rFonts w:asciiTheme="majorHAnsi" w:hAnsiTheme="majorHAnsi" w:cstheme="majorBidi"/>
                                <w:sz w:val="20"/>
                                <w:szCs w:val="20"/>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0D4EFF" id="_x0000_s1053" type="#_x0000_t202" style="position:absolute;left:0;text-align:left;margin-left:0;margin-top:11.65pt;width:2in;height:322.5pt;z-index:251757568;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" filled="f" strokeweight=".5pt">
                <v:textbox>
                  <w:txbxContent>
                    <w:p w14:paraId="41F49310" w14:textId="7F4D7B2D" w:rsidR="001901BE" w:rsidRPr="00820B09" w:rsidRDefault="00EB123D" w:rsidP="001901BE">
                      <w:pPr>
                        <w:pStyle w:val="NormalWeb"/>
                        <w:spacing w:after="0"/>
                        <w:jc w:val="both"/>
                        <w:rPr>
                          <w:rFonts w:asciiTheme="majorHAnsi" w:hAnsiTheme="majorHAnsi" w:cstheme="majorBidi"/>
                          <w:b/>
                          <w:bCs/>
                          <w:sz w:val="20"/>
                          <w:szCs w:val="20"/>
                        </w:rPr>
                      </w:pPr>
                      <w:r w:rsidRPr="00820B09">
                        <w:t xml:space="preserve"> </w:t>
                      </w:r>
                      <w:r w:rsidRPr="00820B09">
                        <w:rPr>
                          <w:rFonts w:asciiTheme="majorHAnsi" w:hAnsiTheme="majorHAnsi" w:cstheme="majorBidi"/>
                          <w:b/>
                          <w:bCs/>
                          <w:sz w:val="20"/>
                          <w:szCs w:val="20"/>
                        </w:rPr>
                        <w:t xml:space="preserve">Disability Inclusion - Info Box </w:t>
                      </w:r>
                      <w:r w:rsidR="001901BE" w:rsidRPr="00820B09">
                        <w:rPr>
                          <w:rFonts w:asciiTheme="majorHAnsi" w:hAnsiTheme="majorHAnsi" w:cstheme="majorBidi"/>
                          <w:b/>
                          <w:bCs/>
                          <w:sz w:val="20"/>
                          <w:szCs w:val="20"/>
                        </w:rPr>
                        <w:t>4.A.1.4</w:t>
                      </w:r>
                    </w:p>
                    <w:p w14:paraId="5EBA9E2F" w14:textId="77777777" w:rsidR="001901BE" w:rsidRPr="00820B09" w:rsidRDefault="001901BE"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 xml:space="preserve">Loan decisioning processes, both manual and automated, can include biases that lead to exclusion of persons with disabilities. </w:t>
                      </w:r>
                    </w:p>
                    <w:p w14:paraId="38536357" w14:textId="77777777" w:rsidR="001901BE" w:rsidRPr="00820B09" w:rsidRDefault="001901BE"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 xml:space="preserve">In manual processes, this may occur due to staff bias (including negative stereotypes of persons with disabilities as more ‘risky’ clients or unable to run a business), and over-reliance on documentation such as employment records, which has disproportionate impact on persons with disabilities due to higher rates of informal and self-employment. Measures to mitigate bias include training credit officers on disability inclusion and unconscious bias, loan approval decisions being reviewed by a second person, and documenting decisions for transparency. </w:t>
                      </w:r>
                    </w:p>
                    <w:p w14:paraId="7216DA84" w14:textId="77777777" w:rsidR="001901BE" w:rsidRPr="00820B09" w:rsidRDefault="001901BE"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Automated processes and algorithms may lead to bias against persons with disability due to historical data sets that reflect past exclusion and discrimination (e.g. higher decline rates) or under-represent persons with disabilities, or use of variables to indicate risk that apply disproportionately to persons with disabilities (e.g. gaps in employment, income volatility). To mitigate bias, ensure data sets for training AI algorithms include diverse groups including persons with disabilities, review models for disability-related bias, test model outcomes for bias against persons with disabilities, increase transparency about how algorithms work, and provide accessible channels for clients to request a manual review of decisions.</w:t>
                      </w:r>
                    </w:p>
                    <w:p w14:paraId="46541C18" w14:textId="71E48D61" w:rsidR="00133A07" w:rsidRPr="00820B09" w:rsidRDefault="00133A07" w:rsidP="001901BE">
                      <w:pPr>
                        <w:pStyle w:val="NormalWeb"/>
                        <w:spacing w:after="0"/>
                        <w:jc w:val="both"/>
                        <w:rPr>
                          <w:rFonts w:asciiTheme="majorHAnsi" w:hAnsiTheme="majorHAnsi" w:cstheme="majorBidi"/>
                          <w:sz w:val="20"/>
                          <w:szCs w:val="20"/>
                        </w:rPr>
                      </w:pPr>
                      <w:r w:rsidRPr="00820B09">
                        <w:rPr>
                          <w:rFonts w:asciiTheme="majorHAnsi" w:hAnsiTheme="majorHAnsi" w:cstheme="majorBidi"/>
                          <w:sz w:val="20"/>
                          <w:szCs w:val="20"/>
                        </w:rPr>
                        <w:t>For further information on identifying and mitigating bias against persons with disabilities in loan approval processes, see BFFI’s Disability Inclusion Guide for FSPs.</w:t>
                      </w:r>
                    </w:p>
                    <w:p w14:paraId="120CE3BF" w14:textId="77777777" w:rsidR="00133A07" w:rsidRPr="00820B09" w:rsidRDefault="00133A07" w:rsidP="001901BE">
                      <w:pPr>
                        <w:pStyle w:val="NormalWeb"/>
                        <w:spacing w:after="0"/>
                        <w:jc w:val="both"/>
                        <w:rPr>
                          <w:rFonts w:asciiTheme="majorHAnsi" w:hAnsiTheme="majorHAnsi" w:cstheme="majorBidi"/>
                          <w:sz w:val="20"/>
                          <w:szCs w:val="20"/>
                        </w:rPr>
                      </w:pPr>
                    </w:p>
                    <w:p w14:paraId="71C9F8F4" w14:textId="77777777" w:rsidR="001901BE" w:rsidRPr="00820B09" w:rsidRDefault="001901BE" w:rsidP="001901BE">
                      <w:pPr>
                        <w:pStyle w:val="NormalWeb"/>
                        <w:spacing w:after="0"/>
                        <w:jc w:val="both"/>
                        <w:rPr>
                          <w:rFonts w:asciiTheme="majorHAnsi" w:hAnsiTheme="majorHAnsi" w:cstheme="majorBidi"/>
                          <w:sz w:val="20"/>
                          <w:szCs w:val="20"/>
                        </w:rPr>
                      </w:pPr>
                    </w:p>
                    <w:p w14:paraId="6C60A458" w14:textId="77777777" w:rsidR="001901BE" w:rsidRPr="00820B09" w:rsidRDefault="001901BE" w:rsidP="001901BE">
                      <w:pPr>
                        <w:pStyle w:val="NormalWeb"/>
                        <w:spacing w:after="0"/>
                        <w:jc w:val="both"/>
                        <w:rPr>
                          <w:rFonts w:asciiTheme="majorHAnsi" w:hAnsiTheme="majorHAnsi" w:cstheme="majorBidi"/>
                          <w:sz w:val="20"/>
                          <w:szCs w:val="20"/>
                        </w:rPr>
                      </w:pPr>
                    </w:p>
                  </w:txbxContent>
                </v:textbox>
                <w10:wrap type="square" anchorx="margin"/>
              </v:shape>
            </w:pict>
          </mc:Fallback>
        </mc:AlternateContent>
      </w:r>
    </w:p>
    <w:p w14:paraId="478873F7" w14:textId="450A1CA9" w:rsidR="00703886" w:rsidRPr="00A608EE" w:rsidRDefault="00703886"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t>Scoring guidance</w:t>
      </w:r>
    </w:p>
    <w:p w14:paraId="58D5A9D0" w14:textId="77777777" w:rsidR="00703886" w:rsidRPr="00A608EE" w:rsidRDefault="00703886" w:rsidP="00A27AAA">
      <w:pPr>
        <w:pStyle w:val="NormalWeb"/>
        <w:numPr>
          <w:ilvl w:val="0"/>
          <w:numId w:val="223"/>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‘N/A’, if the provider does </w:t>
      </w:r>
      <w:r w:rsidRPr="00A608EE">
        <w:rPr>
          <w:rFonts w:asciiTheme="majorHAnsi" w:hAnsiTheme="majorHAnsi" w:cstheme="majorBidi"/>
          <w:sz w:val="20"/>
          <w:szCs w:val="20"/>
          <w:u w:val="single"/>
        </w:rPr>
        <w:t>not</w:t>
      </w:r>
      <w:r w:rsidRPr="00A608EE">
        <w:rPr>
          <w:rFonts w:asciiTheme="majorHAnsi" w:hAnsiTheme="majorHAnsi" w:cstheme="majorBidi"/>
          <w:sz w:val="20"/>
          <w:szCs w:val="20"/>
        </w:rPr>
        <w:t> use an algorithm for the loan approval analysis.</w:t>
      </w:r>
    </w:p>
    <w:p w14:paraId="10F93EDA" w14:textId="77777777" w:rsidR="00703886" w:rsidRPr="00A608EE" w:rsidRDefault="00703886" w:rsidP="00EE208A">
      <w:pPr>
        <w:pStyle w:val="NormalWeb"/>
        <w:spacing w:before="0" w:beforeAutospacing="0" w:after="0" w:afterAutospacing="0"/>
        <w:jc w:val="both"/>
        <w:rPr>
          <w:rFonts w:asciiTheme="majorHAnsi" w:hAnsiTheme="majorHAnsi" w:cstheme="majorBidi"/>
          <w:sz w:val="20"/>
          <w:szCs w:val="20"/>
          <w:u w:val="single"/>
        </w:rPr>
      </w:pPr>
    </w:p>
    <w:p w14:paraId="17E07DA9" w14:textId="4E2C34FA" w:rsidR="00703886" w:rsidRPr="00A608EE" w:rsidRDefault="00703886"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Detail 4.A.1.4.1</w:t>
      </w:r>
    </w:p>
    <w:p w14:paraId="1A4181DB" w14:textId="77777777" w:rsidR="00703886" w:rsidRPr="00A608EE" w:rsidRDefault="00703886" w:rsidP="00A27AAA">
      <w:pPr>
        <w:pStyle w:val="NormalWeb"/>
        <w:numPr>
          <w:ilvl w:val="0"/>
          <w:numId w:val="224"/>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’yes’, if the provider has conducted a review of how the algorithm works both (1) prior to launching and (2) regularly during its period of usage, and at least once in the last 12 months.</w:t>
      </w:r>
    </w:p>
    <w:p w14:paraId="5E1F70A5" w14:textId="77777777" w:rsidR="00703886" w:rsidRPr="00A608EE" w:rsidRDefault="00703886" w:rsidP="00A27AAA">
      <w:pPr>
        <w:pStyle w:val="NormalWeb"/>
        <w:numPr>
          <w:ilvl w:val="0"/>
          <w:numId w:val="224"/>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‘partially’, if the provider meets one of the two above requirements only.</w:t>
      </w:r>
    </w:p>
    <w:p w14:paraId="77314BB8" w14:textId="77777777" w:rsidR="00703886" w:rsidRPr="00A608EE" w:rsidRDefault="00703886" w:rsidP="00A27AAA">
      <w:pPr>
        <w:pStyle w:val="NormalWeb"/>
        <w:numPr>
          <w:ilvl w:val="0"/>
          <w:numId w:val="224"/>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‘no’, if the provider fails to meet both above requirements.</w:t>
      </w:r>
    </w:p>
    <w:p w14:paraId="51DEEBB2" w14:textId="77777777" w:rsidR="00703886" w:rsidRPr="00A608EE" w:rsidRDefault="00703886" w:rsidP="00EE208A">
      <w:pPr>
        <w:pStyle w:val="NormalWeb"/>
        <w:spacing w:before="0" w:beforeAutospacing="0" w:after="0" w:afterAutospacing="0"/>
        <w:jc w:val="both"/>
        <w:rPr>
          <w:rFonts w:asciiTheme="majorHAnsi" w:hAnsiTheme="majorHAnsi" w:cstheme="majorBidi"/>
          <w:sz w:val="20"/>
          <w:szCs w:val="20"/>
          <w:u w:val="single"/>
        </w:rPr>
      </w:pPr>
    </w:p>
    <w:p w14:paraId="3932D39F" w14:textId="44ECF77A" w:rsidR="00703886" w:rsidRPr="00A608EE" w:rsidRDefault="00703886" w:rsidP="00EE208A">
      <w:pPr>
        <w:pStyle w:val="NormalWeb"/>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u w:val="single"/>
        </w:rPr>
        <w:t>Detail 4.A.1.4.2</w:t>
      </w:r>
    </w:p>
    <w:p w14:paraId="6DED4550" w14:textId="77777777" w:rsidR="00703886" w:rsidRPr="00A608EE" w:rsidRDefault="00703886" w:rsidP="00A27AAA">
      <w:pPr>
        <w:pStyle w:val="NormalWeb"/>
        <w:numPr>
          <w:ilvl w:val="0"/>
          <w:numId w:val="225"/>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’yes’, if the provider (1) evaluates its loan decision-making algorithm for bias against vulnerable clients, such as indigenous, rural or female etc., (2) adjusts the algorithm with the designer, if any biases were detected, and (3) reviews the algorithm for bias whenever the algorithm is redesigned/modified in a significant way.</w:t>
      </w:r>
    </w:p>
    <w:p w14:paraId="42890400" w14:textId="77777777" w:rsidR="00703886" w:rsidRPr="00A608EE" w:rsidRDefault="00703886" w:rsidP="00A27AAA">
      <w:pPr>
        <w:pStyle w:val="NormalWeb"/>
        <w:numPr>
          <w:ilvl w:val="0"/>
          <w:numId w:val="225"/>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‘partially’, if the provider meets only one or two of the above three requirements.</w:t>
      </w:r>
    </w:p>
    <w:p w14:paraId="1D6B4A3F" w14:textId="77777777" w:rsidR="00703886" w:rsidRPr="00A608EE" w:rsidRDefault="00703886" w:rsidP="00A27AAA">
      <w:pPr>
        <w:pStyle w:val="NormalWeb"/>
        <w:numPr>
          <w:ilvl w:val="0"/>
          <w:numId w:val="225"/>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Score ‘no’, if the provider fails to meet any of the above three requirements.</w:t>
      </w:r>
    </w:p>
    <w:p w14:paraId="070AB5DC" w14:textId="77777777" w:rsidR="00703886" w:rsidRPr="00A608EE" w:rsidRDefault="00703886" w:rsidP="00EE208A">
      <w:pPr>
        <w:pStyle w:val="NormalWeb"/>
        <w:spacing w:before="0" w:beforeAutospacing="0" w:after="0" w:afterAutospacing="0"/>
        <w:jc w:val="both"/>
        <w:rPr>
          <w:rFonts w:asciiTheme="majorHAnsi" w:hAnsiTheme="majorHAnsi" w:cstheme="majorBidi"/>
          <w:sz w:val="20"/>
          <w:szCs w:val="20"/>
        </w:rPr>
      </w:pPr>
    </w:p>
    <w:p w14:paraId="380C08FC" w14:textId="7004E679" w:rsidR="00703886" w:rsidRPr="00A608EE" w:rsidRDefault="00703886"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t>Sources of information</w:t>
      </w:r>
    </w:p>
    <w:p w14:paraId="40C18AEE" w14:textId="77777777" w:rsidR="00703886" w:rsidRPr="00A608EE" w:rsidRDefault="00703886" w:rsidP="00A27AAA">
      <w:pPr>
        <w:pStyle w:val="NormalWeb"/>
        <w:numPr>
          <w:ilvl w:val="0"/>
          <w:numId w:val="226"/>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Interview with the Head of Credit.</w:t>
      </w:r>
    </w:p>
    <w:p w14:paraId="5BFBAF11" w14:textId="77777777" w:rsidR="00703886" w:rsidRPr="00A608EE" w:rsidRDefault="00703886" w:rsidP="00A27AAA">
      <w:pPr>
        <w:pStyle w:val="NormalWeb"/>
        <w:numPr>
          <w:ilvl w:val="0"/>
          <w:numId w:val="226"/>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Interview with the Head of IT and other personnel who were responsible for the design and roll out of the algorithm.</w:t>
      </w:r>
    </w:p>
    <w:p w14:paraId="6177FA83" w14:textId="77777777" w:rsidR="00703886" w:rsidRPr="00A608EE" w:rsidRDefault="00703886" w:rsidP="00A27AAA">
      <w:pPr>
        <w:pStyle w:val="NormalWeb"/>
        <w:numPr>
          <w:ilvl w:val="0"/>
          <w:numId w:val="226"/>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If the provider hired an external firm to design the algorithm, the TOR - and execution reports - for that work could be useful to review to know what parameters the firm was given for the design of the algorithm and whether any social considerations were taken into account e.g., avoiding bias in the algorithm due to type of data used etc.</w:t>
      </w:r>
    </w:p>
    <w:p w14:paraId="52D25D8A" w14:textId="77777777" w:rsidR="00703886" w:rsidRPr="00A608EE" w:rsidRDefault="00703886" w:rsidP="00A27AAA">
      <w:pPr>
        <w:pStyle w:val="NormalWeb"/>
        <w:numPr>
          <w:ilvl w:val="0"/>
          <w:numId w:val="226"/>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Any reports on the review of the algorithm’s effectiveness.</w:t>
      </w:r>
    </w:p>
    <w:p w14:paraId="39C871A1" w14:textId="77777777" w:rsidR="00703886" w:rsidRPr="00A608EE" w:rsidRDefault="00703886" w:rsidP="00EE208A">
      <w:pPr>
        <w:pStyle w:val="NormalWeb"/>
        <w:spacing w:before="0" w:beforeAutospacing="0" w:after="0" w:afterAutospacing="0"/>
        <w:jc w:val="both"/>
        <w:rPr>
          <w:rFonts w:asciiTheme="majorHAnsi" w:hAnsiTheme="majorHAnsi" w:cstheme="majorBidi"/>
          <w:sz w:val="20"/>
          <w:szCs w:val="20"/>
        </w:rPr>
      </w:pPr>
    </w:p>
    <w:p w14:paraId="6B5B4AD3" w14:textId="40EF5CD0" w:rsidR="00703886" w:rsidRPr="00A608EE" w:rsidRDefault="00703886"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lastRenderedPageBreak/>
        <w:t>Evidence to provide</w:t>
      </w:r>
    </w:p>
    <w:p w14:paraId="28527CBC" w14:textId="77777777" w:rsidR="00703886" w:rsidRPr="00A608EE" w:rsidRDefault="00703886" w:rsidP="00A27AAA">
      <w:pPr>
        <w:pStyle w:val="NormalWeb"/>
        <w:numPr>
          <w:ilvl w:val="0"/>
          <w:numId w:val="227"/>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Describe how the algorithm was developed, tested, and reviewed.</w:t>
      </w:r>
    </w:p>
    <w:p w14:paraId="7F880A57" w14:textId="77777777" w:rsidR="00703886" w:rsidRPr="00A608EE" w:rsidRDefault="00703886" w:rsidP="00A27AAA">
      <w:pPr>
        <w:pStyle w:val="NormalWeb"/>
        <w:numPr>
          <w:ilvl w:val="0"/>
          <w:numId w:val="227"/>
        </w:numPr>
        <w:spacing w:before="0" w:beforeAutospacing="0" w:after="0" w:afterAutospacing="0"/>
        <w:jc w:val="both"/>
        <w:rPr>
          <w:rFonts w:asciiTheme="majorHAnsi" w:hAnsiTheme="majorHAnsi" w:cstheme="majorBidi"/>
          <w:sz w:val="20"/>
          <w:szCs w:val="20"/>
        </w:rPr>
      </w:pPr>
      <w:r w:rsidRPr="00A608EE">
        <w:rPr>
          <w:rFonts w:asciiTheme="majorHAnsi" w:hAnsiTheme="majorHAnsi" w:cstheme="majorBidi"/>
          <w:sz w:val="20"/>
          <w:szCs w:val="20"/>
        </w:rPr>
        <w:t>Provide the date of the last review, how often it is carried out, a description of the type of review that was conducted and by whom, and the outcome of the review.</w:t>
      </w:r>
    </w:p>
    <w:p w14:paraId="199ADF6B" w14:textId="77777777" w:rsidR="00703886" w:rsidRPr="00A608EE" w:rsidRDefault="00703886" w:rsidP="00EE208A">
      <w:pPr>
        <w:pStyle w:val="NormalWeb"/>
        <w:spacing w:before="0" w:beforeAutospacing="0" w:after="0" w:afterAutospacing="0"/>
        <w:jc w:val="both"/>
        <w:rPr>
          <w:rFonts w:asciiTheme="majorHAnsi" w:hAnsiTheme="majorHAnsi" w:cstheme="majorBidi"/>
          <w:sz w:val="20"/>
          <w:szCs w:val="20"/>
        </w:rPr>
      </w:pPr>
    </w:p>
    <w:p w14:paraId="2101A7D7" w14:textId="59BBEDB3" w:rsidR="00703886" w:rsidRPr="00A608EE" w:rsidRDefault="00703886" w:rsidP="00EE208A">
      <w:pPr>
        <w:pStyle w:val="NormalWeb"/>
        <w:spacing w:before="0" w:beforeAutospacing="0" w:after="0" w:afterAutospacing="0"/>
        <w:jc w:val="both"/>
        <w:rPr>
          <w:rFonts w:asciiTheme="majorHAnsi" w:hAnsiTheme="majorHAnsi" w:cstheme="majorBidi"/>
          <w:b/>
          <w:bCs/>
          <w:sz w:val="20"/>
          <w:szCs w:val="20"/>
        </w:rPr>
      </w:pPr>
      <w:r w:rsidRPr="00A608EE">
        <w:rPr>
          <w:rFonts w:asciiTheme="majorHAnsi" w:hAnsiTheme="majorHAnsi" w:cstheme="majorBidi"/>
          <w:b/>
          <w:bCs/>
          <w:sz w:val="20"/>
          <w:szCs w:val="20"/>
        </w:rPr>
        <w:t>Resources for indicator 4.A.1.4</w:t>
      </w:r>
    </w:p>
    <w:p w14:paraId="298D98A7" w14:textId="4E49F084" w:rsidR="7C16D02A" w:rsidRPr="00A608EE" w:rsidRDefault="7C16D02A" w:rsidP="00A27AAA">
      <w:pPr>
        <w:numPr>
          <w:ilvl w:val="0"/>
          <w:numId w:val="17"/>
        </w:numPr>
        <w:jc w:val="both"/>
        <w:rPr>
          <w:rFonts w:ascii="Work Sans" w:eastAsia="Work Sans" w:hAnsi="Work Sans" w:cs="Work Sans"/>
          <w:color w:val="000000" w:themeColor="background1"/>
          <w:sz w:val="20"/>
          <w:szCs w:val="20"/>
        </w:rPr>
      </w:pPr>
      <w:hyperlink r:id="rId198">
        <w:r w:rsidRPr="00A608EE">
          <w:rPr>
            <w:rStyle w:val="Hyperlink"/>
            <w:rFonts w:ascii="Work Sans" w:eastAsia="Work Sans" w:hAnsi="Work Sans" w:cs="Work Sans"/>
            <w:sz w:val="20"/>
            <w:szCs w:val="20"/>
          </w:rPr>
          <w:t>Responsible Digital Transformation - the Case of Hermandad de Honduras—English</w:t>
        </w:r>
      </w:hyperlink>
    </w:p>
    <w:p w14:paraId="6E2939AB" w14:textId="0864A388" w:rsidR="7C16D02A" w:rsidRPr="00A608EE" w:rsidRDefault="7C16D02A" w:rsidP="00A27AAA">
      <w:pPr>
        <w:pStyle w:val="ListParagraph"/>
        <w:numPr>
          <w:ilvl w:val="0"/>
          <w:numId w:val="17"/>
        </w:numPr>
        <w:spacing w:after="0" w:line="240" w:lineRule="auto"/>
        <w:jc w:val="both"/>
        <w:rPr>
          <w:rFonts w:eastAsia="Work Sans"/>
          <w:color w:val="000000" w:themeColor="background1"/>
          <w:szCs w:val="20"/>
        </w:rPr>
      </w:pPr>
      <w:hyperlink r:id="rId199">
        <w:r w:rsidRPr="00A608EE">
          <w:rPr>
            <w:rStyle w:val="Hyperlink"/>
            <w:rFonts w:ascii="Work Sans" w:eastAsia="Work Sans" w:hAnsi="Work Sans" w:cs="Work Sans"/>
            <w:szCs w:val="20"/>
          </w:rPr>
          <w:t>Responsible Digital Transformation - the Case of Hermandad de Honduras--Spanish</w:t>
        </w:r>
      </w:hyperlink>
    </w:p>
    <w:p w14:paraId="5558F198" w14:textId="42286231" w:rsidR="7C16D02A" w:rsidRPr="00A608EE" w:rsidRDefault="7C16D02A" w:rsidP="00D12738">
      <w:pPr>
        <w:jc w:val="both"/>
        <w:rPr>
          <w:rFonts w:eastAsia="Work Sans"/>
          <w:color w:val="000000" w:themeColor="background1"/>
          <w:szCs w:val="20"/>
        </w:rPr>
      </w:pPr>
    </w:p>
    <w:p w14:paraId="3685C380" w14:textId="77777777" w:rsidR="00281542" w:rsidRPr="00A608EE" w:rsidRDefault="00281542" w:rsidP="00EE208A">
      <w:pPr>
        <w:jc w:val="both"/>
        <w:rPr>
          <w:rFonts w:asciiTheme="majorHAnsi" w:hAnsiTheme="majorHAnsi"/>
          <w:szCs w:val="20"/>
        </w:rPr>
      </w:pPr>
    </w:p>
    <w:p w14:paraId="04CBA04D" w14:textId="646E28BA" w:rsidR="007B241C" w:rsidRPr="00A608EE" w:rsidRDefault="00C62561" w:rsidP="00EE208A">
      <w:pPr>
        <w:pStyle w:val="Heading2"/>
        <w:jc w:val="both"/>
        <w:rPr>
          <w:szCs w:val="20"/>
        </w:rPr>
      </w:pPr>
      <w:bookmarkStart w:id="67" w:name="_Toc230938798"/>
      <w:r w:rsidRPr="00A608EE">
        <w:rPr>
          <w:rStyle w:val="text-primary"/>
        </w:rPr>
        <w:t>Standard 4B. The provider gives clients clear and timely information to support client decision making.</w:t>
      </w:r>
      <w:bookmarkEnd w:id="67"/>
    </w:p>
    <w:p w14:paraId="0E0C40A9" w14:textId="77777777" w:rsidR="00C62561" w:rsidRPr="00A608EE" w:rsidRDefault="00C62561" w:rsidP="00EE208A">
      <w:pPr>
        <w:pStyle w:val="NormalWeb"/>
        <w:shd w:val="clear" w:color="auto" w:fill="FFFFFF"/>
        <w:spacing w:before="0" w:beforeAutospacing="0" w:after="0" w:afterAutospacing="0"/>
        <w:jc w:val="both"/>
        <w:rPr>
          <w:rFonts w:asciiTheme="majorHAnsi" w:hAnsiTheme="majorHAnsi"/>
          <w:sz w:val="20"/>
          <w:szCs w:val="20"/>
        </w:rPr>
      </w:pPr>
    </w:p>
    <w:p w14:paraId="7B18BD7B" w14:textId="7E3EEAB1" w:rsidR="00281542" w:rsidRPr="00A608EE" w:rsidRDefault="00111B37" w:rsidP="00EE208A">
      <w:pPr>
        <w:jc w:val="both"/>
        <w:rPr>
          <w:rFonts w:asciiTheme="majorHAnsi" w:hAnsiTheme="majorHAnsi"/>
          <w:sz w:val="20"/>
          <w:szCs w:val="20"/>
          <w:lang w:eastAsia="fr-FR"/>
        </w:rPr>
      </w:pPr>
      <w:r w:rsidRPr="00A608EE">
        <w:rPr>
          <w:rFonts w:asciiTheme="majorHAnsi" w:hAnsiTheme="majorHAnsi"/>
          <w:sz w:val="20"/>
          <w:szCs w:val="20"/>
          <w:lang w:eastAsia="fr-FR"/>
        </w:rPr>
        <w:t>Providers communicate clear, sufficient, and timely information in a manner and language that clients can understand, so that clients can make informed decisions. The need for transparent information on pricing, terms, and conditions of products is highlighted. The provider must ensure that clients understand the information disclosed.</w:t>
      </w:r>
    </w:p>
    <w:p w14:paraId="7F2A1316" w14:textId="205D8C1B" w:rsidR="00281542" w:rsidRPr="00A608EE" w:rsidRDefault="00111B37" w:rsidP="00EE208A">
      <w:pPr>
        <w:pStyle w:val="NormalWeb"/>
        <w:shd w:val="clear" w:color="auto" w:fill="FFFFFF"/>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Standard 4B</w:t>
      </w:r>
    </w:p>
    <w:p w14:paraId="0C2B397E" w14:textId="77777777" w:rsidR="00281542" w:rsidRPr="00A608EE" w:rsidRDefault="00281542" w:rsidP="00A27AAA">
      <w:pPr>
        <w:pStyle w:val="NormalWeb"/>
        <w:numPr>
          <w:ilvl w:val="0"/>
          <w:numId w:val="45"/>
        </w:numPr>
        <w:spacing w:before="0" w:beforeAutospacing="0" w:after="0" w:afterAutospacing="0"/>
        <w:jc w:val="both"/>
        <w:rPr>
          <w:rFonts w:asciiTheme="majorHAnsi" w:hAnsiTheme="majorHAnsi"/>
          <w:sz w:val="20"/>
          <w:szCs w:val="20"/>
        </w:rPr>
      </w:pPr>
      <w:hyperlink r:id="rId200" w:tgtFrame="_blank" w:history="1">
        <w:r w:rsidRPr="00A608EE">
          <w:rPr>
            <w:rStyle w:val="Hyperlink"/>
            <w:rFonts w:asciiTheme="majorHAnsi" w:hAnsiTheme="majorHAnsi"/>
            <w:sz w:val="20"/>
            <w:szCs w:val="20"/>
          </w:rPr>
          <w:t>MFO Crystal Loan Agreement for Small Business Clients</w:t>
        </w:r>
      </w:hyperlink>
    </w:p>
    <w:p w14:paraId="71494C0B" w14:textId="77777777" w:rsidR="00281542" w:rsidRPr="00A608EE" w:rsidRDefault="00281542" w:rsidP="00A27AAA">
      <w:pPr>
        <w:pStyle w:val="NormalWeb"/>
        <w:numPr>
          <w:ilvl w:val="0"/>
          <w:numId w:val="45"/>
        </w:numPr>
        <w:spacing w:before="0" w:beforeAutospacing="0" w:after="0" w:afterAutospacing="0"/>
        <w:jc w:val="both"/>
        <w:rPr>
          <w:rFonts w:asciiTheme="majorHAnsi" w:hAnsiTheme="majorHAnsi"/>
          <w:sz w:val="20"/>
          <w:szCs w:val="20"/>
          <w:lang w:val="es-ES"/>
        </w:rPr>
      </w:pPr>
      <w:hyperlink r:id="rId201" w:tgtFrame="_blank" w:history="1">
        <w:r w:rsidRPr="00A608EE">
          <w:rPr>
            <w:rStyle w:val="Hyperlink"/>
            <w:rFonts w:asciiTheme="majorHAnsi" w:hAnsiTheme="majorHAnsi"/>
            <w:sz w:val="20"/>
            <w:szCs w:val="20"/>
            <w:lang w:val="es-ES"/>
          </w:rPr>
          <w:t>Contrato de Préstamo para los clientes de negocio - JSC MFO Crystal, Georgia</w:t>
        </w:r>
      </w:hyperlink>
    </w:p>
    <w:p w14:paraId="1D243405" w14:textId="77777777" w:rsidR="00E65C40" w:rsidRPr="00A608EE" w:rsidRDefault="00E65C40" w:rsidP="00EE208A">
      <w:pPr>
        <w:pStyle w:val="NormalWeb"/>
        <w:shd w:val="clear" w:color="auto" w:fill="FFFFFF"/>
        <w:spacing w:before="0" w:beforeAutospacing="0" w:after="0" w:afterAutospacing="0"/>
        <w:jc w:val="both"/>
        <w:rPr>
          <w:rFonts w:asciiTheme="majorHAnsi" w:hAnsiTheme="majorHAnsi"/>
          <w:sz w:val="20"/>
          <w:szCs w:val="20"/>
          <w:lang w:val="es-ES"/>
        </w:rPr>
      </w:pPr>
    </w:p>
    <w:p w14:paraId="23142C2E" w14:textId="77777777" w:rsidR="00111B37" w:rsidRPr="00A608EE" w:rsidRDefault="00111B37" w:rsidP="00EE208A">
      <w:p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This standard has 2 essential practices:</w:t>
      </w:r>
    </w:p>
    <w:p w14:paraId="57EFB681" w14:textId="32785FAF" w:rsidR="00111B37" w:rsidRPr="00A608EE" w:rsidRDefault="00111B37" w:rsidP="00A27AAA">
      <w:pPr>
        <w:numPr>
          <w:ilvl w:val="0"/>
          <w:numId w:val="228"/>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Essential practice 4.B.1: The provider is transparent about product terms, conditions, and pricing.</w:t>
      </w:r>
    </w:p>
    <w:p w14:paraId="22394BE1" w14:textId="02D9DD98" w:rsidR="00111B37" w:rsidRPr="00A608EE" w:rsidRDefault="00111B37" w:rsidP="00A27AAA">
      <w:pPr>
        <w:numPr>
          <w:ilvl w:val="0"/>
          <w:numId w:val="228"/>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Essential practice 4.B.2: The provider communicates with clients at appropriate times and through appropriate channels.</w:t>
      </w:r>
    </w:p>
    <w:p w14:paraId="03FA4B64" w14:textId="77777777" w:rsidR="00484D72" w:rsidRPr="00A608EE" w:rsidRDefault="00484D72" w:rsidP="00EE208A">
      <w:pPr>
        <w:shd w:val="clear" w:color="auto" w:fill="FFFFFF"/>
        <w:jc w:val="both"/>
        <w:rPr>
          <w:rFonts w:asciiTheme="majorHAnsi" w:hAnsiTheme="majorHAnsi"/>
          <w:szCs w:val="20"/>
        </w:rPr>
      </w:pPr>
    </w:p>
    <w:p w14:paraId="655FD6E4" w14:textId="77777777" w:rsidR="00626C74" w:rsidRPr="00A608EE" w:rsidRDefault="00626C74" w:rsidP="00EE208A">
      <w:pPr>
        <w:shd w:val="clear" w:color="auto" w:fill="FFFFFF"/>
        <w:jc w:val="both"/>
        <w:rPr>
          <w:rFonts w:asciiTheme="majorHAnsi" w:hAnsiTheme="majorHAnsi"/>
          <w:szCs w:val="20"/>
        </w:rPr>
      </w:pPr>
    </w:p>
    <w:p w14:paraId="55EED71B" w14:textId="2C1108AA" w:rsidR="003B13B2" w:rsidRPr="00A608EE" w:rsidRDefault="003B13B2" w:rsidP="00EE208A">
      <w:pPr>
        <w:pStyle w:val="Heading3"/>
        <w:spacing w:before="0" w:line="240" w:lineRule="auto"/>
        <w:jc w:val="both"/>
      </w:pPr>
      <w:bookmarkStart w:id="68" w:name="_Toc230938799"/>
      <w:r w:rsidRPr="00A608EE">
        <w:rPr>
          <w:rStyle w:val="text-primary"/>
        </w:rPr>
        <w:t>4.B.1</w:t>
      </w:r>
      <w:r w:rsidRPr="00A608EE">
        <w:t xml:space="preserve"> </w:t>
      </w:r>
      <w:r w:rsidR="00A9280A" w:rsidRPr="00A608EE">
        <w:t>The provider is transparent about product terms, conditions, and pricing</w:t>
      </w:r>
      <w:r w:rsidR="00F6652E" w:rsidRPr="00A608EE">
        <w:t>.</w:t>
      </w:r>
      <w:bookmarkEnd w:id="68"/>
    </w:p>
    <w:p w14:paraId="229C0949" w14:textId="77777777" w:rsidR="003B13B2" w:rsidRPr="00A608EE" w:rsidRDefault="003B13B2" w:rsidP="00EE208A">
      <w:pPr>
        <w:jc w:val="both"/>
        <w:rPr>
          <w:rFonts w:asciiTheme="majorHAnsi" w:hAnsiTheme="majorHAnsi"/>
          <w:szCs w:val="20"/>
        </w:rPr>
      </w:pPr>
    </w:p>
    <w:p w14:paraId="1B0FFE62" w14:textId="77777777" w:rsidR="00A9280A" w:rsidRPr="00A608EE" w:rsidRDefault="00A9280A" w:rsidP="00EE208A">
      <w:pPr>
        <w:jc w:val="both"/>
        <w:rPr>
          <w:rFonts w:asciiTheme="majorHAnsi" w:hAnsiTheme="majorHAnsi"/>
          <w:sz w:val="20"/>
          <w:szCs w:val="20"/>
          <w:lang w:eastAsia="fr-FR"/>
        </w:rPr>
      </w:pPr>
      <w:r w:rsidRPr="00A608EE">
        <w:rPr>
          <w:rFonts w:asciiTheme="majorHAnsi" w:hAnsiTheme="majorHAnsi"/>
          <w:sz w:val="20"/>
          <w:szCs w:val="20"/>
          <w:lang w:eastAsia="fr-FR"/>
        </w:rPr>
        <w:t>Transparency on product information is vital for client understanding. When clients understand the products, they are buying and using, they are more likely to use them successfully. Client success is a major determinant for the health of the loan portfolio. Furthermore, client understanding helps build confidence and trust. The following transparency practices are recommended:</w:t>
      </w:r>
    </w:p>
    <w:p w14:paraId="109CB8E3" w14:textId="77777777" w:rsidR="00A9280A" w:rsidRPr="00A608EE" w:rsidRDefault="00A9280A" w:rsidP="00EE208A">
      <w:pPr>
        <w:jc w:val="both"/>
        <w:rPr>
          <w:rFonts w:asciiTheme="majorHAnsi" w:hAnsiTheme="majorHAnsi"/>
          <w:sz w:val="20"/>
          <w:szCs w:val="20"/>
          <w:lang w:eastAsia="fr-FR"/>
        </w:rPr>
      </w:pPr>
    </w:p>
    <w:p w14:paraId="4F9EC7CC" w14:textId="77777777" w:rsidR="00A9280A" w:rsidRPr="00A608EE" w:rsidRDefault="00A9280A" w:rsidP="00A27AAA">
      <w:pPr>
        <w:numPr>
          <w:ilvl w:val="0"/>
          <w:numId w:val="229"/>
        </w:numPr>
        <w:jc w:val="both"/>
        <w:rPr>
          <w:rFonts w:asciiTheme="majorHAnsi" w:hAnsiTheme="majorHAnsi"/>
          <w:sz w:val="20"/>
          <w:szCs w:val="20"/>
          <w:lang w:eastAsia="fr-FR"/>
        </w:rPr>
      </w:pPr>
      <w:r w:rsidRPr="00A608EE">
        <w:rPr>
          <w:rFonts w:asciiTheme="majorHAnsi" w:hAnsiTheme="majorHAnsi"/>
          <w:sz w:val="20"/>
          <w:szCs w:val="20"/>
          <w:lang w:eastAsia="fr-FR"/>
        </w:rPr>
        <w:t>Product contracts should be in simple language without illegal clauses and not in fine print. If technical language is required by law, ensure that the Key Facts Documents are written in simple language.</w:t>
      </w:r>
    </w:p>
    <w:p w14:paraId="1963C0EB" w14:textId="77777777" w:rsidR="00A9280A" w:rsidRPr="00A608EE" w:rsidRDefault="00A9280A" w:rsidP="00A27AAA">
      <w:pPr>
        <w:numPr>
          <w:ilvl w:val="0"/>
          <w:numId w:val="229"/>
        </w:numPr>
        <w:jc w:val="both"/>
        <w:rPr>
          <w:rFonts w:asciiTheme="majorHAnsi" w:hAnsiTheme="majorHAnsi"/>
          <w:sz w:val="20"/>
          <w:szCs w:val="20"/>
          <w:lang w:eastAsia="fr-FR"/>
        </w:rPr>
      </w:pPr>
      <w:r w:rsidRPr="00A608EE">
        <w:rPr>
          <w:rFonts w:asciiTheme="majorHAnsi" w:hAnsiTheme="majorHAnsi"/>
          <w:sz w:val="20"/>
          <w:szCs w:val="20"/>
          <w:lang w:eastAsia="fr-FR"/>
        </w:rPr>
        <w:t>For loans with a group guarantee or a guarantor, clearly define member and/or guarantor obligations, and communicate these to group members and guarantors in a way they can understand.</w:t>
      </w:r>
    </w:p>
    <w:p w14:paraId="22ECA8C0" w14:textId="77777777" w:rsidR="00A9280A" w:rsidRPr="00A608EE" w:rsidRDefault="00A9280A" w:rsidP="00A27AAA">
      <w:pPr>
        <w:numPr>
          <w:ilvl w:val="0"/>
          <w:numId w:val="229"/>
        </w:numPr>
        <w:jc w:val="both"/>
        <w:rPr>
          <w:rFonts w:asciiTheme="majorHAnsi" w:hAnsiTheme="majorHAnsi"/>
          <w:sz w:val="20"/>
          <w:szCs w:val="20"/>
          <w:lang w:eastAsia="fr-FR"/>
        </w:rPr>
      </w:pPr>
      <w:r w:rsidRPr="00A608EE">
        <w:rPr>
          <w:rFonts w:asciiTheme="majorHAnsi" w:hAnsiTheme="majorHAnsi"/>
          <w:sz w:val="20"/>
          <w:szCs w:val="20"/>
          <w:lang w:eastAsia="fr-FR"/>
        </w:rPr>
        <w:t>If the loan has a variable rate and/or is denominated in a currency different from the main currency of the client’s source of income (e.g., the client earns income in pesos and the loan is in USD), clearly explain pricing and cost scenarios to the client, including a pessimistic scenario in which exchange rates change and the loan is not worth as much money.</w:t>
      </w:r>
    </w:p>
    <w:p w14:paraId="6C129C1F" w14:textId="77777777" w:rsidR="00A9280A" w:rsidRPr="00A608EE" w:rsidRDefault="00A9280A" w:rsidP="00A27AAA">
      <w:pPr>
        <w:numPr>
          <w:ilvl w:val="0"/>
          <w:numId w:val="229"/>
        </w:numPr>
        <w:jc w:val="both"/>
        <w:rPr>
          <w:rFonts w:asciiTheme="majorHAnsi" w:hAnsiTheme="majorHAnsi"/>
          <w:sz w:val="20"/>
          <w:szCs w:val="20"/>
          <w:lang w:eastAsia="fr-FR"/>
        </w:rPr>
      </w:pPr>
      <w:r w:rsidRPr="00A608EE">
        <w:rPr>
          <w:rFonts w:asciiTheme="majorHAnsi" w:hAnsiTheme="majorHAnsi"/>
          <w:sz w:val="20"/>
          <w:szCs w:val="20"/>
          <w:lang w:eastAsia="fr-FR"/>
        </w:rPr>
        <w:t>For clients using payment services, make sure that the documentation that lists all fees, terms, taxes, and cancellation conditions is provided at your agents’ locations where they facilitate payments. Such services include money transfers, bill payments, airtime top-up, and deposit withdrawal.</w:t>
      </w:r>
    </w:p>
    <w:p w14:paraId="6FD65221" w14:textId="77777777" w:rsidR="00A9280A" w:rsidRPr="00A608EE" w:rsidRDefault="00A9280A" w:rsidP="00EE208A">
      <w:pPr>
        <w:jc w:val="both"/>
        <w:rPr>
          <w:rFonts w:asciiTheme="majorHAnsi" w:hAnsiTheme="majorHAnsi"/>
          <w:sz w:val="20"/>
          <w:szCs w:val="20"/>
          <w:lang w:eastAsia="fr-FR"/>
        </w:rPr>
      </w:pPr>
    </w:p>
    <w:p w14:paraId="20FC5151" w14:textId="676D86B9" w:rsidR="00A9280A" w:rsidRPr="00A608EE" w:rsidRDefault="00A9280A"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4.B.1</w:t>
      </w:r>
    </w:p>
    <w:p w14:paraId="784FD10D" w14:textId="77777777" w:rsidR="00FC6F0C" w:rsidRPr="00A608EE" w:rsidRDefault="00FC6F0C" w:rsidP="00A27AAA">
      <w:pPr>
        <w:numPr>
          <w:ilvl w:val="0"/>
          <w:numId w:val="67"/>
        </w:numPr>
        <w:jc w:val="both"/>
        <w:rPr>
          <w:rFonts w:asciiTheme="majorHAnsi" w:hAnsiTheme="majorHAnsi"/>
          <w:sz w:val="20"/>
          <w:szCs w:val="20"/>
        </w:rPr>
      </w:pPr>
      <w:hyperlink r:id="rId202" w:tgtFrame="_blank" w:history="1">
        <w:r w:rsidRPr="00A608EE">
          <w:rPr>
            <w:rStyle w:val="Hyperlink"/>
            <w:rFonts w:asciiTheme="majorHAnsi" w:hAnsiTheme="majorHAnsi"/>
            <w:sz w:val="20"/>
            <w:szCs w:val="20"/>
          </w:rPr>
          <w:t>CREZCAMOS Colombia: Providing transparent information to clients</w:t>
        </w:r>
      </w:hyperlink>
    </w:p>
    <w:p w14:paraId="56EE3D22" w14:textId="1361643B" w:rsidR="00FC6F0C" w:rsidRPr="00A608EE" w:rsidRDefault="00FC6F0C" w:rsidP="00A27AAA">
      <w:pPr>
        <w:numPr>
          <w:ilvl w:val="0"/>
          <w:numId w:val="67"/>
        </w:numPr>
        <w:jc w:val="both"/>
        <w:rPr>
          <w:rFonts w:asciiTheme="majorHAnsi" w:hAnsiTheme="majorHAnsi"/>
          <w:sz w:val="20"/>
          <w:szCs w:val="20"/>
        </w:rPr>
      </w:pPr>
      <w:hyperlink r:id="rId203" w:tgtFrame="_blank" w:history="1">
        <w:r w:rsidRPr="00A608EE">
          <w:rPr>
            <w:rStyle w:val="Hyperlink"/>
            <w:rFonts w:asciiTheme="majorHAnsi" w:hAnsiTheme="majorHAnsi"/>
            <w:sz w:val="20"/>
            <w:szCs w:val="20"/>
          </w:rPr>
          <w:t>Paquete de bienvenida Crezcamos</w:t>
        </w:r>
      </w:hyperlink>
    </w:p>
    <w:p w14:paraId="0FE7473F" w14:textId="77777777" w:rsidR="00626C74" w:rsidRPr="00A608EE" w:rsidRDefault="00626C74" w:rsidP="00EE208A">
      <w:pPr>
        <w:jc w:val="both"/>
        <w:rPr>
          <w:rFonts w:asciiTheme="majorHAnsi" w:hAnsiTheme="majorHAnsi"/>
          <w:szCs w:val="20"/>
        </w:rPr>
      </w:pPr>
    </w:p>
    <w:p w14:paraId="46416668" w14:textId="5A8D665F" w:rsidR="00F6652E" w:rsidRPr="00A608EE" w:rsidRDefault="003B13B2" w:rsidP="00EE208A">
      <w:pPr>
        <w:pStyle w:val="Heading4"/>
        <w:spacing w:before="0" w:line="240" w:lineRule="auto"/>
        <w:jc w:val="both"/>
      </w:pPr>
      <w:r w:rsidRPr="00A608EE">
        <w:rPr>
          <w:rStyle w:val="text-primary"/>
        </w:rPr>
        <w:t>4.B.1.1</w:t>
      </w:r>
      <w:r w:rsidRPr="00A608EE">
        <w:t xml:space="preserve"> </w:t>
      </w:r>
      <w:r w:rsidR="00A9280A" w:rsidRPr="00A608EE">
        <w:t>The provider gives a Key Facts Summary Document to borrowers. The document contains the following information</w:t>
      </w:r>
      <w:r w:rsidR="00F6652E" w:rsidRPr="00A608EE">
        <w:t>:</w:t>
      </w:r>
    </w:p>
    <w:p w14:paraId="7A28F483" w14:textId="77777777" w:rsidR="00A9280A" w:rsidRPr="00A608EE" w:rsidRDefault="00A9280A" w:rsidP="00A27AAA">
      <w:pPr>
        <w:pStyle w:val="ListParagraph"/>
        <w:numPr>
          <w:ilvl w:val="0"/>
          <w:numId w:val="46"/>
        </w:numPr>
        <w:spacing w:after="0" w:line="240" w:lineRule="auto"/>
        <w:rPr>
          <w:rFonts w:asciiTheme="majorHAnsi" w:hAnsiTheme="majorHAnsi"/>
          <w:i/>
          <w:iCs/>
          <w:szCs w:val="20"/>
        </w:rPr>
      </w:pPr>
      <w:r w:rsidRPr="00A608EE">
        <w:rPr>
          <w:rFonts w:asciiTheme="majorHAnsi" w:hAnsiTheme="majorHAnsi"/>
          <w:i/>
          <w:iCs/>
          <w:szCs w:val="20"/>
        </w:rPr>
        <w:t>Total loan amount.</w:t>
      </w:r>
    </w:p>
    <w:p w14:paraId="67958590" w14:textId="77777777" w:rsidR="00A9280A" w:rsidRPr="00A608EE" w:rsidRDefault="00A9280A" w:rsidP="00A27AAA">
      <w:pPr>
        <w:pStyle w:val="ListParagraph"/>
        <w:numPr>
          <w:ilvl w:val="0"/>
          <w:numId w:val="46"/>
        </w:numPr>
        <w:spacing w:after="0" w:line="240" w:lineRule="auto"/>
        <w:rPr>
          <w:rFonts w:asciiTheme="majorHAnsi" w:hAnsiTheme="majorHAnsi"/>
          <w:i/>
          <w:iCs/>
          <w:szCs w:val="20"/>
        </w:rPr>
      </w:pPr>
      <w:r w:rsidRPr="00A608EE">
        <w:rPr>
          <w:rFonts w:asciiTheme="majorHAnsi" w:hAnsiTheme="majorHAnsi"/>
          <w:i/>
          <w:iCs/>
          <w:szCs w:val="20"/>
        </w:rPr>
        <w:t>Pricing, including all fees.</w:t>
      </w:r>
    </w:p>
    <w:p w14:paraId="437AD1FA" w14:textId="77777777" w:rsidR="00A9280A" w:rsidRPr="00A608EE" w:rsidRDefault="00A9280A" w:rsidP="00A27AAA">
      <w:pPr>
        <w:pStyle w:val="ListParagraph"/>
        <w:numPr>
          <w:ilvl w:val="0"/>
          <w:numId w:val="46"/>
        </w:numPr>
        <w:spacing w:after="0" w:line="240" w:lineRule="auto"/>
        <w:rPr>
          <w:rFonts w:asciiTheme="majorHAnsi" w:hAnsiTheme="majorHAnsi"/>
          <w:i/>
          <w:iCs/>
          <w:szCs w:val="20"/>
        </w:rPr>
      </w:pPr>
      <w:r w:rsidRPr="00A608EE">
        <w:rPr>
          <w:rFonts w:asciiTheme="majorHAnsi" w:hAnsiTheme="majorHAnsi"/>
          <w:i/>
          <w:iCs/>
          <w:szCs w:val="20"/>
        </w:rPr>
        <w:t>Total cost of credit: all principal, interest, and fees plus cash collateral.</w:t>
      </w:r>
    </w:p>
    <w:p w14:paraId="51C1F490" w14:textId="77777777" w:rsidR="00A9280A" w:rsidRPr="00A608EE" w:rsidRDefault="00A9280A" w:rsidP="00A27AAA">
      <w:pPr>
        <w:pStyle w:val="ListParagraph"/>
        <w:numPr>
          <w:ilvl w:val="0"/>
          <w:numId w:val="46"/>
        </w:numPr>
        <w:spacing w:after="0" w:line="240" w:lineRule="auto"/>
        <w:rPr>
          <w:rFonts w:asciiTheme="majorHAnsi" w:hAnsiTheme="majorHAnsi"/>
          <w:i/>
          <w:iCs/>
          <w:szCs w:val="20"/>
        </w:rPr>
      </w:pPr>
      <w:r w:rsidRPr="00A608EE">
        <w:rPr>
          <w:rFonts w:asciiTheme="majorHAnsi" w:hAnsiTheme="majorHAnsi"/>
          <w:i/>
          <w:iCs/>
          <w:szCs w:val="20"/>
        </w:rPr>
        <w:t>Disbursement date and loan term.</w:t>
      </w:r>
    </w:p>
    <w:p w14:paraId="622D9C1B" w14:textId="11B54735" w:rsidR="00A9280A" w:rsidRPr="00A608EE" w:rsidRDefault="00A9280A" w:rsidP="00A27AAA">
      <w:pPr>
        <w:pStyle w:val="ListParagraph"/>
        <w:numPr>
          <w:ilvl w:val="0"/>
          <w:numId w:val="46"/>
        </w:numPr>
        <w:spacing w:after="0" w:line="240" w:lineRule="auto"/>
        <w:rPr>
          <w:rFonts w:asciiTheme="majorHAnsi" w:hAnsiTheme="majorHAnsi"/>
          <w:i/>
          <w:iCs/>
          <w:szCs w:val="20"/>
        </w:rPr>
      </w:pPr>
      <w:r w:rsidRPr="00A608EE">
        <w:rPr>
          <w:rFonts w:asciiTheme="majorHAnsi" w:hAnsiTheme="majorHAnsi"/>
          <w:i/>
          <w:iCs/>
          <w:szCs w:val="20"/>
        </w:rPr>
        <w:t>Repayment schedule with principal and interest amounts, number, and due dates of all repayment installments.</w:t>
      </w:r>
    </w:p>
    <w:p w14:paraId="44229B63" w14:textId="77777777" w:rsidR="00A9280A" w:rsidRPr="00A608EE" w:rsidRDefault="00A9280A" w:rsidP="00A27AAA">
      <w:pPr>
        <w:pStyle w:val="ListParagraph"/>
        <w:numPr>
          <w:ilvl w:val="0"/>
          <w:numId w:val="46"/>
        </w:numPr>
        <w:spacing w:after="0" w:line="240" w:lineRule="auto"/>
        <w:rPr>
          <w:rFonts w:asciiTheme="majorHAnsi" w:hAnsiTheme="majorHAnsi"/>
          <w:i/>
          <w:iCs/>
          <w:szCs w:val="20"/>
        </w:rPr>
      </w:pPr>
      <w:r w:rsidRPr="00A608EE">
        <w:rPr>
          <w:rFonts w:asciiTheme="majorHAnsi" w:hAnsiTheme="majorHAnsi"/>
          <w:i/>
          <w:iCs/>
          <w:szCs w:val="20"/>
        </w:rPr>
        <w:t>All deductions from principal disbursement (e.g.: first installment, commissions, fees, cash collateral, taxes), if applicable.</w:t>
      </w:r>
      <w:r w:rsidRPr="00A608EE">
        <w:rPr>
          <w:rFonts w:asciiTheme="majorHAnsi" w:hAnsiTheme="majorHAnsi"/>
          <w:i/>
          <w:iCs/>
          <w:szCs w:val="20"/>
        </w:rPr>
        <w:br/>
        <w:t>vii. How cash collateral / mandatory savings can be used in case of default, if applicable.</w:t>
      </w:r>
    </w:p>
    <w:p w14:paraId="2298A8C0" w14:textId="04B58E59" w:rsidR="00A9280A" w:rsidRPr="00A608EE" w:rsidRDefault="00A9280A" w:rsidP="00A27AAA">
      <w:pPr>
        <w:pStyle w:val="ListParagraph"/>
        <w:numPr>
          <w:ilvl w:val="0"/>
          <w:numId w:val="46"/>
        </w:numPr>
        <w:spacing w:after="0" w:line="240" w:lineRule="auto"/>
        <w:rPr>
          <w:rFonts w:asciiTheme="majorHAnsi" w:hAnsiTheme="majorHAnsi"/>
          <w:i/>
          <w:iCs/>
          <w:szCs w:val="20"/>
        </w:rPr>
      </w:pPr>
      <w:r w:rsidRPr="00A608EE">
        <w:rPr>
          <w:rFonts w:asciiTheme="majorHAnsi" w:hAnsiTheme="majorHAnsi"/>
          <w:i/>
          <w:iCs/>
          <w:szCs w:val="20"/>
        </w:rPr>
        <w:t>Moratorium interest rates, terms, and conditions, if applicable.</w:t>
      </w:r>
    </w:p>
    <w:p w14:paraId="394713D1" w14:textId="77777777" w:rsidR="00825503" w:rsidRPr="00A608EE" w:rsidRDefault="00825503" w:rsidP="00EE208A">
      <w:pPr>
        <w:jc w:val="both"/>
        <w:rPr>
          <w:rFonts w:asciiTheme="majorHAnsi" w:hAnsiTheme="majorHAnsi"/>
          <w:szCs w:val="20"/>
        </w:rPr>
      </w:pPr>
    </w:p>
    <w:p w14:paraId="439AE586" w14:textId="3CF09C32" w:rsidR="00626C74" w:rsidRPr="00A608EE" w:rsidRDefault="004F5FC3" w:rsidP="00EE208A">
      <w:pPr>
        <w:pStyle w:val="NormalWeb"/>
        <w:spacing w:before="0" w:beforeAutospacing="0" w:after="0" w:afterAutospacing="0"/>
        <w:jc w:val="both"/>
        <w:rPr>
          <w:rFonts w:asciiTheme="majorHAnsi" w:hAnsiTheme="majorHAnsi" w:cstheme="majorHAnsi"/>
          <w:b/>
          <w:bCs/>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626C74" w:rsidRPr="00A608EE">
        <w:rPr>
          <w:rFonts w:asciiTheme="majorHAnsi" w:hAnsiTheme="majorHAnsi" w:cstheme="majorHAnsi"/>
          <w:b/>
          <w:bCs/>
          <w:color w:val="2145CC" w:themeColor="accent5" w:themeShade="BF"/>
          <w:sz w:val="20"/>
          <w:szCs w:val="20"/>
        </w:rPr>
        <w:t xml:space="preserve">ESG Risk | ALINUS | SPI5 Entry | SPI5 Full | CP Commit | CP Full – Entry CP </w:t>
      </w:r>
      <w:r w:rsidR="004A48FF" w:rsidRPr="00A608EE">
        <w:rPr>
          <w:rFonts w:ascii="Work Sans" w:hAnsi="Work Sans"/>
          <w:b/>
          <w:bCs/>
          <w:color w:val="2145CC" w:themeColor="accent5" w:themeShade="BF"/>
          <w:sz w:val="20"/>
          <w:szCs w:val="20"/>
        </w:rPr>
        <w:t>| DI Focus</w:t>
      </w:r>
    </w:p>
    <w:p w14:paraId="58A5355A" w14:textId="5E79C7E3" w:rsidR="00626C74" w:rsidRPr="00A608EE" w:rsidRDefault="00DB45CE" w:rsidP="00021C12">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1B65C2FE" w14:textId="52C2306D" w:rsidR="005F4278" w:rsidRPr="00A608EE" w:rsidRDefault="00A9280A" w:rsidP="00021C12">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contract should always come with a one to two-page summary of the most important information, called the Key Facts Document, to summarize in an easy to find and easy to understand format the main information pertaining to the client’s loan. The Key Facts Document should be written in the local language and use simple forms of expression to convey the most important aspects of the loan in a way that clients with low levels of both literacy and financial literacy can understand and refer to in the future. Loan passbooks which are common in group lending usually serve as Key Facts Documents.</w:t>
      </w:r>
    </w:p>
    <w:p w14:paraId="60C47500" w14:textId="77777777" w:rsidR="00672763" w:rsidRPr="00A608EE" w:rsidRDefault="00672763" w:rsidP="00021C12">
      <w:pPr>
        <w:pStyle w:val="NormalWeb"/>
        <w:spacing w:before="0" w:beforeAutospacing="0" w:after="0" w:afterAutospacing="0"/>
        <w:jc w:val="both"/>
        <w:rPr>
          <w:rFonts w:asciiTheme="majorHAnsi" w:hAnsiTheme="majorHAnsi"/>
          <w:sz w:val="20"/>
          <w:szCs w:val="20"/>
        </w:rPr>
      </w:pPr>
    </w:p>
    <w:p w14:paraId="3DC0AAF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56896" behindDoc="1" locked="0" layoutInCell="1" allowOverlap="1" wp14:anchorId="236BA0B2" wp14:editId="244D27EA">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86547555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27107762" w14:textId="77777777" w:rsidR="00672763" w:rsidRPr="00A608EE" w:rsidRDefault="00672763" w:rsidP="00021C12">
      <w:pPr>
        <w:pStyle w:val="NormalWeb"/>
        <w:spacing w:before="0" w:beforeAutospacing="0" w:after="0" w:afterAutospacing="0"/>
        <w:jc w:val="both"/>
        <w:rPr>
          <w:rStyle w:val="normaltextrun"/>
          <w:rFonts w:asciiTheme="majorHAnsi" w:hAnsiTheme="majorHAnsi"/>
          <w:sz w:val="20"/>
          <w:szCs w:val="20"/>
        </w:rPr>
      </w:pPr>
    </w:p>
    <w:p w14:paraId="098F7AF9" w14:textId="1EFA82D5" w:rsidR="005F4278" w:rsidRPr="00A608EE" w:rsidRDefault="00FC6779"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5F4278" w:rsidRPr="00A608EE">
        <w:rPr>
          <w:rFonts w:asciiTheme="majorHAnsi" w:hAnsiTheme="majorHAnsi"/>
          <w:sz w:val="20"/>
          <w:szCs w:val="20"/>
        </w:rPr>
        <w:t>The provider gives a Key Facts Summary Document to borrowers in accessible and alternative formats for clients with different types of impairments (e.g., Easy-read, large print, braille, audio formats).</w:t>
      </w:r>
    </w:p>
    <w:p w14:paraId="1DE2B9EB" w14:textId="77777777" w:rsidR="005F4278" w:rsidRPr="00A608EE" w:rsidRDefault="005F4278" w:rsidP="00EE208A">
      <w:pPr>
        <w:pStyle w:val="NormalWeb"/>
        <w:spacing w:before="0" w:beforeAutospacing="0" w:after="0" w:afterAutospacing="0"/>
        <w:jc w:val="both"/>
        <w:rPr>
          <w:rFonts w:asciiTheme="majorHAnsi" w:hAnsiTheme="majorHAnsi"/>
          <w:sz w:val="20"/>
          <w:szCs w:val="20"/>
        </w:rPr>
      </w:pPr>
    </w:p>
    <w:p w14:paraId="45C5EF8F" w14:textId="71FBA0A9" w:rsidR="00A9280A" w:rsidRPr="00A608EE" w:rsidRDefault="001B350F" w:rsidP="00EE208A">
      <w:pPr>
        <w:pStyle w:val="NormalWeb"/>
        <w:spacing w:before="0" w:beforeAutospacing="0" w:after="0" w:afterAutospacing="0"/>
        <w:jc w:val="both"/>
        <w:rPr>
          <w:rFonts w:asciiTheme="majorHAnsi" w:hAnsiTheme="majorHAnsi"/>
          <w:sz w:val="20"/>
          <w:szCs w:val="20"/>
        </w:rPr>
      </w:pPr>
      <w:r w:rsidRPr="00A608EE">
        <w:rPr>
          <w:noProof/>
        </w:rPr>
        <mc:AlternateContent>
          <mc:Choice Requires="wps">
            <w:drawing>
              <wp:anchor distT="0" distB="0" distL="114300" distR="114300" simplePos="0" relativeHeight="251708416" behindDoc="0" locked="0" layoutInCell="1" allowOverlap="1" wp14:anchorId="5D4F601D" wp14:editId="63493DC9">
                <wp:simplePos x="0" y="0"/>
                <wp:positionH relativeFrom="column">
                  <wp:posOffset>0</wp:posOffset>
                </wp:positionH>
                <wp:positionV relativeFrom="paragraph">
                  <wp:posOffset>6350</wp:posOffset>
                </wp:positionV>
                <wp:extent cx="1828800" cy="1828800"/>
                <wp:effectExtent l="0" t="0" r="24130" b="26035"/>
                <wp:wrapSquare wrapText="bothSides"/>
                <wp:docPr id="153272497"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534DAE2" w14:textId="4CB760FC" w:rsidR="001B350F" w:rsidRPr="00820B09" w:rsidRDefault="00EB123D" w:rsidP="001B350F">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1B350F" w:rsidRPr="00820B09">
                              <w:rPr>
                                <w:rFonts w:asciiTheme="majorHAnsi" w:hAnsiTheme="majorHAnsi"/>
                                <w:b/>
                                <w:bCs/>
                                <w:sz w:val="20"/>
                                <w:szCs w:val="20"/>
                              </w:rPr>
                              <w:t>4.B.1.1</w:t>
                            </w:r>
                          </w:p>
                          <w:p w14:paraId="5E82C662" w14:textId="6D66CA6C" w:rsidR="00DC099E" w:rsidRPr="00820B09" w:rsidRDefault="00DC099E" w:rsidP="001B350F">
                            <w:pPr>
                              <w:pStyle w:val="NormalWeb"/>
                              <w:spacing w:after="0"/>
                              <w:jc w:val="both"/>
                              <w:rPr>
                                <w:rFonts w:asciiTheme="majorHAnsi" w:hAnsiTheme="majorHAnsi"/>
                                <w:sz w:val="20"/>
                                <w:szCs w:val="20"/>
                              </w:rPr>
                            </w:pPr>
                            <w:r w:rsidRPr="00820B09">
                              <w:rPr>
                                <w:rFonts w:asciiTheme="majorHAnsi" w:hAnsiTheme="majorHAnsi"/>
                                <w:sz w:val="20"/>
                                <w:szCs w:val="20"/>
                              </w:rPr>
                              <w:t xml:space="preserve">Providers should ensure they provide clear and transparent information on products and services to all clients, including those with disabilities. </w:t>
                            </w:r>
                            <w:r w:rsidR="00382D6B" w:rsidRPr="00820B09">
                              <w:rPr>
                                <w:rFonts w:asciiTheme="majorHAnsi" w:hAnsiTheme="majorHAnsi"/>
                                <w:sz w:val="20"/>
                                <w:szCs w:val="20"/>
                              </w:rPr>
                              <w:t xml:space="preserve">The information in the </w:t>
                            </w:r>
                            <w:r w:rsidRPr="00820B09">
                              <w:rPr>
                                <w:rFonts w:asciiTheme="majorHAnsi" w:hAnsiTheme="majorHAnsi"/>
                                <w:sz w:val="20"/>
                                <w:szCs w:val="20"/>
                              </w:rPr>
                              <w:t xml:space="preserve">Key </w:t>
                            </w:r>
                            <w:r w:rsidR="00382D6B" w:rsidRPr="00820B09">
                              <w:rPr>
                                <w:rFonts w:asciiTheme="majorHAnsi" w:hAnsiTheme="majorHAnsi"/>
                                <w:sz w:val="20"/>
                                <w:szCs w:val="20"/>
                              </w:rPr>
                              <w:t xml:space="preserve">Facts Summary Document </w:t>
                            </w:r>
                            <w:r w:rsidRPr="00820B09">
                              <w:rPr>
                                <w:rFonts w:asciiTheme="majorHAnsi" w:hAnsiTheme="majorHAnsi"/>
                                <w:sz w:val="20"/>
                                <w:szCs w:val="20"/>
                              </w:rPr>
                              <w:t xml:space="preserve">should be available in accessible formats </w:t>
                            </w:r>
                            <w:r w:rsidR="00B11A01" w:rsidRPr="00820B09">
                              <w:rPr>
                                <w:rFonts w:asciiTheme="majorHAnsi" w:hAnsiTheme="majorHAnsi"/>
                                <w:sz w:val="20"/>
                                <w:szCs w:val="20"/>
                              </w:rPr>
                              <w:t xml:space="preserve">and channels </w:t>
                            </w:r>
                            <w:r w:rsidRPr="00820B09">
                              <w:rPr>
                                <w:rFonts w:asciiTheme="majorHAnsi" w:hAnsiTheme="majorHAnsi"/>
                                <w:sz w:val="20"/>
                                <w:szCs w:val="20"/>
                              </w:rPr>
                              <w:t>for clients with disabilities, and communicated in ways they can understand</w:t>
                            </w:r>
                            <w:r w:rsidR="009651BC" w:rsidRPr="00820B09">
                              <w:rPr>
                                <w:rFonts w:asciiTheme="majorHAnsi" w:hAnsiTheme="majorHAnsi"/>
                                <w:sz w:val="20"/>
                                <w:szCs w:val="20"/>
                              </w:rPr>
                              <w:t xml:space="preserve">. </w:t>
                            </w:r>
                          </w:p>
                          <w:p w14:paraId="343C8326" w14:textId="075D5E00" w:rsidR="0047625C" w:rsidRPr="00820B09" w:rsidRDefault="00B01BBE" w:rsidP="0047625C">
                            <w:pPr>
                              <w:pStyle w:val="NormalWeb"/>
                              <w:spacing w:after="0"/>
                              <w:jc w:val="both"/>
                              <w:rPr>
                                <w:rFonts w:asciiTheme="majorHAnsi" w:hAnsiTheme="majorHAnsi"/>
                                <w:sz w:val="20"/>
                                <w:szCs w:val="20"/>
                              </w:rPr>
                            </w:pPr>
                            <w:r w:rsidRPr="00820B09">
                              <w:rPr>
                                <w:rFonts w:asciiTheme="majorHAnsi" w:hAnsiTheme="majorHAnsi"/>
                                <w:sz w:val="20"/>
                                <w:szCs w:val="20"/>
                              </w:rPr>
                              <w:t>F</w:t>
                            </w:r>
                            <w:r w:rsidR="0047625C" w:rsidRPr="00820B09">
                              <w:rPr>
                                <w:rFonts w:asciiTheme="majorHAnsi" w:hAnsiTheme="majorHAnsi"/>
                                <w:sz w:val="20"/>
                                <w:szCs w:val="20"/>
                              </w:rPr>
                              <w:t>or further information on accessible informatio</w:t>
                            </w:r>
                            <w:r w:rsidRPr="00820B09">
                              <w:rPr>
                                <w:rFonts w:asciiTheme="majorHAnsi" w:hAnsiTheme="majorHAnsi"/>
                                <w:sz w:val="20"/>
                                <w:szCs w:val="20"/>
                              </w:rPr>
                              <w:t>n</w:t>
                            </w:r>
                            <w:r w:rsidR="00382D6B" w:rsidRPr="00820B09">
                              <w:rPr>
                                <w:rFonts w:asciiTheme="majorHAnsi" w:hAnsiTheme="majorHAnsi"/>
                                <w:sz w:val="20"/>
                                <w:szCs w:val="20"/>
                              </w:rPr>
                              <w:t xml:space="preserve"> and communication </w:t>
                            </w:r>
                            <w:r w:rsidRPr="00820B09">
                              <w:rPr>
                                <w:rFonts w:asciiTheme="majorHAnsi" w:hAnsiTheme="majorHAnsi"/>
                                <w:sz w:val="20"/>
                                <w:szCs w:val="20"/>
                              </w:rPr>
                              <w:t>formats, see indicator 4.B.1.4</w:t>
                            </w:r>
                            <w:r w:rsidR="0047625C" w:rsidRPr="00820B09">
                              <w:rPr>
                                <w:rFonts w:asciiTheme="majorHAnsi" w:hAnsiTheme="majorHAnsi"/>
                                <w:sz w:val="20"/>
                                <w:szCs w:val="20"/>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4F601D" id="_x0000_s1054" type="#_x0000_t202" style="position:absolute;left:0;text-align:left;margin-left:0;margin-top:.5pt;width:2in;height:2in;z-index:2517084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" filled="f" strokeweight=".5pt">
                <v:textbox style="mso-fit-shape-to-text:t">
                  <w:txbxContent>
                    <w:p w14:paraId="3534DAE2" w14:textId="4CB760FC" w:rsidR="001B350F" w:rsidRPr="00820B09" w:rsidRDefault="00EB123D" w:rsidP="001B350F">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1B350F" w:rsidRPr="00820B09">
                        <w:rPr>
                          <w:rFonts w:asciiTheme="majorHAnsi" w:hAnsiTheme="majorHAnsi"/>
                          <w:b/>
                          <w:bCs/>
                          <w:sz w:val="20"/>
                          <w:szCs w:val="20"/>
                        </w:rPr>
                        <w:t>4.B.1.1</w:t>
                      </w:r>
                    </w:p>
                    <w:p w14:paraId="5E82C662" w14:textId="6D66CA6C" w:rsidR="00DC099E" w:rsidRPr="00820B09" w:rsidRDefault="00DC099E" w:rsidP="001B350F">
                      <w:pPr>
                        <w:pStyle w:val="NormalWeb"/>
                        <w:spacing w:after="0"/>
                        <w:jc w:val="both"/>
                        <w:rPr>
                          <w:rFonts w:asciiTheme="majorHAnsi" w:hAnsiTheme="majorHAnsi"/>
                          <w:sz w:val="20"/>
                          <w:szCs w:val="20"/>
                        </w:rPr>
                      </w:pPr>
                      <w:r w:rsidRPr="00820B09">
                        <w:rPr>
                          <w:rFonts w:asciiTheme="majorHAnsi" w:hAnsiTheme="majorHAnsi"/>
                          <w:sz w:val="20"/>
                          <w:szCs w:val="20"/>
                        </w:rPr>
                        <w:t xml:space="preserve">Providers should ensure they provide clear and transparent information on products and services to all clients, including those with disabilities. </w:t>
                      </w:r>
                      <w:r w:rsidR="00382D6B" w:rsidRPr="00820B09">
                        <w:rPr>
                          <w:rFonts w:asciiTheme="majorHAnsi" w:hAnsiTheme="majorHAnsi"/>
                          <w:sz w:val="20"/>
                          <w:szCs w:val="20"/>
                        </w:rPr>
                        <w:t xml:space="preserve">The information in the </w:t>
                      </w:r>
                      <w:r w:rsidRPr="00820B09">
                        <w:rPr>
                          <w:rFonts w:asciiTheme="majorHAnsi" w:hAnsiTheme="majorHAnsi"/>
                          <w:sz w:val="20"/>
                          <w:szCs w:val="20"/>
                        </w:rPr>
                        <w:t xml:space="preserve">Key </w:t>
                      </w:r>
                      <w:r w:rsidR="00382D6B" w:rsidRPr="00820B09">
                        <w:rPr>
                          <w:rFonts w:asciiTheme="majorHAnsi" w:hAnsiTheme="majorHAnsi"/>
                          <w:sz w:val="20"/>
                          <w:szCs w:val="20"/>
                        </w:rPr>
                        <w:t xml:space="preserve">Facts Summary Document </w:t>
                      </w:r>
                      <w:r w:rsidRPr="00820B09">
                        <w:rPr>
                          <w:rFonts w:asciiTheme="majorHAnsi" w:hAnsiTheme="majorHAnsi"/>
                          <w:sz w:val="20"/>
                          <w:szCs w:val="20"/>
                        </w:rPr>
                        <w:t xml:space="preserve">should be available in accessible formats </w:t>
                      </w:r>
                      <w:r w:rsidR="00B11A01" w:rsidRPr="00820B09">
                        <w:rPr>
                          <w:rFonts w:asciiTheme="majorHAnsi" w:hAnsiTheme="majorHAnsi"/>
                          <w:sz w:val="20"/>
                          <w:szCs w:val="20"/>
                        </w:rPr>
                        <w:t xml:space="preserve">and channels </w:t>
                      </w:r>
                      <w:r w:rsidRPr="00820B09">
                        <w:rPr>
                          <w:rFonts w:asciiTheme="majorHAnsi" w:hAnsiTheme="majorHAnsi"/>
                          <w:sz w:val="20"/>
                          <w:szCs w:val="20"/>
                        </w:rPr>
                        <w:t>for clients with disabilities, and communicated in ways they can understand</w:t>
                      </w:r>
                      <w:r w:rsidR="009651BC" w:rsidRPr="00820B09">
                        <w:rPr>
                          <w:rFonts w:asciiTheme="majorHAnsi" w:hAnsiTheme="majorHAnsi"/>
                          <w:sz w:val="20"/>
                          <w:szCs w:val="20"/>
                        </w:rPr>
                        <w:t xml:space="preserve">. </w:t>
                      </w:r>
                    </w:p>
                    <w:p w14:paraId="343C8326" w14:textId="075D5E00" w:rsidR="0047625C" w:rsidRPr="00820B09" w:rsidRDefault="00B01BBE" w:rsidP="0047625C">
                      <w:pPr>
                        <w:pStyle w:val="NormalWeb"/>
                        <w:spacing w:after="0"/>
                        <w:jc w:val="both"/>
                        <w:rPr>
                          <w:rFonts w:asciiTheme="majorHAnsi" w:hAnsiTheme="majorHAnsi"/>
                          <w:sz w:val="20"/>
                          <w:szCs w:val="20"/>
                        </w:rPr>
                      </w:pPr>
                      <w:r w:rsidRPr="00820B09">
                        <w:rPr>
                          <w:rFonts w:asciiTheme="majorHAnsi" w:hAnsiTheme="majorHAnsi"/>
                          <w:sz w:val="20"/>
                          <w:szCs w:val="20"/>
                        </w:rPr>
                        <w:t>F</w:t>
                      </w:r>
                      <w:r w:rsidR="0047625C" w:rsidRPr="00820B09">
                        <w:rPr>
                          <w:rFonts w:asciiTheme="majorHAnsi" w:hAnsiTheme="majorHAnsi"/>
                          <w:sz w:val="20"/>
                          <w:szCs w:val="20"/>
                        </w:rPr>
                        <w:t>or further information on accessible informatio</w:t>
                      </w:r>
                      <w:r w:rsidRPr="00820B09">
                        <w:rPr>
                          <w:rFonts w:asciiTheme="majorHAnsi" w:hAnsiTheme="majorHAnsi"/>
                          <w:sz w:val="20"/>
                          <w:szCs w:val="20"/>
                        </w:rPr>
                        <w:t>n</w:t>
                      </w:r>
                      <w:r w:rsidR="00382D6B" w:rsidRPr="00820B09">
                        <w:rPr>
                          <w:rFonts w:asciiTheme="majorHAnsi" w:hAnsiTheme="majorHAnsi"/>
                          <w:sz w:val="20"/>
                          <w:szCs w:val="20"/>
                        </w:rPr>
                        <w:t xml:space="preserve"> and communication </w:t>
                      </w:r>
                      <w:r w:rsidRPr="00820B09">
                        <w:rPr>
                          <w:rFonts w:asciiTheme="majorHAnsi" w:hAnsiTheme="majorHAnsi"/>
                          <w:sz w:val="20"/>
                          <w:szCs w:val="20"/>
                        </w:rPr>
                        <w:t>formats, see indicator 4.B.1.4</w:t>
                      </w:r>
                      <w:r w:rsidR="0047625C" w:rsidRPr="00820B09">
                        <w:rPr>
                          <w:rFonts w:asciiTheme="majorHAnsi" w:hAnsiTheme="majorHAnsi"/>
                          <w:sz w:val="20"/>
                          <w:szCs w:val="20"/>
                        </w:rPr>
                        <w:t xml:space="preserve">. </w:t>
                      </w:r>
                    </w:p>
                  </w:txbxContent>
                </v:textbox>
                <w10:wrap type="square"/>
              </v:shape>
            </w:pict>
          </mc:Fallback>
        </mc:AlternateContent>
      </w:r>
    </w:p>
    <w:p w14:paraId="61F26DC6" w14:textId="74E66537" w:rsidR="00A9280A" w:rsidRPr="00A608EE" w:rsidRDefault="00A9280A"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2C6A3D57" w14:textId="77777777" w:rsidR="00A9280A" w:rsidRPr="00A608EE" w:rsidRDefault="00A9280A" w:rsidP="00A27AAA">
      <w:pPr>
        <w:pStyle w:val="NormalWeb"/>
        <w:numPr>
          <w:ilvl w:val="0"/>
          <w:numId w:val="23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all borrowers receive a fully complete Key Facts Document per type of loan that contains the eight above listed information.</w:t>
      </w:r>
    </w:p>
    <w:p w14:paraId="02C0087A" w14:textId="77777777" w:rsidR="00A9280A" w:rsidRPr="00A608EE" w:rsidRDefault="00A9280A" w:rsidP="00A27AAA">
      <w:pPr>
        <w:pStyle w:val="NormalWeb"/>
        <w:numPr>
          <w:ilvl w:val="0"/>
          <w:numId w:val="23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Key Facts Document is missing one or two of the eight above listed information for any type of loan.</w:t>
      </w:r>
    </w:p>
    <w:p w14:paraId="1C11E9F1" w14:textId="77777777" w:rsidR="00A9280A" w:rsidRPr="00A608EE" w:rsidRDefault="00A9280A" w:rsidP="00A27AAA">
      <w:pPr>
        <w:pStyle w:val="NormalWeb"/>
        <w:numPr>
          <w:ilvl w:val="0"/>
          <w:numId w:val="23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not all borrowers receive a Key Facts Document and/or the Key Facts Document is missing three or more of the eight above listed information for any type of loan.</w:t>
      </w:r>
    </w:p>
    <w:p w14:paraId="46441D3B" w14:textId="77777777" w:rsidR="00A9280A" w:rsidRPr="00A608EE" w:rsidRDefault="00A9280A" w:rsidP="00EE208A">
      <w:pPr>
        <w:pStyle w:val="NormalWeb"/>
        <w:spacing w:before="0" w:beforeAutospacing="0" w:after="0" w:afterAutospacing="0"/>
        <w:jc w:val="both"/>
        <w:rPr>
          <w:rFonts w:asciiTheme="majorHAnsi" w:hAnsiTheme="majorHAnsi"/>
          <w:sz w:val="20"/>
          <w:szCs w:val="20"/>
        </w:rPr>
      </w:pPr>
    </w:p>
    <w:p w14:paraId="7648902D" w14:textId="55840F19" w:rsidR="00A9280A" w:rsidRPr="00A608EE" w:rsidRDefault="00A9280A"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58D00615" w14:textId="77777777" w:rsidR="00A9280A" w:rsidRPr="00A608EE" w:rsidRDefault="00A9280A" w:rsidP="00A27AAA">
      <w:pPr>
        <w:pStyle w:val="NormalWeb"/>
        <w:numPr>
          <w:ilvl w:val="0"/>
          <w:numId w:val="23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Loan contract(s), Key Fact Document(s), client welcome kit(s), in template form and a random sample of Key Fact Documents filled out for specific clients.  </w:t>
      </w:r>
    </w:p>
    <w:p w14:paraId="3F8637A9" w14:textId="77777777" w:rsidR="00A9280A" w:rsidRPr="00A608EE" w:rsidRDefault="00A9280A" w:rsidP="00A27AAA">
      <w:pPr>
        <w:pStyle w:val="NormalWeb"/>
        <w:numPr>
          <w:ilvl w:val="0"/>
          <w:numId w:val="23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Branch/field Observations: Observe/listen to loan application and loan disbursement meetings in at least two branches and review any welcome kit materials that may be provided to clients in the moment of loan application and loan disbursement to see how this information is conveyed orally to clients who may not be literate or who will benefit from an oral reinforcement of the information contained in the Key Facts Document.  </w:t>
      </w:r>
    </w:p>
    <w:p w14:paraId="1B1214AE" w14:textId="77777777" w:rsidR="00A9280A" w:rsidRPr="00A608EE" w:rsidRDefault="00A9280A" w:rsidP="00A27AAA">
      <w:pPr>
        <w:pStyle w:val="NormalWeb"/>
        <w:numPr>
          <w:ilvl w:val="0"/>
          <w:numId w:val="23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loan officers and clients.</w:t>
      </w:r>
    </w:p>
    <w:p w14:paraId="40ACB1EA" w14:textId="77777777" w:rsidR="00A9280A" w:rsidRPr="00A608EE" w:rsidRDefault="00A9280A" w:rsidP="00EE208A">
      <w:pPr>
        <w:pStyle w:val="NormalWeb"/>
        <w:spacing w:before="0" w:beforeAutospacing="0" w:after="0" w:afterAutospacing="0"/>
        <w:jc w:val="both"/>
        <w:rPr>
          <w:rFonts w:asciiTheme="majorHAnsi" w:hAnsiTheme="majorHAnsi"/>
          <w:sz w:val="20"/>
          <w:szCs w:val="20"/>
        </w:rPr>
      </w:pPr>
    </w:p>
    <w:p w14:paraId="1FB0193A" w14:textId="3E223088" w:rsidR="00A9280A" w:rsidRPr="00A608EE" w:rsidRDefault="00A9280A"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41C47A85" w14:textId="77777777" w:rsidR="00A9280A" w:rsidRPr="00A608EE" w:rsidRDefault="00A9280A" w:rsidP="00A27AAA">
      <w:pPr>
        <w:pStyle w:val="NormalWeb"/>
        <w:numPr>
          <w:ilvl w:val="0"/>
          <w:numId w:val="23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Reference to the Key Facts document of each loan type/product</w:t>
      </w:r>
    </w:p>
    <w:p w14:paraId="299D1FDA" w14:textId="77777777" w:rsidR="00A9280A" w:rsidRPr="00A608EE" w:rsidRDefault="00A9280A" w:rsidP="00A27AAA">
      <w:pPr>
        <w:pStyle w:val="NormalWeb"/>
        <w:numPr>
          <w:ilvl w:val="0"/>
          <w:numId w:val="23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Determination by the auditor about whether the Key Facts Document contains all the needed information (listed in the indicator) and/or what information is missing.</w:t>
      </w:r>
    </w:p>
    <w:p w14:paraId="6D50549B" w14:textId="77777777" w:rsidR="00A9280A" w:rsidRPr="00A608EE" w:rsidRDefault="00A9280A" w:rsidP="00EE208A">
      <w:pPr>
        <w:pStyle w:val="NormalWeb"/>
        <w:spacing w:before="0" w:beforeAutospacing="0" w:after="0" w:afterAutospacing="0"/>
        <w:jc w:val="both"/>
        <w:rPr>
          <w:rFonts w:asciiTheme="majorHAnsi" w:hAnsiTheme="majorHAnsi"/>
          <w:sz w:val="20"/>
          <w:szCs w:val="20"/>
        </w:rPr>
      </w:pPr>
    </w:p>
    <w:p w14:paraId="0BDBB861" w14:textId="3C32360D" w:rsidR="00A9280A" w:rsidRPr="00A608EE" w:rsidRDefault="00A9280A"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4.B.1.1</w:t>
      </w:r>
    </w:p>
    <w:p w14:paraId="7FA861C8" w14:textId="77777777" w:rsidR="00BE6524" w:rsidRPr="00A608EE" w:rsidRDefault="00BE6524" w:rsidP="00A27AAA">
      <w:pPr>
        <w:numPr>
          <w:ilvl w:val="0"/>
          <w:numId w:val="68"/>
        </w:numPr>
        <w:jc w:val="both"/>
        <w:rPr>
          <w:rFonts w:asciiTheme="majorHAnsi" w:hAnsiTheme="majorHAnsi"/>
          <w:sz w:val="20"/>
          <w:szCs w:val="20"/>
        </w:rPr>
      </w:pPr>
      <w:hyperlink r:id="rId204" w:tgtFrame="_blank" w:history="1">
        <w:r w:rsidRPr="00A608EE">
          <w:rPr>
            <w:rStyle w:val="Hyperlink"/>
            <w:rFonts w:asciiTheme="majorHAnsi" w:hAnsiTheme="majorHAnsi"/>
            <w:sz w:val="20"/>
            <w:szCs w:val="20"/>
          </w:rPr>
          <w:t>Key Facts Document Worksheet and Example</w:t>
        </w:r>
      </w:hyperlink>
    </w:p>
    <w:p w14:paraId="79BC3ABA" w14:textId="77777777" w:rsidR="00BE6524" w:rsidRPr="00A608EE" w:rsidRDefault="00BE6524" w:rsidP="00A27AAA">
      <w:pPr>
        <w:numPr>
          <w:ilvl w:val="0"/>
          <w:numId w:val="68"/>
        </w:numPr>
        <w:jc w:val="both"/>
        <w:rPr>
          <w:rFonts w:asciiTheme="majorHAnsi" w:hAnsiTheme="majorHAnsi"/>
          <w:sz w:val="20"/>
          <w:szCs w:val="20"/>
        </w:rPr>
      </w:pPr>
      <w:hyperlink r:id="rId205" w:tgtFrame="_blank" w:history="1">
        <w:r w:rsidRPr="00A608EE">
          <w:rPr>
            <w:rStyle w:val="Hyperlink"/>
            <w:rFonts w:asciiTheme="majorHAnsi" w:hAnsiTheme="majorHAnsi"/>
            <w:sz w:val="20"/>
            <w:szCs w:val="20"/>
          </w:rPr>
          <w:t>Key Facts Documents for Loan Clients</w:t>
        </w:r>
      </w:hyperlink>
    </w:p>
    <w:p w14:paraId="4525E230" w14:textId="77777777" w:rsidR="00BE6524" w:rsidRPr="00A608EE" w:rsidRDefault="00BE6524" w:rsidP="00A27AAA">
      <w:pPr>
        <w:numPr>
          <w:ilvl w:val="0"/>
          <w:numId w:val="68"/>
        </w:numPr>
        <w:jc w:val="both"/>
        <w:rPr>
          <w:rFonts w:asciiTheme="majorHAnsi" w:hAnsiTheme="majorHAnsi"/>
          <w:sz w:val="20"/>
          <w:szCs w:val="20"/>
        </w:rPr>
      </w:pPr>
      <w:hyperlink r:id="rId206" w:tgtFrame="_blank" w:history="1">
        <w:r w:rsidRPr="00A608EE">
          <w:rPr>
            <w:rStyle w:val="Hyperlink"/>
            <w:rFonts w:asciiTheme="majorHAnsi" w:hAnsiTheme="majorHAnsi"/>
            <w:sz w:val="20"/>
            <w:szCs w:val="20"/>
          </w:rPr>
          <w:t>Better Designed Disclosure Simplified Key Fact Sheets from Peru and Mexico</w:t>
        </w:r>
      </w:hyperlink>
    </w:p>
    <w:p w14:paraId="59632593" w14:textId="77777777" w:rsidR="00BE6524" w:rsidRPr="00A608EE" w:rsidRDefault="00BE6524" w:rsidP="00A27AAA">
      <w:pPr>
        <w:numPr>
          <w:ilvl w:val="0"/>
          <w:numId w:val="68"/>
        </w:numPr>
        <w:jc w:val="both"/>
        <w:rPr>
          <w:rFonts w:asciiTheme="majorHAnsi" w:hAnsiTheme="majorHAnsi"/>
          <w:sz w:val="20"/>
          <w:szCs w:val="20"/>
          <w:lang w:val="es-ES"/>
        </w:rPr>
      </w:pPr>
      <w:hyperlink r:id="rId207" w:tgtFrame="_blank" w:history="1">
        <w:r w:rsidRPr="00A608EE">
          <w:rPr>
            <w:rStyle w:val="Hyperlink"/>
            <w:rFonts w:asciiTheme="majorHAnsi" w:hAnsiTheme="majorHAnsi"/>
            <w:sz w:val="20"/>
            <w:szCs w:val="20"/>
            <w:lang w:val="es-ES"/>
          </w:rPr>
          <w:t>Divulgación mejor diseñada hojas de datos clave simplificadas de Perú y México</w:t>
        </w:r>
      </w:hyperlink>
    </w:p>
    <w:p w14:paraId="2B7E2075" w14:textId="77777777" w:rsidR="002A4025" w:rsidRPr="00A608EE" w:rsidRDefault="002A4025" w:rsidP="00EE208A">
      <w:pPr>
        <w:pStyle w:val="NormalWeb"/>
        <w:spacing w:before="0" w:beforeAutospacing="0" w:after="0" w:afterAutospacing="0"/>
        <w:jc w:val="both"/>
        <w:rPr>
          <w:rFonts w:asciiTheme="majorHAnsi" w:hAnsiTheme="majorHAnsi"/>
          <w:sz w:val="20"/>
          <w:szCs w:val="20"/>
          <w:lang w:val="es-ES"/>
        </w:rPr>
      </w:pPr>
    </w:p>
    <w:p w14:paraId="2A610E72" w14:textId="77777777" w:rsidR="005B34B5" w:rsidRPr="00A608EE" w:rsidRDefault="005B34B5" w:rsidP="00EE208A">
      <w:pPr>
        <w:pStyle w:val="NormalWeb"/>
        <w:spacing w:before="0" w:beforeAutospacing="0" w:after="0" w:afterAutospacing="0"/>
        <w:jc w:val="both"/>
        <w:rPr>
          <w:rFonts w:asciiTheme="majorHAnsi" w:hAnsiTheme="majorHAnsi"/>
          <w:sz w:val="20"/>
          <w:szCs w:val="20"/>
          <w:lang w:val="es-ES"/>
        </w:rPr>
      </w:pPr>
    </w:p>
    <w:p w14:paraId="7D4E1901" w14:textId="503B9EDA" w:rsidR="003B13B2" w:rsidRPr="00A608EE" w:rsidRDefault="003B13B2" w:rsidP="00EE208A">
      <w:pPr>
        <w:pStyle w:val="Heading4"/>
        <w:spacing w:before="0" w:line="240" w:lineRule="auto"/>
        <w:jc w:val="both"/>
      </w:pPr>
      <w:r w:rsidRPr="00A608EE">
        <w:rPr>
          <w:rStyle w:val="text-primary"/>
        </w:rPr>
        <w:t>4.B.1.4</w:t>
      </w:r>
      <w:r w:rsidRPr="00A608EE">
        <w:t xml:space="preserve"> </w:t>
      </w:r>
      <w:r w:rsidR="00D65413" w:rsidRPr="00A608EE">
        <w:t>The provider communicates product information in a way that supports informed decision making by clients</w:t>
      </w:r>
      <w:r w:rsidR="00A1318F" w:rsidRPr="00A608EE">
        <w:t>.</w:t>
      </w:r>
    </w:p>
    <w:p w14:paraId="6022A456" w14:textId="546B8B42" w:rsidR="003D2F25" w:rsidRPr="00A608EE" w:rsidRDefault="00E65C40"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 xml:space="preserve">4.B.1.4.1 </w:t>
      </w:r>
      <w:r w:rsidR="00D65413" w:rsidRPr="00A608EE">
        <w:rPr>
          <w:rFonts w:asciiTheme="majorHAnsi" w:hAnsiTheme="majorHAnsi"/>
          <w:i/>
          <w:sz w:val="20"/>
          <w:szCs w:val="20"/>
        </w:rPr>
        <w:t>The provider publishes basic product information, including pricing, at branch or agent locations, or digitally as applicable</w:t>
      </w:r>
      <w:r w:rsidR="003D2F25" w:rsidRPr="00A608EE">
        <w:rPr>
          <w:rFonts w:asciiTheme="majorHAnsi" w:hAnsiTheme="majorHAnsi"/>
          <w:i/>
          <w:sz w:val="20"/>
          <w:szCs w:val="20"/>
        </w:rPr>
        <w:t>.</w:t>
      </w:r>
    </w:p>
    <w:p w14:paraId="5228C927" w14:textId="521EAB6F" w:rsidR="00E65C40" w:rsidRPr="00A608EE" w:rsidRDefault="00E65C40"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szCs w:val="20"/>
        </w:rPr>
        <w:t xml:space="preserve">4.B.1.4.2 </w:t>
      </w:r>
      <w:r w:rsidR="00D65413" w:rsidRPr="00A608EE">
        <w:rPr>
          <w:rFonts w:asciiTheme="majorHAnsi" w:hAnsiTheme="majorHAnsi"/>
          <w:i/>
          <w:sz w:val="20"/>
          <w:szCs w:val="20"/>
        </w:rPr>
        <w:t>The provider communicates APR/EIR (or MPR if the majority of loans are under 3 months) in the Key Facts Summary and/or the loan contract</w:t>
      </w:r>
      <w:r w:rsidR="003D2F25" w:rsidRPr="00A608EE">
        <w:rPr>
          <w:rFonts w:asciiTheme="majorHAnsi" w:hAnsiTheme="majorHAnsi"/>
          <w:i/>
          <w:sz w:val="20"/>
          <w:szCs w:val="20"/>
        </w:rPr>
        <w:t>.</w:t>
      </w:r>
    </w:p>
    <w:p w14:paraId="01B9BF54" w14:textId="6CB16CFA" w:rsidR="00E65C40" w:rsidRPr="00A608EE" w:rsidRDefault="00E65C40"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szCs w:val="20"/>
        </w:rPr>
        <w:t xml:space="preserve">4.B.1.4.3 </w:t>
      </w:r>
      <w:r w:rsidR="00D65413" w:rsidRPr="00A608EE">
        <w:rPr>
          <w:rFonts w:asciiTheme="majorHAnsi" w:hAnsiTheme="majorHAnsi"/>
          <w:i/>
          <w:sz w:val="20"/>
          <w:szCs w:val="20"/>
        </w:rPr>
        <w:t>The provider's communications are in simple local language; oral information is used for less literate clients</w:t>
      </w:r>
      <w:r w:rsidR="00CA79F5" w:rsidRPr="00A608EE">
        <w:rPr>
          <w:rFonts w:asciiTheme="majorHAnsi" w:hAnsiTheme="majorHAnsi"/>
          <w:i/>
          <w:sz w:val="20"/>
          <w:szCs w:val="20"/>
        </w:rPr>
        <w:t>.</w:t>
      </w:r>
    </w:p>
    <w:p w14:paraId="52843C26" w14:textId="33C4DA44" w:rsidR="00E65C40" w:rsidRPr="00A608EE" w:rsidRDefault="00E65C40"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szCs w:val="20"/>
        </w:rPr>
        <w:t xml:space="preserve">4.B.1.4.4 </w:t>
      </w:r>
      <w:r w:rsidR="00D65413" w:rsidRPr="00A608EE">
        <w:rPr>
          <w:rFonts w:asciiTheme="majorHAnsi" w:hAnsiTheme="majorHAnsi"/>
          <w:i/>
          <w:sz w:val="20"/>
          <w:szCs w:val="20"/>
        </w:rPr>
        <w:t>The provider's marketing materials do not deceive or mislead clients</w:t>
      </w:r>
      <w:r w:rsidR="00592F56" w:rsidRPr="00A608EE">
        <w:rPr>
          <w:rFonts w:asciiTheme="majorHAnsi" w:hAnsiTheme="majorHAnsi"/>
          <w:i/>
          <w:sz w:val="20"/>
          <w:szCs w:val="20"/>
        </w:rPr>
        <w:t>.</w:t>
      </w:r>
    </w:p>
    <w:p w14:paraId="60D3D8E7" w14:textId="77777777" w:rsidR="00E65C40" w:rsidRPr="00A608EE" w:rsidRDefault="00E65C40" w:rsidP="00EE208A">
      <w:pPr>
        <w:pStyle w:val="NormalWeb"/>
        <w:spacing w:before="0" w:beforeAutospacing="0" w:after="0" w:afterAutospacing="0"/>
        <w:jc w:val="both"/>
        <w:rPr>
          <w:rFonts w:asciiTheme="majorHAnsi" w:hAnsiTheme="majorHAnsi"/>
          <w:sz w:val="20"/>
          <w:szCs w:val="20"/>
        </w:rPr>
      </w:pPr>
    </w:p>
    <w:p w14:paraId="53EBEFEC" w14:textId="17BBA005" w:rsidR="00F77EA9"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F77EA9" w:rsidRPr="00A608EE">
        <w:rPr>
          <w:rFonts w:asciiTheme="majorHAnsi" w:hAnsiTheme="majorHAnsi" w:cstheme="majorHAnsi"/>
          <w:b/>
          <w:bCs/>
          <w:color w:val="2145CC" w:themeColor="accent5" w:themeShade="BF"/>
          <w:sz w:val="20"/>
          <w:szCs w:val="20"/>
        </w:rPr>
        <w:t xml:space="preserve">SPI5 Entry | SPI5 Full | CP Full </w:t>
      </w:r>
      <w:r w:rsidR="004A48FF" w:rsidRPr="00A608EE">
        <w:rPr>
          <w:rFonts w:ascii="Work Sans" w:hAnsi="Work Sans"/>
          <w:b/>
          <w:bCs/>
          <w:color w:val="2145CC" w:themeColor="accent5" w:themeShade="BF"/>
          <w:sz w:val="20"/>
          <w:szCs w:val="20"/>
        </w:rPr>
        <w:t>| DI Focus</w:t>
      </w:r>
    </w:p>
    <w:p w14:paraId="1D601571" w14:textId="4E9F445F" w:rsidR="00F77EA9" w:rsidRPr="00A608EE" w:rsidRDefault="00F77EA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D65413"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4.B.1.4.1: Progress CP</w:t>
      </w:r>
    </w:p>
    <w:p w14:paraId="0A234853" w14:textId="4F0ED045" w:rsidR="00F77EA9" w:rsidRPr="00A608EE" w:rsidRDefault="00F77EA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D65413"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4.B.1.4.2: Advanced CP</w:t>
      </w:r>
    </w:p>
    <w:p w14:paraId="069A5B71" w14:textId="0658C627" w:rsidR="00F77EA9" w:rsidRPr="00A608EE" w:rsidRDefault="00F77EA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D65413"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4.B.1.4.3: Entry CP</w:t>
      </w:r>
    </w:p>
    <w:p w14:paraId="6AB2B5DF" w14:textId="16B68CE7" w:rsidR="00F77EA9" w:rsidRPr="00A608EE" w:rsidRDefault="00F77EA9"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D65413"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4.B.1.4.4: Progress CP </w:t>
      </w:r>
    </w:p>
    <w:p w14:paraId="1EA25036" w14:textId="00F64568" w:rsidR="00F77EA9" w:rsidRPr="00A608EE" w:rsidRDefault="001B350F" w:rsidP="00021C12">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47BF02D0" w14:textId="70F5E771" w:rsidR="001B350F"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must give sufficient clear information at the right time to facilitate informed decision-making. Field staff should be trained (refer to 5.C.2.2.3) to discuss terms and conditions with clients on several occasions during the product sales and application process. Staff should know how to evaluate client understanding, for example, using a set of conversational questions that can indicate to the staff whether clients understand the information that has been shared with them and are able to apply it as they use their financial products.</w:t>
      </w:r>
    </w:p>
    <w:p w14:paraId="4EC4A6C9" w14:textId="77777777" w:rsidR="00672763" w:rsidRPr="00A608EE" w:rsidRDefault="00672763" w:rsidP="009651BC">
      <w:pPr>
        <w:pStyle w:val="paragraph"/>
        <w:spacing w:before="0" w:beforeAutospacing="0" w:after="0" w:afterAutospacing="0"/>
        <w:jc w:val="both"/>
        <w:textAlignment w:val="baseline"/>
        <w:rPr>
          <w:rFonts w:ascii="Work Sans" w:hAnsi="Work Sans"/>
          <w:b/>
          <w:bCs/>
          <w:sz w:val="20"/>
          <w:szCs w:val="20"/>
        </w:rPr>
      </w:pPr>
    </w:p>
    <w:p w14:paraId="16FE286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58944" behindDoc="1" locked="0" layoutInCell="1" allowOverlap="1" wp14:anchorId="2F60F021" wp14:editId="43335B94">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12556890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3BADD62C" w14:textId="77777777" w:rsidR="00672763" w:rsidRPr="00A608EE" w:rsidRDefault="00672763" w:rsidP="009651BC">
      <w:pPr>
        <w:pStyle w:val="paragraph"/>
        <w:spacing w:before="0" w:beforeAutospacing="0" w:after="0" w:afterAutospacing="0"/>
        <w:jc w:val="both"/>
        <w:textAlignment w:val="baseline"/>
        <w:rPr>
          <w:rFonts w:ascii="Work Sans" w:hAnsi="Work Sans"/>
          <w:b/>
          <w:bCs/>
          <w:sz w:val="20"/>
          <w:szCs w:val="20"/>
        </w:rPr>
      </w:pPr>
    </w:p>
    <w:p w14:paraId="36EC0996" w14:textId="693F47AE" w:rsidR="00FC6779" w:rsidRPr="00A608EE" w:rsidRDefault="00FC6779" w:rsidP="009651BC">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p>
    <w:p w14:paraId="497E3BB2" w14:textId="6E0AFF2B" w:rsidR="001B350F" w:rsidRPr="00A608EE" w:rsidRDefault="001B350F" w:rsidP="00A27AAA">
      <w:pPr>
        <w:pStyle w:val="paragraph"/>
        <w:numPr>
          <w:ilvl w:val="0"/>
          <w:numId w:val="39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provider communicates product information in ways that are accessible for clients with different types of impairments (e.g., Easy-read, large print, braille, audio formats, oral information, sign language, accessible digital channels).</w:t>
      </w:r>
    </w:p>
    <w:p w14:paraId="08EA370A" w14:textId="6DEAEF33" w:rsidR="00920A76" w:rsidRPr="00A608EE" w:rsidRDefault="00097924" w:rsidP="00A27AAA">
      <w:pPr>
        <w:pStyle w:val="paragraph"/>
        <w:numPr>
          <w:ilvl w:val="0"/>
          <w:numId w:val="396"/>
        </w:numPr>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Loan contracts, savings documentation, transaction information, and insurance-related information (including policy information at enrollment and during the claims process) are provided in accessible and alternative formats for clients with different types of impairments (e.g. easy-read, large print, braille, audio formats, accessible digital formats).</w:t>
      </w:r>
    </w:p>
    <w:p w14:paraId="4C49DBED" w14:textId="68E76EF6" w:rsidR="0017566C" w:rsidRPr="00A608EE" w:rsidRDefault="001B350F" w:rsidP="00A27AAA">
      <w:pPr>
        <w:pStyle w:val="NormalWeb"/>
        <w:numPr>
          <w:ilvl w:val="0"/>
          <w:numId w:val="39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Client-facing staff are trained in accessibility, inclusion and communication with clients with different types of impairments, to support informed decision making by clients with disabilities.</w:t>
      </w:r>
    </w:p>
    <w:p w14:paraId="7A9B42B4" w14:textId="161FCC67" w:rsidR="001B350F" w:rsidRPr="00A608EE" w:rsidRDefault="001B350F" w:rsidP="001B350F">
      <w:pPr>
        <w:pStyle w:val="NormalWeb"/>
        <w:spacing w:before="0" w:beforeAutospacing="0" w:after="0" w:afterAutospacing="0"/>
        <w:jc w:val="both"/>
        <w:rPr>
          <w:rFonts w:asciiTheme="majorHAnsi" w:hAnsiTheme="majorHAnsi"/>
          <w:sz w:val="20"/>
          <w:szCs w:val="20"/>
        </w:rPr>
      </w:pPr>
      <w:r w:rsidRPr="00A608EE">
        <w:rPr>
          <w:noProof/>
        </w:rPr>
        <w:lastRenderedPageBreak/>
        <mc:AlternateContent>
          <mc:Choice Requires="wps">
            <w:drawing>
              <wp:anchor distT="0" distB="0" distL="114300" distR="114300" simplePos="0" relativeHeight="251712512" behindDoc="0" locked="0" layoutInCell="1" allowOverlap="1" wp14:anchorId="5CF14AE1" wp14:editId="5BFC328E">
                <wp:simplePos x="0" y="0"/>
                <wp:positionH relativeFrom="column">
                  <wp:posOffset>-17145</wp:posOffset>
                </wp:positionH>
                <wp:positionV relativeFrom="paragraph">
                  <wp:posOffset>154305</wp:posOffset>
                </wp:positionV>
                <wp:extent cx="1828800" cy="1828800"/>
                <wp:effectExtent l="0" t="0" r="24130" b="18415"/>
                <wp:wrapSquare wrapText="bothSides"/>
                <wp:docPr id="426842866"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4006E78" w14:textId="29705597" w:rsidR="001B350F" w:rsidRPr="00820B09" w:rsidRDefault="00EB123D" w:rsidP="001B350F">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1B350F" w:rsidRPr="00820B09">
                              <w:rPr>
                                <w:rFonts w:asciiTheme="majorHAnsi" w:hAnsiTheme="majorHAnsi"/>
                                <w:b/>
                                <w:bCs/>
                                <w:sz w:val="20"/>
                                <w:szCs w:val="20"/>
                              </w:rPr>
                              <w:t xml:space="preserve">4.B.1.4 </w:t>
                            </w:r>
                          </w:p>
                          <w:p w14:paraId="14218305" w14:textId="5590473D" w:rsidR="002851FB" w:rsidRPr="00820B09" w:rsidRDefault="00B01BBE" w:rsidP="00B01BBE">
                            <w:pPr>
                              <w:pStyle w:val="NormalWeb"/>
                              <w:spacing w:after="0"/>
                              <w:jc w:val="both"/>
                              <w:rPr>
                                <w:rFonts w:asciiTheme="majorHAnsi" w:hAnsiTheme="majorHAnsi"/>
                                <w:sz w:val="20"/>
                                <w:szCs w:val="20"/>
                              </w:rPr>
                            </w:pPr>
                            <w:r w:rsidRPr="00820B09">
                              <w:rPr>
                                <w:rFonts w:asciiTheme="majorHAnsi" w:hAnsiTheme="majorHAnsi"/>
                                <w:sz w:val="20"/>
                                <w:szCs w:val="20"/>
                              </w:rPr>
                              <w:t>Providers should ensure they provide clear and transparent information on products and services to all clients, including those with disabilities. Key information should be available in accessible formats and channels for clients with disabilities, and communicated in ways they can understand.</w:t>
                            </w:r>
                            <w:r w:rsidR="002851FB" w:rsidRPr="00820B09">
                              <w:rPr>
                                <w:rFonts w:asciiTheme="majorHAnsi" w:hAnsiTheme="majorHAnsi"/>
                                <w:sz w:val="20"/>
                                <w:szCs w:val="20"/>
                              </w:rPr>
                              <w:t xml:space="preserve"> </w:t>
                            </w:r>
                          </w:p>
                          <w:p w14:paraId="223A9D39" w14:textId="28D7141F" w:rsidR="00E00AC0" w:rsidRPr="00820B09" w:rsidRDefault="00E00AC0" w:rsidP="00B01BBE">
                            <w:pPr>
                              <w:pStyle w:val="NormalWeb"/>
                              <w:spacing w:after="0"/>
                              <w:jc w:val="both"/>
                              <w:rPr>
                                <w:rFonts w:asciiTheme="majorHAnsi" w:hAnsiTheme="majorHAnsi"/>
                                <w:sz w:val="20"/>
                                <w:szCs w:val="20"/>
                              </w:rPr>
                            </w:pPr>
                            <w:r w:rsidRPr="00820B09">
                              <w:rPr>
                                <w:rFonts w:asciiTheme="majorHAnsi" w:hAnsiTheme="majorHAnsi"/>
                                <w:sz w:val="20"/>
                                <w:szCs w:val="20"/>
                              </w:rPr>
                              <w:t>Print and electronic documents can be made more accessible by following document accessibility standards for color contrast, fonts, layout and screen reader compatibility. A</w:t>
                            </w:r>
                            <w:r w:rsidR="002851FB" w:rsidRPr="00820B09">
                              <w:rPr>
                                <w:rFonts w:asciiTheme="majorHAnsi" w:hAnsiTheme="majorHAnsi"/>
                                <w:sz w:val="20"/>
                                <w:szCs w:val="20"/>
                              </w:rPr>
                              <w:t xml:space="preserve">lternative </w:t>
                            </w:r>
                            <w:r w:rsidRPr="00820B09">
                              <w:rPr>
                                <w:rFonts w:asciiTheme="majorHAnsi" w:hAnsiTheme="majorHAnsi"/>
                                <w:sz w:val="20"/>
                                <w:szCs w:val="20"/>
                              </w:rPr>
                              <w:t xml:space="preserve">information </w:t>
                            </w:r>
                            <w:r w:rsidR="00382D6B" w:rsidRPr="00820B09">
                              <w:rPr>
                                <w:rFonts w:asciiTheme="majorHAnsi" w:hAnsiTheme="majorHAnsi"/>
                                <w:sz w:val="20"/>
                                <w:szCs w:val="20"/>
                              </w:rPr>
                              <w:t xml:space="preserve">and communication </w:t>
                            </w:r>
                            <w:r w:rsidR="002851FB" w:rsidRPr="00820B09">
                              <w:rPr>
                                <w:rFonts w:asciiTheme="majorHAnsi" w:hAnsiTheme="majorHAnsi"/>
                                <w:sz w:val="20"/>
                                <w:szCs w:val="20"/>
                              </w:rPr>
                              <w:t xml:space="preserve">formats </w:t>
                            </w:r>
                            <w:r w:rsidRPr="00820B09">
                              <w:rPr>
                                <w:rFonts w:asciiTheme="majorHAnsi" w:hAnsiTheme="majorHAnsi"/>
                                <w:sz w:val="20"/>
                                <w:szCs w:val="20"/>
                              </w:rPr>
                              <w:t>include</w:t>
                            </w:r>
                            <w:r w:rsidR="00382D6B" w:rsidRPr="00820B09">
                              <w:rPr>
                                <w:rFonts w:asciiTheme="majorHAnsi" w:hAnsiTheme="majorHAnsi"/>
                                <w:sz w:val="20"/>
                                <w:szCs w:val="20"/>
                              </w:rPr>
                              <w:t>:</w:t>
                            </w:r>
                          </w:p>
                          <w:p w14:paraId="17D43CF9" w14:textId="449752C8" w:rsidR="00E00AC0" w:rsidRPr="00820B09" w:rsidRDefault="00382D6B"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L</w:t>
                            </w:r>
                            <w:r w:rsidR="00E00AC0" w:rsidRPr="00820B09">
                              <w:rPr>
                                <w:rFonts w:asciiTheme="majorHAnsi" w:hAnsiTheme="majorHAnsi"/>
                                <w:sz w:val="20"/>
                                <w:szCs w:val="20"/>
                              </w:rPr>
                              <w:t>arge print</w:t>
                            </w:r>
                            <w:r w:rsidRPr="00820B09">
                              <w:rPr>
                                <w:rFonts w:asciiTheme="majorHAnsi" w:hAnsiTheme="majorHAnsi"/>
                                <w:sz w:val="20"/>
                                <w:szCs w:val="20"/>
                              </w:rPr>
                              <w:t xml:space="preserve">: </w:t>
                            </w:r>
                            <w:r w:rsidR="00E00AC0" w:rsidRPr="00820B09">
                              <w:rPr>
                                <w:rFonts w:asciiTheme="majorHAnsi" w:hAnsiTheme="majorHAnsi"/>
                                <w:sz w:val="20"/>
                                <w:szCs w:val="20"/>
                              </w:rPr>
                              <w:t xml:space="preserve">designed for persons with visual impairments, </w:t>
                            </w:r>
                          </w:p>
                          <w:p w14:paraId="614EA680" w14:textId="3719B4A0" w:rsidR="00E00AC0" w:rsidRPr="00820B09" w:rsidRDefault="00E00AC0"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Easy read: us</w:t>
                            </w:r>
                            <w:r w:rsidR="00297961" w:rsidRPr="00820B09">
                              <w:rPr>
                                <w:rFonts w:asciiTheme="majorHAnsi" w:hAnsiTheme="majorHAnsi"/>
                                <w:sz w:val="20"/>
                                <w:szCs w:val="20"/>
                              </w:rPr>
                              <w:t>es</w:t>
                            </w:r>
                            <w:r w:rsidRPr="00820B09">
                              <w:rPr>
                                <w:rFonts w:asciiTheme="majorHAnsi" w:hAnsiTheme="majorHAnsi"/>
                                <w:sz w:val="20"/>
                                <w:szCs w:val="20"/>
                              </w:rPr>
                              <w:t xml:space="preserve"> simple words, short sentences and clear design formats, often combined with pictures or icons</w:t>
                            </w:r>
                            <w:r w:rsidR="00382D6B" w:rsidRPr="00820B09">
                              <w:rPr>
                                <w:rFonts w:asciiTheme="majorHAnsi" w:hAnsiTheme="majorHAnsi"/>
                                <w:sz w:val="20"/>
                                <w:szCs w:val="20"/>
                              </w:rPr>
                              <w:t>.</w:t>
                            </w:r>
                          </w:p>
                          <w:p w14:paraId="5C26F902" w14:textId="458D0671" w:rsidR="00E00AC0" w:rsidRPr="00820B09" w:rsidRDefault="00E00AC0"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Picture books</w:t>
                            </w:r>
                            <w:r w:rsidR="00382D6B" w:rsidRPr="00820B09">
                              <w:rPr>
                                <w:rFonts w:asciiTheme="majorHAnsi" w:hAnsiTheme="majorHAnsi"/>
                                <w:sz w:val="20"/>
                                <w:szCs w:val="20"/>
                              </w:rPr>
                              <w:t>: used to</w:t>
                            </w:r>
                            <w:r w:rsidRPr="00820B09">
                              <w:rPr>
                                <w:rFonts w:asciiTheme="majorHAnsi" w:hAnsiTheme="majorHAnsi"/>
                                <w:sz w:val="20"/>
                                <w:szCs w:val="20"/>
                              </w:rPr>
                              <w:t xml:space="preserve"> show steps in a process or transaction</w:t>
                            </w:r>
                            <w:r w:rsidR="00382D6B" w:rsidRPr="00820B09">
                              <w:rPr>
                                <w:rFonts w:asciiTheme="majorHAnsi" w:hAnsiTheme="majorHAnsi"/>
                                <w:sz w:val="20"/>
                                <w:szCs w:val="20"/>
                              </w:rPr>
                              <w:t>.</w:t>
                            </w:r>
                          </w:p>
                          <w:p w14:paraId="7DFE6CE4" w14:textId="43B22AA1" w:rsidR="00E00AC0" w:rsidRPr="00820B09" w:rsidRDefault="00E00AC0"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 xml:space="preserve">Braille: a tactile written language </w:t>
                            </w:r>
                            <w:r w:rsidR="00297961" w:rsidRPr="00820B09">
                              <w:rPr>
                                <w:rFonts w:asciiTheme="majorHAnsi" w:hAnsiTheme="majorHAnsi"/>
                                <w:sz w:val="20"/>
                                <w:szCs w:val="20"/>
                              </w:rPr>
                              <w:t xml:space="preserve">system </w:t>
                            </w:r>
                            <w:r w:rsidRPr="00820B09">
                              <w:rPr>
                                <w:rFonts w:asciiTheme="majorHAnsi" w:hAnsiTheme="majorHAnsi"/>
                                <w:sz w:val="20"/>
                                <w:szCs w:val="20"/>
                              </w:rPr>
                              <w:t>used by persons with visual impairments</w:t>
                            </w:r>
                            <w:r w:rsidR="00382D6B" w:rsidRPr="00820B09">
                              <w:rPr>
                                <w:rFonts w:asciiTheme="majorHAnsi" w:hAnsiTheme="majorHAnsi"/>
                                <w:sz w:val="20"/>
                                <w:szCs w:val="20"/>
                              </w:rPr>
                              <w:t>.</w:t>
                            </w:r>
                          </w:p>
                          <w:p w14:paraId="55798843" w14:textId="3E28A63B" w:rsidR="00382D6B" w:rsidRPr="00820B09" w:rsidRDefault="00382D6B"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Sign languages: languages that use signs and gestures which have evolved in Deaf communities.</w:t>
                            </w:r>
                          </w:p>
                          <w:p w14:paraId="1DA726BB" w14:textId="74DEECEF" w:rsidR="00382D6B" w:rsidRPr="00820B09" w:rsidRDefault="00382D6B" w:rsidP="00A27AAA">
                            <w:pPr>
                              <w:pStyle w:val="NormalWeb"/>
                              <w:numPr>
                                <w:ilvl w:val="0"/>
                                <w:numId w:val="406"/>
                              </w:numPr>
                              <w:jc w:val="both"/>
                              <w:rPr>
                                <w:rFonts w:asciiTheme="majorHAnsi" w:hAnsiTheme="majorHAnsi"/>
                                <w:sz w:val="20"/>
                                <w:szCs w:val="20"/>
                              </w:rPr>
                            </w:pPr>
                            <w:r w:rsidRPr="00820B09">
                              <w:rPr>
                                <w:rFonts w:asciiTheme="majorHAnsi" w:hAnsiTheme="majorHAnsi"/>
                                <w:sz w:val="20"/>
                                <w:szCs w:val="20"/>
                              </w:rPr>
                              <w:t>Audio formats, accompanied by written transcripts.</w:t>
                            </w:r>
                          </w:p>
                          <w:p w14:paraId="35D5F129" w14:textId="79A47D35" w:rsidR="00382D6B" w:rsidRPr="00820B09" w:rsidRDefault="00382D6B"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Video formats, including on-screen captions, sign language interpretation, and written transcripts provided</w:t>
                            </w:r>
                          </w:p>
                          <w:p w14:paraId="3131EFEA" w14:textId="597AF3B7" w:rsidR="00382D6B" w:rsidRPr="00820B09" w:rsidRDefault="002851FB" w:rsidP="00B01BBE">
                            <w:pPr>
                              <w:pStyle w:val="NormalWeb"/>
                              <w:spacing w:after="0"/>
                              <w:jc w:val="both"/>
                              <w:rPr>
                                <w:rFonts w:asciiTheme="majorHAnsi" w:hAnsiTheme="majorHAnsi"/>
                                <w:sz w:val="20"/>
                                <w:szCs w:val="20"/>
                              </w:rPr>
                            </w:pPr>
                            <w:r w:rsidRPr="00820B09">
                              <w:rPr>
                                <w:rFonts w:asciiTheme="majorHAnsi" w:hAnsiTheme="majorHAnsi"/>
                                <w:sz w:val="20"/>
                                <w:szCs w:val="20"/>
                              </w:rPr>
                              <w:t>U</w:t>
                            </w:r>
                            <w:r w:rsidR="00B01BBE" w:rsidRPr="00820B09">
                              <w:rPr>
                                <w:rFonts w:asciiTheme="majorHAnsi" w:hAnsiTheme="majorHAnsi"/>
                                <w:sz w:val="20"/>
                                <w:szCs w:val="20"/>
                              </w:rPr>
                              <w:t xml:space="preserve">se plain language wherever possible to produce key product documents, and apply document accessibility </w:t>
                            </w:r>
                            <w:r w:rsidR="00E00AC0" w:rsidRPr="00820B09">
                              <w:rPr>
                                <w:rFonts w:asciiTheme="majorHAnsi" w:hAnsiTheme="majorHAnsi"/>
                                <w:sz w:val="20"/>
                                <w:szCs w:val="20"/>
                              </w:rPr>
                              <w:t>standards</w:t>
                            </w:r>
                            <w:r w:rsidR="00B01BBE" w:rsidRPr="00820B09">
                              <w:rPr>
                                <w:rFonts w:asciiTheme="majorHAnsi" w:hAnsiTheme="majorHAnsi"/>
                                <w:sz w:val="20"/>
                                <w:szCs w:val="20"/>
                              </w:rPr>
                              <w:t xml:space="preserve"> as standard. Create versions of these documents in accessible and alternative formats, such as large print, Easy read and braille for clients with disabilities</w:t>
                            </w:r>
                            <w:r w:rsidR="00382D6B" w:rsidRPr="00820B09">
                              <w:rPr>
                                <w:rFonts w:asciiTheme="majorHAnsi" w:hAnsiTheme="majorHAnsi"/>
                                <w:sz w:val="20"/>
                                <w:szCs w:val="20"/>
                              </w:rPr>
                              <w:t xml:space="preserve">. Providing accommodations where necessary to meet the needs of individuals, such as reading product information to clients with visual impairments. Where possible, train selected staff in sign-language, or partner with external organizations to provide access to sign language interpreters. </w:t>
                            </w:r>
                          </w:p>
                          <w:p w14:paraId="360FC835" w14:textId="00222647" w:rsidR="00382D6B" w:rsidRPr="00820B09" w:rsidRDefault="00382D6B" w:rsidP="00B01BBE">
                            <w:pPr>
                              <w:pStyle w:val="NormalWeb"/>
                              <w:spacing w:after="0"/>
                              <w:jc w:val="both"/>
                              <w:rPr>
                                <w:rFonts w:asciiTheme="majorHAnsi" w:hAnsiTheme="majorHAnsi"/>
                                <w:sz w:val="20"/>
                                <w:szCs w:val="20"/>
                              </w:rPr>
                            </w:pPr>
                            <w:r w:rsidRPr="00820B09">
                              <w:rPr>
                                <w:rFonts w:asciiTheme="majorHAnsi" w:hAnsiTheme="majorHAnsi"/>
                                <w:sz w:val="20"/>
                                <w:szCs w:val="20"/>
                              </w:rPr>
                              <w:t>Digital formats and channels are often the most practical solution to provide access to information by persons with different types of impairments, as long as they follow accessibility standards. Websites, online banking and mobile banking apps can enable user-customization of screen displays, use of screen readers by persons with visual impairments, and access to alternative document formats, videos with captions, and audio formats. The Web Content Accessibility Guidelines (WCAG) provide international standards for accessibility of digital content, including embedded documents for downloading. See indicator 3.B.2.2 for more information about digital accessibility and the WCAG</w:t>
                            </w:r>
                            <w:r w:rsidR="00133A07" w:rsidRPr="00820B09">
                              <w:rPr>
                                <w:rFonts w:asciiTheme="majorHAnsi" w:hAnsiTheme="majorHAnsi"/>
                                <w:sz w:val="20"/>
                                <w:szCs w:val="20"/>
                              </w:rPr>
                              <w:t>, and linked resources</w:t>
                            </w:r>
                            <w:r w:rsidRPr="00820B09">
                              <w:rPr>
                                <w:rFonts w:asciiTheme="majorHAnsi" w:hAnsiTheme="majorHAnsi"/>
                                <w:sz w:val="20"/>
                                <w:szCs w:val="20"/>
                              </w:rPr>
                              <w:t xml:space="preserve">.  </w:t>
                            </w:r>
                          </w:p>
                          <w:p w14:paraId="007BBA02" w14:textId="662B8506" w:rsidR="002851FB" w:rsidRPr="00820B09" w:rsidRDefault="00B01BBE" w:rsidP="00B01BBE">
                            <w:pPr>
                              <w:pStyle w:val="NormalWeb"/>
                              <w:spacing w:after="0"/>
                              <w:jc w:val="both"/>
                              <w:rPr>
                                <w:rFonts w:asciiTheme="majorHAnsi" w:hAnsiTheme="majorHAnsi"/>
                                <w:sz w:val="20"/>
                                <w:szCs w:val="20"/>
                              </w:rPr>
                            </w:pPr>
                            <w:r w:rsidRPr="00820B09">
                              <w:rPr>
                                <w:rFonts w:asciiTheme="majorHAnsi" w:hAnsiTheme="majorHAnsi"/>
                                <w:sz w:val="20"/>
                                <w:szCs w:val="20"/>
                              </w:rPr>
                              <w:t xml:space="preserve">Train </w:t>
                            </w:r>
                            <w:r w:rsidR="00297961" w:rsidRPr="00820B09">
                              <w:rPr>
                                <w:rFonts w:asciiTheme="majorHAnsi" w:hAnsiTheme="majorHAnsi"/>
                                <w:sz w:val="20"/>
                                <w:szCs w:val="20"/>
                              </w:rPr>
                              <w:t xml:space="preserve">all </w:t>
                            </w:r>
                            <w:r w:rsidRPr="00820B09">
                              <w:rPr>
                                <w:rFonts w:asciiTheme="majorHAnsi" w:hAnsiTheme="majorHAnsi"/>
                                <w:sz w:val="20"/>
                                <w:szCs w:val="20"/>
                              </w:rPr>
                              <w:t>client-facing staff</w:t>
                            </w:r>
                            <w:r w:rsidR="00297961" w:rsidRPr="00820B09">
                              <w:rPr>
                                <w:rFonts w:asciiTheme="majorHAnsi" w:hAnsiTheme="majorHAnsi"/>
                                <w:sz w:val="20"/>
                                <w:szCs w:val="20"/>
                              </w:rPr>
                              <w:t xml:space="preserve"> </w:t>
                            </w:r>
                            <w:r w:rsidR="00BD735E" w:rsidRPr="00820B09">
                              <w:rPr>
                                <w:rFonts w:asciiTheme="majorHAnsi" w:hAnsiTheme="majorHAnsi"/>
                                <w:sz w:val="20"/>
                                <w:szCs w:val="20"/>
                              </w:rPr>
                              <w:t xml:space="preserve">on disability inclusion, </w:t>
                            </w:r>
                            <w:r w:rsidR="00297961" w:rsidRPr="00820B09">
                              <w:rPr>
                                <w:rFonts w:asciiTheme="majorHAnsi" w:hAnsiTheme="majorHAnsi"/>
                                <w:sz w:val="20"/>
                                <w:szCs w:val="20"/>
                              </w:rPr>
                              <w:t>and o</w:t>
                            </w:r>
                            <w:r w:rsidR="00BD735E" w:rsidRPr="00820B09">
                              <w:rPr>
                                <w:rFonts w:asciiTheme="majorHAnsi" w:hAnsiTheme="majorHAnsi"/>
                                <w:sz w:val="20"/>
                                <w:szCs w:val="20"/>
                              </w:rPr>
                              <w:t xml:space="preserve">perating procedures </w:t>
                            </w:r>
                            <w:r w:rsidR="00297961" w:rsidRPr="00820B09">
                              <w:rPr>
                                <w:rFonts w:asciiTheme="majorHAnsi" w:hAnsiTheme="majorHAnsi"/>
                                <w:sz w:val="20"/>
                                <w:szCs w:val="20"/>
                              </w:rPr>
                              <w:t>for accessible  servicing and communications and providing reasonable accommodation. Training should e</w:t>
                            </w:r>
                            <w:r w:rsidR="00BD735E" w:rsidRPr="00820B09">
                              <w:rPr>
                                <w:rFonts w:asciiTheme="majorHAnsi" w:hAnsiTheme="majorHAnsi"/>
                                <w:sz w:val="20"/>
                                <w:szCs w:val="20"/>
                              </w:rPr>
                              <w:t>quip</w:t>
                            </w:r>
                            <w:r w:rsidR="00297961" w:rsidRPr="00820B09">
                              <w:rPr>
                                <w:rFonts w:asciiTheme="majorHAnsi" w:hAnsiTheme="majorHAnsi"/>
                                <w:sz w:val="20"/>
                                <w:szCs w:val="20"/>
                              </w:rPr>
                              <w:t xml:space="preserve"> staff</w:t>
                            </w:r>
                            <w:r w:rsidR="00BD735E" w:rsidRPr="00820B09">
                              <w:rPr>
                                <w:rFonts w:asciiTheme="majorHAnsi" w:hAnsiTheme="majorHAnsi"/>
                                <w:sz w:val="20"/>
                                <w:szCs w:val="20"/>
                              </w:rPr>
                              <w:t xml:space="preserve"> to </w:t>
                            </w:r>
                            <w:r w:rsidRPr="00820B09">
                              <w:rPr>
                                <w:rFonts w:asciiTheme="majorHAnsi" w:hAnsiTheme="majorHAnsi"/>
                                <w:sz w:val="20"/>
                                <w:szCs w:val="20"/>
                              </w:rPr>
                              <w:t xml:space="preserve">ask clients about their communication needs, </w:t>
                            </w:r>
                            <w:r w:rsidR="00BD735E" w:rsidRPr="00820B09">
                              <w:rPr>
                                <w:rFonts w:asciiTheme="majorHAnsi" w:hAnsiTheme="majorHAnsi"/>
                                <w:sz w:val="20"/>
                                <w:szCs w:val="20"/>
                              </w:rPr>
                              <w:t xml:space="preserve">provide information in accessible formats, </w:t>
                            </w:r>
                            <w:r w:rsidR="002851FB" w:rsidRPr="00820B09">
                              <w:rPr>
                                <w:rFonts w:asciiTheme="majorHAnsi" w:hAnsiTheme="majorHAnsi"/>
                                <w:sz w:val="20"/>
                                <w:szCs w:val="20"/>
                              </w:rPr>
                              <w:t xml:space="preserve">and </w:t>
                            </w:r>
                            <w:r w:rsidRPr="00820B09">
                              <w:rPr>
                                <w:rFonts w:asciiTheme="majorHAnsi" w:hAnsiTheme="majorHAnsi"/>
                                <w:sz w:val="20"/>
                                <w:szCs w:val="20"/>
                              </w:rPr>
                              <w:t>communicate key information respectfully and effectively to persons with different types of impairments</w:t>
                            </w:r>
                            <w:r w:rsidR="002851FB" w:rsidRPr="00820B09">
                              <w:rPr>
                                <w:rFonts w:asciiTheme="majorHAnsi" w:hAnsiTheme="majorHAnsi"/>
                                <w:sz w:val="20"/>
                                <w:szCs w:val="20"/>
                              </w:rPr>
                              <w:t>.</w:t>
                            </w:r>
                            <w:r w:rsidR="00BD735E" w:rsidRPr="00820B09">
                              <w:rPr>
                                <w:rFonts w:asciiTheme="majorHAnsi" w:hAnsiTheme="majorHAnsi"/>
                                <w:sz w:val="20"/>
                                <w:szCs w:val="20"/>
                              </w:rPr>
                              <w:t xml:space="preserve"> </w:t>
                            </w:r>
                            <w:r w:rsidR="00063BF5" w:rsidRPr="00820B09">
                              <w:rPr>
                                <w:rFonts w:asciiTheme="majorHAnsi" w:hAnsiTheme="majorHAnsi"/>
                                <w:sz w:val="20"/>
                                <w:szCs w:val="20"/>
                              </w:rPr>
                              <w:t>This should include practical training on adapting communications to meet client needs and support them to make informed decisions, for example allowing more time for meetings or holding more than one meeting to give the client time to process information. The providers' policies should allow for a support person to facilitate communication with clients with disabilities, if requested by the client, otherwise communication should be provided directly to client.</w:t>
                            </w:r>
                          </w:p>
                          <w:p w14:paraId="106213E7" w14:textId="698ABD71" w:rsidR="00097924" w:rsidRPr="00820B09" w:rsidRDefault="00133A07" w:rsidP="00B01BBE">
                            <w:pPr>
                              <w:pStyle w:val="NormalWeb"/>
                              <w:jc w:val="both"/>
                              <w:rPr>
                                <w:rFonts w:asciiTheme="majorHAnsi" w:hAnsiTheme="majorHAnsi"/>
                                <w:sz w:val="20"/>
                                <w:szCs w:val="20"/>
                              </w:rPr>
                            </w:pPr>
                            <w:bookmarkStart w:id="69" w:name="_Hlk227338145"/>
                            <w:bookmarkStart w:id="70" w:name="_Hlk227338146"/>
                            <w:r w:rsidRPr="00820B09">
                              <w:rPr>
                                <w:rFonts w:asciiTheme="majorHAnsi" w:hAnsiTheme="majorHAnsi"/>
                                <w:sz w:val="20"/>
                                <w:szCs w:val="20"/>
                              </w:rPr>
                              <w:t>See resources for this indicator related to accessible information and comm</w:t>
                            </w:r>
                            <w:r w:rsidR="00C94DC4" w:rsidRPr="00820B09">
                              <w:rPr>
                                <w:rFonts w:asciiTheme="majorHAnsi" w:hAnsiTheme="majorHAnsi"/>
                                <w:sz w:val="20"/>
                                <w:szCs w:val="20"/>
                              </w:rPr>
                              <w:t>unic</w:t>
                            </w:r>
                            <w:r w:rsidRPr="00820B09">
                              <w:rPr>
                                <w:rFonts w:asciiTheme="majorHAnsi" w:hAnsiTheme="majorHAnsi"/>
                                <w:sz w:val="20"/>
                                <w:szCs w:val="20"/>
                              </w:rPr>
                              <w:t xml:space="preserve">ations. </w:t>
                            </w:r>
                            <w:r w:rsidR="002851FB" w:rsidRPr="00820B09">
                              <w:rPr>
                                <w:rFonts w:asciiTheme="majorHAnsi" w:hAnsiTheme="majorHAnsi"/>
                                <w:sz w:val="20"/>
                                <w:szCs w:val="20"/>
                              </w:rPr>
                              <w:t xml:space="preserve">The BFFI Disability Inclusion </w:t>
                            </w:r>
                            <w:r w:rsidR="00C94DC4" w:rsidRPr="00820B09">
                              <w:rPr>
                                <w:rFonts w:asciiTheme="majorHAnsi" w:hAnsiTheme="majorHAnsi"/>
                                <w:sz w:val="20"/>
                                <w:szCs w:val="20"/>
                              </w:rPr>
                              <w:t xml:space="preserve">Guide </w:t>
                            </w:r>
                            <w:r w:rsidR="002851FB" w:rsidRPr="00820B09">
                              <w:rPr>
                                <w:rFonts w:asciiTheme="majorHAnsi" w:hAnsiTheme="majorHAnsi"/>
                                <w:sz w:val="20"/>
                                <w:szCs w:val="20"/>
                              </w:rPr>
                              <w:t xml:space="preserve">for FSPs provides more information </w:t>
                            </w:r>
                            <w:r w:rsidR="00E00AC0" w:rsidRPr="00820B09">
                              <w:rPr>
                                <w:rFonts w:asciiTheme="majorHAnsi" w:hAnsiTheme="majorHAnsi"/>
                                <w:sz w:val="20"/>
                                <w:szCs w:val="20"/>
                              </w:rPr>
                              <w:t xml:space="preserve">and detailed resources </w:t>
                            </w:r>
                            <w:r w:rsidR="002851FB" w:rsidRPr="00820B09">
                              <w:rPr>
                                <w:rFonts w:asciiTheme="majorHAnsi" w:hAnsiTheme="majorHAnsi"/>
                                <w:sz w:val="20"/>
                                <w:szCs w:val="20"/>
                              </w:rPr>
                              <w:t>on accessible information and communication formats</w:t>
                            </w:r>
                            <w:r w:rsidR="00382D6B" w:rsidRPr="00820B09">
                              <w:rPr>
                                <w:rFonts w:asciiTheme="majorHAnsi" w:hAnsiTheme="majorHAnsi"/>
                                <w:sz w:val="20"/>
                                <w:szCs w:val="20"/>
                              </w:rPr>
                              <w:t xml:space="preserve">, including digital accessibility, and </w:t>
                            </w:r>
                            <w:r w:rsidR="002851FB" w:rsidRPr="00820B09">
                              <w:rPr>
                                <w:rFonts w:asciiTheme="majorHAnsi" w:hAnsiTheme="majorHAnsi"/>
                                <w:sz w:val="20"/>
                                <w:szCs w:val="20"/>
                              </w:rPr>
                              <w:t xml:space="preserve"> guid</w:t>
                            </w:r>
                            <w:r w:rsidR="00382D6B" w:rsidRPr="00820B09">
                              <w:rPr>
                                <w:rFonts w:asciiTheme="majorHAnsi" w:hAnsiTheme="majorHAnsi"/>
                                <w:sz w:val="20"/>
                                <w:szCs w:val="20"/>
                              </w:rPr>
                              <w:t>ance</w:t>
                            </w:r>
                            <w:r w:rsidR="002851FB" w:rsidRPr="00820B09">
                              <w:rPr>
                                <w:rFonts w:asciiTheme="majorHAnsi" w:hAnsiTheme="majorHAnsi"/>
                                <w:sz w:val="20"/>
                                <w:szCs w:val="20"/>
                              </w:rPr>
                              <w:t xml:space="preserve"> on disability etiquette and inclusive and respectful language</w:t>
                            </w:r>
                            <w:r w:rsidR="00BD735E" w:rsidRPr="00820B09">
                              <w:rPr>
                                <w:rFonts w:asciiTheme="majorHAnsi" w:hAnsiTheme="majorHAnsi"/>
                                <w:sz w:val="20"/>
                                <w:szCs w:val="20"/>
                              </w:rPr>
                              <w:t xml:space="preserve"> for communications</w:t>
                            </w:r>
                            <w:r w:rsidR="00382D6B" w:rsidRPr="00820B09">
                              <w:rPr>
                                <w:rFonts w:asciiTheme="majorHAnsi" w:hAnsiTheme="majorHAnsi"/>
                                <w:sz w:val="20"/>
                                <w:szCs w:val="20"/>
                              </w:rPr>
                              <w:t xml:space="preserve"> with persons with disabilities. </w:t>
                            </w:r>
                            <w:r w:rsidR="00BD735E" w:rsidRPr="00820B09">
                              <w:rPr>
                                <w:rFonts w:asciiTheme="majorHAnsi" w:hAnsiTheme="majorHAnsi"/>
                                <w:sz w:val="20"/>
                                <w:szCs w:val="20"/>
                              </w:rPr>
                              <w:t xml:space="preserve"> </w:t>
                            </w:r>
                            <w:r w:rsidR="002851FB" w:rsidRPr="00820B09">
                              <w:rPr>
                                <w:rFonts w:asciiTheme="majorHAnsi" w:hAnsiTheme="majorHAnsi"/>
                                <w:sz w:val="20"/>
                                <w:szCs w:val="20"/>
                              </w:rPr>
                              <w:t xml:space="preserve">  </w:t>
                            </w:r>
                            <w:r w:rsidR="00B01BBE" w:rsidRPr="00820B09">
                              <w:rPr>
                                <w:rFonts w:asciiTheme="majorHAnsi" w:hAnsiTheme="majorHAnsi"/>
                                <w:sz w:val="20"/>
                                <w:szCs w:val="20"/>
                              </w:rPr>
                              <w:t xml:space="preserve">  </w:t>
                            </w:r>
                            <w:bookmarkEnd w:id="69"/>
                            <w:bookmarkEnd w:id="70"/>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CF14AE1" id="_x0000_s1055" type="#_x0000_t202" style="position:absolute;left:0;text-align:left;margin-left:-1.35pt;margin-top:12.15pt;width:2in;height:2in;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" filled="f" strokeweight=".5pt">
                <v:textbox style="mso-fit-shape-to-text:t">
                  <w:txbxContent>
                    <w:p w14:paraId="54006E78" w14:textId="29705597" w:rsidR="001B350F" w:rsidRPr="00820B09" w:rsidRDefault="00EB123D" w:rsidP="001B350F">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1B350F" w:rsidRPr="00820B09">
                        <w:rPr>
                          <w:rFonts w:asciiTheme="majorHAnsi" w:hAnsiTheme="majorHAnsi"/>
                          <w:b/>
                          <w:bCs/>
                          <w:sz w:val="20"/>
                          <w:szCs w:val="20"/>
                        </w:rPr>
                        <w:t xml:space="preserve">4.B.1.4 </w:t>
                      </w:r>
                    </w:p>
                    <w:p w14:paraId="14218305" w14:textId="5590473D" w:rsidR="002851FB" w:rsidRPr="00820B09" w:rsidRDefault="00B01BBE" w:rsidP="00B01BBE">
                      <w:pPr>
                        <w:pStyle w:val="NormalWeb"/>
                        <w:spacing w:after="0"/>
                        <w:jc w:val="both"/>
                        <w:rPr>
                          <w:rFonts w:asciiTheme="majorHAnsi" w:hAnsiTheme="majorHAnsi"/>
                          <w:sz w:val="20"/>
                          <w:szCs w:val="20"/>
                        </w:rPr>
                      </w:pPr>
                      <w:r w:rsidRPr="00820B09">
                        <w:rPr>
                          <w:rFonts w:asciiTheme="majorHAnsi" w:hAnsiTheme="majorHAnsi"/>
                          <w:sz w:val="20"/>
                          <w:szCs w:val="20"/>
                        </w:rPr>
                        <w:t>Providers should ensure they provide clear and transparent information on products and services to all clients, including those with disabilities. Key information should be available in accessible formats and channels for clients with disabilities, and communicated in ways they can understand.</w:t>
                      </w:r>
                      <w:r w:rsidR="002851FB" w:rsidRPr="00820B09">
                        <w:rPr>
                          <w:rFonts w:asciiTheme="majorHAnsi" w:hAnsiTheme="majorHAnsi"/>
                          <w:sz w:val="20"/>
                          <w:szCs w:val="20"/>
                        </w:rPr>
                        <w:t xml:space="preserve"> </w:t>
                      </w:r>
                    </w:p>
                    <w:p w14:paraId="223A9D39" w14:textId="28D7141F" w:rsidR="00E00AC0" w:rsidRPr="00820B09" w:rsidRDefault="00E00AC0" w:rsidP="00B01BBE">
                      <w:pPr>
                        <w:pStyle w:val="NormalWeb"/>
                        <w:spacing w:after="0"/>
                        <w:jc w:val="both"/>
                        <w:rPr>
                          <w:rFonts w:asciiTheme="majorHAnsi" w:hAnsiTheme="majorHAnsi"/>
                          <w:sz w:val="20"/>
                          <w:szCs w:val="20"/>
                        </w:rPr>
                      </w:pPr>
                      <w:r w:rsidRPr="00820B09">
                        <w:rPr>
                          <w:rFonts w:asciiTheme="majorHAnsi" w:hAnsiTheme="majorHAnsi"/>
                          <w:sz w:val="20"/>
                          <w:szCs w:val="20"/>
                        </w:rPr>
                        <w:t>Print and electronic documents can be made more accessible by following document accessibility standards for color contrast, fonts, layout and screen reader compatibility. A</w:t>
                      </w:r>
                      <w:r w:rsidR="002851FB" w:rsidRPr="00820B09">
                        <w:rPr>
                          <w:rFonts w:asciiTheme="majorHAnsi" w:hAnsiTheme="majorHAnsi"/>
                          <w:sz w:val="20"/>
                          <w:szCs w:val="20"/>
                        </w:rPr>
                        <w:t xml:space="preserve">lternative </w:t>
                      </w:r>
                      <w:r w:rsidRPr="00820B09">
                        <w:rPr>
                          <w:rFonts w:asciiTheme="majorHAnsi" w:hAnsiTheme="majorHAnsi"/>
                          <w:sz w:val="20"/>
                          <w:szCs w:val="20"/>
                        </w:rPr>
                        <w:t xml:space="preserve">information </w:t>
                      </w:r>
                      <w:r w:rsidR="00382D6B" w:rsidRPr="00820B09">
                        <w:rPr>
                          <w:rFonts w:asciiTheme="majorHAnsi" w:hAnsiTheme="majorHAnsi"/>
                          <w:sz w:val="20"/>
                          <w:szCs w:val="20"/>
                        </w:rPr>
                        <w:t xml:space="preserve">and communication </w:t>
                      </w:r>
                      <w:r w:rsidR="002851FB" w:rsidRPr="00820B09">
                        <w:rPr>
                          <w:rFonts w:asciiTheme="majorHAnsi" w:hAnsiTheme="majorHAnsi"/>
                          <w:sz w:val="20"/>
                          <w:szCs w:val="20"/>
                        </w:rPr>
                        <w:t xml:space="preserve">formats </w:t>
                      </w:r>
                      <w:r w:rsidRPr="00820B09">
                        <w:rPr>
                          <w:rFonts w:asciiTheme="majorHAnsi" w:hAnsiTheme="majorHAnsi"/>
                          <w:sz w:val="20"/>
                          <w:szCs w:val="20"/>
                        </w:rPr>
                        <w:t>include</w:t>
                      </w:r>
                      <w:r w:rsidR="00382D6B" w:rsidRPr="00820B09">
                        <w:rPr>
                          <w:rFonts w:asciiTheme="majorHAnsi" w:hAnsiTheme="majorHAnsi"/>
                          <w:sz w:val="20"/>
                          <w:szCs w:val="20"/>
                        </w:rPr>
                        <w:t>:</w:t>
                      </w:r>
                    </w:p>
                    <w:p w14:paraId="17D43CF9" w14:textId="449752C8" w:rsidR="00E00AC0" w:rsidRPr="00820B09" w:rsidRDefault="00382D6B"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L</w:t>
                      </w:r>
                      <w:r w:rsidR="00E00AC0" w:rsidRPr="00820B09">
                        <w:rPr>
                          <w:rFonts w:asciiTheme="majorHAnsi" w:hAnsiTheme="majorHAnsi"/>
                          <w:sz w:val="20"/>
                          <w:szCs w:val="20"/>
                        </w:rPr>
                        <w:t>arge print</w:t>
                      </w:r>
                      <w:r w:rsidRPr="00820B09">
                        <w:rPr>
                          <w:rFonts w:asciiTheme="majorHAnsi" w:hAnsiTheme="majorHAnsi"/>
                          <w:sz w:val="20"/>
                          <w:szCs w:val="20"/>
                        </w:rPr>
                        <w:t xml:space="preserve">: </w:t>
                      </w:r>
                      <w:r w:rsidR="00E00AC0" w:rsidRPr="00820B09">
                        <w:rPr>
                          <w:rFonts w:asciiTheme="majorHAnsi" w:hAnsiTheme="majorHAnsi"/>
                          <w:sz w:val="20"/>
                          <w:szCs w:val="20"/>
                        </w:rPr>
                        <w:t xml:space="preserve">designed for persons with visual impairments, </w:t>
                      </w:r>
                    </w:p>
                    <w:p w14:paraId="614EA680" w14:textId="3719B4A0" w:rsidR="00E00AC0" w:rsidRPr="00820B09" w:rsidRDefault="00E00AC0"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Easy read: us</w:t>
                      </w:r>
                      <w:r w:rsidR="00297961" w:rsidRPr="00820B09">
                        <w:rPr>
                          <w:rFonts w:asciiTheme="majorHAnsi" w:hAnsiTheme="majorHAnsi"/>
                          <w:sz w:val="20"/>
                          <w:szCs w:val="20"/>
                        </w:rPr>
                        <w:t>es</w:t>
                      </w:r>
                      <w:r w:rsidRPr="00820B09">
                        <w:rPr>
                          <w:rFonts w:asciiTheme="majorHAnsi" w:hAnsiTheme="majorHAnsi"/>
                          <w:sz w:val="20"/>
                          <w:szCs w:val="20"/>
                        </w:rPr>
                        <w:t xml:space="preserve"> simple words, short sentences and clear design formats, often combined with pictures or icons</w:t>
                      </w:r>
                      <w:r w:rsidR="00382D6B" w:rsidRPr="00820B09">
                        <w:rPr>
                          <w:rFonts w:asciiTheme="majorHAnsi" w:hAnsiTheme="majorHAnsi"/>
                          <w:sz w:val="20"/>
                          <w:szCs w:val="20"/>
                        </w:rPr>
                        <w:t>.</w:t>
                      </w:r>
                    </w:p>
                    <w:p w14:paraId="5C26F902" w14:textId="458D0671" w:rsidR="00E00AC0" w:rsidRPr="00820B09" w:rsidRDefault="00E00AC0"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Picture books</w:t>
                      </w:r>
                      <w:r w:rsidR="00382D6B" w:rsidRPr="00820B09">
                        <w:rPr>
                          <w:rFonts w:asciiTheme="majorHAnsi" w:hAnsiTheme="majorHAnsi"/>
                          <w:sz w:val="20"/>
                          <w:szCs w:val="20"/>
                        </w:rPr>
                        <w:t>: used to</w:t>
                      </w:r>
                      <w:r w:rsidRPr="00820B09">
                        <w:rPr>
                          <w:rFonts w:asciiTheme="majorHAnsi" w:hAnsiTheme="majorHAnsi"/>
                          <w:sz w:val="20"/>
                          <w:szCs w:val="20"/>
                        </w:rPr>
                        <w:t xml:space="preserve"> show steps in a process or transaction</w:t>
                      </w:r>
                      <w:r w:rsidR="00382D6B" w:rsidRPr="00820B09">
                        <w:rPr>
                          <w:rFonts w:asciiTheme="majorHAnsi" w:hAnsiTheme="majorHAnsi"/>
                          <w:sz w:val="20"/>
                          <w:szCs w:val="20"/>
                        </w:rPr>
                        <w:t>.</w:t>
                      </w:r>
                    </w:p>
                    <w:p w14:paraId="7DFE6CE4" w14:textId="43B22AA1" w:rsidR="00E00AC0" w:rsidRPr="00820B09" w:rsidRDefault="00E00AC0"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 xml:space="preserve">Braille: a tactile written language </w:t>
                      </w:r>
                      <w:r w:rsidR="00297961" w:rsidRPr="00820B09">
                        <w:rPr>
                          <w:rFonts w:asciiTheme="majorHAnsi" w:hAnsiTheme="majorHAnsi"/>
                          <w:sz w:val="20"/>
                          <w:szCs w:val="20"/>
                        </w:rPr>
                        <w:t xml:space="preserve">system </w:t>
                      </w:r>
                      <w:r w:rsidRPr="00820B09">
                        <w:rPr>
                          <w:rFonts w:asciiTheme="majorHAnsi" w:hAnsiTheme="majorHAnsi"/>
                          <w:sz w:val="20"/>
                          <w:szCs w:val="20"/>
                        </w:rPr>
                        <w:t>used by persons with visual impairments</w:t>
                      </w:r>
                      <w:r w:rsidR="00382D6B" w:rsidRPr="00820B09">
                        <w:rPr>
                          <w:rFonts w:asciiTheme="majorHAnsi" w:hAnsiTheme="majorHAnsi"/>
                          <w:sz w:val="20"/>
                          <w:szCs w:val="20"/>
                        </w:rPr>
                        <w:t>.</w:t>
                      </w:r>
                    </w:p>
                    <w:p w14:paraId="55798843" w14:textId="3E28A63B" w:rsidR="00382D6B" w:rsidRPr="00820B09" w:rsidRDefault="00382D6B"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Sign languages: languages that use signs and gestures which have evolved in Deaf communities.</w:t>
                      </w:r>
                    </w:p>
                    <w:p w14:paraId="1DA726BB" w14:textId="74DEECEF" w:rsidR="00382D6B" w:rsidRPr="00820B09" w:rsidRDefault="00382D6B" w:rsidP="00A27AAA">
                      <w:pPr>
                        <w:pStyle w:val="NormalWeb"/>
                        <w:numPr>
                          <w:ilvl w:val="0"/>
                          <w:numId w:val="406"/>
                        </w:numPr>
                        <w:jc w:val="both"/>
                        <w:rPr>
                          <w:rFonts w:asciiTheme="majorHAnsi" w:hAnsiTheme="majorHAnsi"/>
                          <w:sz w:val="20"/>
                          <w:szCs w:val="20"/>
                        </w:rPr>
                      </w:pPr>
                      <w:r w:rsidRPr="00820B09">
                        <w:rPr>
                          <w:rFonts w:asciiTheme="majorHAnsi" w:hAnsiTheme="majorHAnsi"/>
                          <w:sz w:val="20"/>
                          <w:szCs w:val="20"/>
                        </w:rPr>
                        <w:t>Audio formats, accompanied by written transcripts.</w:t>
                      </w:r>
                    </w:p>
                    <w:p w14:paraId="35D5F129" w14:textId="79A47D35" w:rsidR="00382D6B" w:rsidRPr="00820B09" w:rsidRDefault="00382D6B" w:rsidP="00A27AAA">
                      <w:pPr>
                        <w:pStyle w:val="NormalWeb"/>
                        <w:numPr>
                          <w:ilvl w:val="0"/>
                          <w:numId w:val="406"/>
                        </w:numPr>
                        <w:spacing w:after="0"/>
                        <w:jc w:val="both"/>
                        <w:rPr>
                          <w:rFonts w:asciiTheme="majorHAnsi" w:hAnsiTheme="majorHAnsi"/>
                          <w:sz w:val="20"/>
                          <w:szCs w:val="20"/>
                        </w:rPr>
                      </w:pPr>
                      <w:r w:rsidRPr="00820B09">
                        <w:rPr>
                          <w:rFonts w:asciiTheme="majorHAnsi" w:hAnsiTheme="majorHAnsi"/>
                          <w:sz w:val="20"/>
                          <w:szCs w:val="20"/>
                        </w:rPr>
                        <w:t>Video formats, including on-screen captions, sign language interpretation, and written transcripts provided</w:t>
                      </w:r>
                    </w:p>
                    <w:p w14:paraId="3131EFEA" w14:textId="597AF3B7" w:rsidR="00382D6B" w:rsidRPr="00820B09" w:rsidRDefault="002851FB" w:rsidP="00B01BBE">
                      <w:pPr>
                        <w:pStyle w:val="NormalWeb"/>
                        <w:spacing w:after="0"/>
                        <w:jc w:val="both"/>
                        <w:rPr>
                          <w:rFonts w:asciiTheme="majorHAnsi" w:hAnsiTheme="majorHAnsi"/>
                          <w:sz w:val="20"/>
                          <w:szCs w:val="20"/>
                        </w:rPr>
                      </w:pPr>
                      <w:r w:rsidRPr="00820B09">
                        <w:rPr>
                          <w:rFonts w:asciiTheme="majorHAnsi" w:hAnsiTheme="majorHAnsi"/>
                          <w:sz w:val="20"/>
                          <w:szCs w:val="20"/>
                        </w:rPr>
                        <w:t>U</w:t>
                      </w:r>
                      <w:r w:rsidR="00B01BBE" w:rsidRPr="00820B09">
                        <w:rPr>
                          <w:rFonts w:asciiTheme="majorHAnsi" w:hAnsiTheme="majorHAnsi"/>
                          <w:sz w:val="20"/>
                          <w:szCs w:val="20"/>
                        </w:rPr>
                        <w:t xml:space="preserve">se plain language wherever possible to produce key product documents, and apply document accessibility </w:t>
                      </w:r>
                      <w:r w:rsidR="00E00AC0" w:rsidRPr="00820B09">
                        <w:rPr>
                          <w:rFonts w:asciiTheme="majorHAnsi" w:hAnsiTheme="majorHAnsi"/>
                          <w:sz w:val="20"/>
                          <w:szCs w:val="20"/>
                        </w:rPr>
                        <w:t>standards</w:t>
                      </w:r>
                      <w:r w:rsidR="00B01BBE" w:rsidRPr="00820B09">
                        <w:rPr>
                          <w:rFonts w:asciiTheme="majorHAnsi" w:hAnsiTheme="majorHAnsi"/>
                          <w:sz w:val="20"/>
                          <w:szCs w:val="20"/>
                        </w:rPr>
                        <w:t xml:space="preserve"> as standard. Create versions of these documents in accessible and alternative formats, such as large print, Easy read and braille for clients with disabilities</w:t>
                      </w:r>
                      <w:r w:rsidR="00382D6B" w:rsidRPr="00820B09">
                        <w:rPr>
                          <w:rFonts w:asciiTheme="majorHAnsi" w:hAnsiTheme="majorHAnsi"/>
                          <w:sz w:val="20"/>
                          <w:szCs w:val="20"/>
                        </w:rPr>
                        <w:t xml:space="preserve">. Providing accommodations where necessary to meet the needs of individuals, such as reading product information to clients with visual impairments. Where possible, train selected staff in sign-language, or partner with external organizations to provide access to sign language interpreters. </w:t>
                      </w:r>
                    </w:p>
                    <w:p w14:paraId="360FC835" w14:textId="00222647" w:rsidR="00382D6B" w:rsidRPr="00820B09" w:rsidRDefault="00382D6B" w:rsidP="00B01BBE">
                      <w:pPr>
                        <w:pStyle w:val="NormalWeb"/>
                        <w:spacing w:after="0"/>
                        <w:jc w:val="both"/>
                        <w:rPr>
                          <w:rFonts w:asciiTheme="majorHAnsi" w:hAnsiTheme="majorHAnsi"/>
                          <w:sz w:val="20"/>
                          <w:szCs w:val="20"/>
                        </w:rPr>
                      </w:pPr>
                      <w:r w:rsidRPr="00820B09">
                        <w:rPr>
                          <w:rFonts w:asciiTheme="majorHAnsi" w:hAnsiTheme="majorHAnsi"/>
                          <w:sz w:val="20"/>
                          <w:szCs w:val="20"/>
                        </w:rPr>
                        <w:t>Digital formats and channels are often the most practical solution to provide access to information by persons with different types of impairments, as long as they follow accessibility standards. Websites, online banking and mobile banking apps can enable user-customization of screen displays, use of screen readers by persons with visual impairments, and access to alternative document formats, videos with captions, and audio formats. The Web Content Accessibility Guidelines (WCAG) provide international standards for accessibility of digital content, including embedded documents for downloading. See indicator 3.B.2.2 for more information about digital accessibility and the WCAG</w:t>
                      </w:r>
                      <w:r w:rsidR="00133A07" w:rsidRPr="00820B09">
                        <w:rPr>
                          <w:rFonts w:asciiTheme="majorHAnsi" w:hAnsiTheme="majorHAnsi"/>
                          <w:sz w:val="20"/>
                          <w:szCs w:val="20"/>
                        </w:rPr>
                        <w:t>, and linked resources</w:t>
                      </w:r>
                      <w:r w:rsidRPr="00820B09">
                        <w:rPr>
                          <w:rFonts w:asciiTheme="majorHAnsi" w:hAnsiTheme="majorHAnsi"/>
                          <w:sz w:val="20"/>
                          <w:szCs w:val="20"/>
                        </w:rPr>
                        <w:t xml:space="preserve">.  </w:t>
                      </w:r>
                    </w:p>
                    <w:p w14:paraId="007BBA02" w14:textId="662B8506" w:rsidR="002851FB" w:rsidRPr="00820B09" w:rsidRDefault="00B01BBE" w:rsidP="00B01BBE">
                      <w:pPr>
                        <w:pStyle w:val="NormalWeb"/>
                        <w:spacing w:after="0"/>
                        <w:jc w:val="both"/>
                        <w:rPr>
                          <w:rFonts w:asciiTheme="majorHAnsi" w:hAnsiTheme="majorHAnsi"/>
                          <w:sz w:val="20"/>
                          <w:szCs w:val="20"/>
                        </w:rPr>
                      </w:pPr>
                      <w:r w:rsidRPr="00820B09">
                        <w:rPr>
                          <w:rFonts w:asciiTheme="majorHAnsi" w:hAnsiTheme="majorHAnsi"/>
                          <w:sz w:val="20"/>
                          <w:szCs w:val="20"/>
                        </w:rPr>
                        <w:t xml:space="preserve">Train </w:t>
                      </w:r>
                      <w:r w:rsidR="00297961" w:rsidRPr="00820B09">
                        <w:rPr>
                          <w:rFonts w:asciiTheme="majorHAnsi" w:hAnsiTheme="majorHAnsi"/>
                          <w:sz w:val="20"/>
                          <w:szCs w:val="20"/>
                        </w:rPr>
                        <w:t xml:space="preserve">all </w:t>
                      </w:r>
                      <w:r w:rsidRPr="00820B09">
                        <w:rPr>
                          <w:rFonts w:asciiTheme="majorHAnsi" w:hAnsiTheme="majorHAnsi"/>
                          <w:sz w:val="20"/>
                          <w:szCs w:val="20"/>
                        </w:rPr>
                        <w:t>client-facing staff</w:t>
                      </w:r>
                      <w:r w:rsidR="00297961" w:rsidRPr="00820B09">
                        <w:rPr>
                          <w:rFonts w:asciiTheme="majorHAnsi" w:hAnsiTheme="majorHAnsi"/>
                          <w:sz w:val="20"/>
                          <w:szCs w:val="20"/>
                        </w:rPr>
                        <w:t xml:space="preserve"> </w:t>
                      </w:r>
                      <w:r w:rsidR="00BD735E" w:rsidRPr="00820B09">
                        <w:rPr>
                          <w:rFonts w:asciiTheme="majorHAnsi" w:hAnsiTheme="majorHAnsi"/>
                          <w:sz w:val="20"/>
                          <w:szCs w:val="20"/>
                        </w:rPr>
                        <w:t xml:space="preserve">on disability inclusion, </w:t>
                      </w:r>
                      <w:r w:rsidR="00297961" w:rsidRPr="00820B09">
                        <w:rPr>
                          <w:rFonts w:asciiTheme="majorHAnsi" w:hAnsiTheme="majorHAnsi"/>
                          <w:sz w:val="20"/>
                          <w:szCs w:val="20"/>
                        </w:rPr>
                        <w:t>and o</w:t>
                      </w:r>
                      <w:r w:rsidR="00BD735E" w:rsidRPr="00820B09">
                        <w:rPr>
                          <w:rFonts w:asciiTheme="majorHAnsi" w:hAnsiTheme="majorHAnsi"/>
                          <w:sz w:val="20"/>
                          <w:szCs w:val="20"/>
                        </w:rPr>
                        <w:t xml:space="preserve">perating procedures </w:t>
                      </w:r>
                      <w:r w:rsidR="00297961" w:rsidRPr="00820B09">
                        <w:rPr>
                          <w:rFonts w:asciiTheme="majorHAnsi" w:hAnsiTheme="majorHAnsi"/>
                          <w:sz w:val="20"/>
                          <w:szCs w:val="20"/>
                        </w:rPr>
                        <w:t>for accessible  servicing and communications and providing reasonable accommodation. Training should e</w:t>
                      </w:r>
                      <w:r w:rsidR="00BD735E" w:rsidRPr="00820B09">
                        <w:rPr>
                          <w:rFonts w:asciiTheme="majorHAnsi" w:hAnsiTheme="majorHAnsi"/>
                          <w:sz w:val="20"/>
                          <w:szCs w:val="20"/>
                        </w:rPr>
                        <w:t>quip</w:t>
                      </w:r>
                      <w:r w:rsidR="00297961" w:rsidRPr="00820B09">
                        <w:rPr>
                          <w:rFonts w:asciiTheme="majorHAnsi" w:hAnsiTheme="majorHAnsi"/>
                          <w:sz w:val="20"/>
                          <w:szCs w:val="20"/>
                        </w:rPr>
                        <w:t xml:space="preserve"> staff</w:t>
                      </w:r>
                      <w:r w:rsidR="00BD735E" w:rsidRPr="00820B09">
                        <w:rPr>
                          <w:rFonts w:asciiTheme="majorHAnsi" w:hAnsiTheme="majorHAnsi"/>
                          <w:sz w:val="20"/>
                          <w:szCs w:val="20"/>
                        </w:rPr>
                        <w:t xml:space="preserve"> to </w:t>
                      </w:r>
                      <w:r w:rsidRPr="00820B09">
                        <w:rPr>
                          <w:rFonts w:asciiTheme="majorHAnsi" w:hAnsiTheme="majorHAnsi"/>
                          <w:sz w:val="20"/>
                          <w:szCs w:val="20"/>
                        </w:rPr>
                        <w:t xml:space="preserve">ask clients about their communication needs, </w:t>
                      </w:r>
                      <w:r w:rsidR="00BD735E" w:rsidRPr="00820B09">
                        <w:rPr>
                          <w:rFonts w:asciiTheme="majorHAnsi" w:hAnsiTheme="majorHAnsi"/>
                          <w:sz w:val="20"/>
                          <w:szCs w:val="20"/>
                        </w:rPr>
                        <w:t xml:space="preserve">provide information in accessible formats, </w:t>
                      </w:r>
                      <w:r w:rsidR="002851FB" w:rsidRPr="00820B09">
                        <w:rPr>
                          <w:rFonts w:asciiTheme="majorHAnsi" w:hAnsiTheme="majorHAnsi"/>
                          <w:sz w:val="20"/>
                          <w:szCs w:val="20"/>
                        </w:rPr>
                        <w:t xml:space="preserve">and </w:t>
                      </w:r>
                      <w:r w:rsidRPr="00820B09">
                        <w:rPr>
                          <w:rFonts w:asciiTheme="majorHAnsi" w:hAnsiTheme="majorHAnsi"/>
                          <w:sz w:val="20"/>
                          <w:szCs w:val="20"/>
                        </w:rPr>
                        <w:t>communicate key information respectfully and effectively to persons with different types of impairments</w:t>
                      </w:r>
                      <w:r w:rsidR="002851FB" w:rsidRPr="00820B09">
                        <w:rPr>
                          <w:rFonts w:asciiTheme="majorHAnsi" w:hAnsiTheme="majorHAnsi"/>
                          <w:sz w:val="20"/>
                          <w:szCs w:val="20"/>
                        </w:rPr>
                        <w:t>.</w:t>
                      </w:r>
                      <w:r w:rsidR="00BD735E" w:rsidRPr="00820B09">
                        <w:rPr>
                          <w:rFonts w:asciiTheme="majorHAnsi" w:hAnsiTheme="majorHAnsi"/>
                          <w:sz w:val="20"/>
                          <w:szCs w:val="20"/>
                        </w:rPr>
                        <w:t xml:space="preserve"> </w:t>
                      </w:r>
                      <w:r w:rsidR="00063BF5" w:rsidRPr="00820B09">
                        <w:rPr>
                          <w:rFonts w:asciiTheme="majorHAnsi" w:hAnsiTheme="majorHAnsi"/>
                          <w:sz w:val="20"/>
                          <w:szCs w:val="20"/>
                        </w:rPr>
                        <w:t>This should include practical training on adapting communications to meet client needs and support them to make informed decisions, for example allowing more time for meetings or holding more than one meeting to give the client time to process information. The providers' policies should allow for a support person to facilitate communication with clients with disabilities, if requested by the client, otherwise communication should be provided directly to client.</w:t>
                      </w:r>
                    </w:p>
                    <w:p w14:paraId="106213E7" w14:textId="698ABD71" w:rsidR="00097924" w:rsidRPr="00820B09" w:rsidRDefault="00133A07" w:rsidP="00B01BBE">
                      <w:pPr>
                        <w:pStyle w:val="NormalWeb"/>
                        <w:jc w:val="both"/>
                        <w:rPr>
                          <w:rFonts w:asciiTheme="majorHAnsi" w:hAnsiTheme="majorHAnsi"/>
                          <w:sz w:val="20"/>
                          <w:szCs w:val="20"/>
                        </w:rPr>
                      </w:pPr>
                      <w:bookmarkStart w:id="71" w:name="_Hlk227338145"/>
                      <w:bookmarkStart w:id="72" w:name="_Hlk227338146"/>
                      <w:r w:rsidRPr="00820B09">
                        <w:rPr>
                          <w:rFonts w:asciiTheme="majorHAnsi" w:hAnsiTheme="majorHAnsi"/>
                          <w:sz w:val="20"/>
                          <w:szCs w:val="20"/>
                        </w:rPr>
                        <w:t>See resources for this indicator related to accessible information and comm</w:t>
                      </w:r>
                      <w:r w:rsidR="00C94DC4" w:rsidRPr="00820B09">
                        <w:rPr>
                          <w:rFonts w:asciiTheme="majorHAnsi" w:hAnsiTheme="majorHAnsi"/>
                          <w:sz w:val="20"/>
                          <w:szCs w:val="20"/>
                        </w:rPr>
                        <w:t>unic</w:t>
                      </w:r>
                      <w:r w:rsidRPr="00820B09">
                        <w:rPr>
                          <w:rFonts w:asciiTheme="majorHAnsi" w:hAnsiTheme="majorHAnsi"/>
                          <w:sz w:val="20"/>
                          <w:szCs w:val="20"/>
                        </w:rPr>
                        <w:t xml:space="preserve">ations. </w:t>
                      </w:r>
                      <w:r w:rsidR="002851FB" w:rsidRPr="00820B09">
                        <w:rPr>
                          <w:rFonts w:asciiTheme="majorHAnsi" w:hAnsiTheme="majorHAnsi"/>
                          <w:sz w:val="20"/>
                          <w:szCs w:val="20"/>
                        </w:rPr>
                        <w:t xml:space="preserve">The BFFI Disability Inclusion </w:t>
                      </w:r>
                      <w:r w:rsidR="00C94DC4" w:rsidRPr="00820B09">
                        <w:rPr>
                          <w:rFonts w:asciiTheme="majorHAnsi" w:hAnsiTheme="majorHAnsi"/>
                          <w:sz w:val="20"/>
                          <w:szCs w:val="20"/>
                        </w:rPr>
                        <w:t xml:space="preserve">Guide </w:t>
                      </w:r>
                      <w:r w:rsidR="002851FB" w:rsidRPr="00820B09">
                        <w:rPr>
                          <w:rFonts w:asciiTheme="majorHAnsi" w:hAnsiTheme="majorHAnsi"/>
                          <w:sz w:val="20"/>
                          <w:szCs w:val="20"/>
                        </w:rPr>
                        <w:t xml:space="preserve">for FSPs provides more information </w:t>
                      </w:r>
                      <w:r w:rsidR="00E00AC0" w:rsidRPr="00820B09">
                        <w:rPr>
                          <w:rFonts w:asciiTheme="majorHAnsi" w:hAnsiTheme="majorHAnsi"/>
                          <w:sz w:val="20"/>
                          <w:szCs w:val="20"/>
                        </w:rPr>
                        <w:t xml:space="preserve">and detailed resources </w:t>
                      </w:r>
                      <w:r w:rsidR="002851FB" w:rsidRPr="00820B09">
                        <w:rPr>
                          <w:rFonts w:asciiTheme="majorHAnsi" w:hAnsiTheme="majorHAnsi"/>
                          <w:sz w:val="20"/>
                          <w:szCs w:val="20"/>
                        </w:rPr>
                        <w:t>on accessible information and communication formats</w:t>
                      </w:r>
                      <w:r w:rsidR="00382D6B" w:rsidRPr="00820B09">
                        <w:rPr>
                          <w:rFonts w:asciiTheme="majorHAnsi" w:hAnsiTheme="majorHAnsi"/>
                          <w:sz w:val="20"/>
                          <w:szCs w:val="20"/>
                        </w:rPr>
                        <w:t xml:space="preserve">, including digital accessibility, and </w:t>
                      </w:r>
                      <w:r w:rsidR="002851FB" w:rsidRPr="00820B09">
                        <w:rPr>
                          <w:rFonts w:asciiTheme="majorHAnsi" w:hAnsiTheme="majorHAnsi"/>
                          <w:sz w:val="20"/>
                          <w:szCs w:val="20"/>
                        </w:rPr>
                        <w:t xml:space="preserve"> guid</w:t>
                      </w:r>
                      <w:r w:rsidR="00382D6B" w:rsidRPr="00820B09">
                        <w:rPr>
                          <w:rFonts w:asciiTheme="majorHAnsi" w:hAnsiTheme="majorHAnsi"/>
                          <w:sz w:val="20"/>
                          <w:szCs w:val="20"/>
                        </w:rPr>
                        <w:t>ance</w:t>
                      </w:r>
                      <w:r w:rsidR="002851FB" w:rsidRPr="00820B09">
                        <w:rPr>
                          <w:rFonts w:asciiTheme="majorHAnsi" w:hAnsiTheme="majorHAnsi"/>
                          <w:sz w:val="20"/>
                          <w:szCs w:val="20"/>
                        </w:rPr>
                        <w:t xml:space="preserve"> on disability etiquette and inclusive and respectful language</w:t>
                      </w:r>
                      <w:r w:rsidR="00BD735E" w:rsidRPr="00820B09">
                        <w:rPr>
                          <w:rFonts w:asciiTheme="majorHAnsi" w:hAnsiTheme="majorHAnsi"/>
                          <w:sz w:val="20"/>
                          <w:szCs w:val="20"/>
                        </w:rPr>
                        <w:t xml:space="preserve"> for communications</w:t>
                      </w:r>
                      <w:r w:rsidR="00382D6B" w:rsidRPr="00820B09">
                        <w:rPr>
                          <w:rFonts w:asciiTheme="majorHAnsi" w:hAnsiTheme="majorHAnsi"/>
                          <w:sz w:val="20"/>
                          <w:szCs w:val="20"/>
                        </w:rPr>
                        <w:t xml:space="preserve"> with persons with disabilities. </w:t>
                      </w:r>
                      <w:r w:rsidR="00BD735E" w:rsidRPr="00820B09">
                        <w:rPr>
                          <w:rFonts w:asciiTheme="majorHAnsi" w:hAnsiTheme="majorHAnsi"/>
                          <w:sz w:val="20"/>
                          <w:szCs w:val="20"/>
                        </w:rPr>
                        <w:t xml:space="preserve"> </w:t>
                      </w:r>
                      <w:r w:rsidR="002851FB" w:rsidRPr="00820B09">
                        <w:rPr>
                          <w:rFonts w:asciiTheme="majorHAnsi" w:hAnsiTheme="majorHAnsi"/>
                          <w:sz w:val="20"/>
                          <w:szCs w:val="20"/>
                        </w:rPr>
                        <w:t xml:space="preserve">  </w:t>
                      </w:r>
                      <w:r w:rsidR="00B01BBE" w:rsidRPr="00820B09">
                        <w:rPr>
                          <w:rFonts w:asciiTheme="majorHAnsi" w:hAnsiTheme="majorHAnsi"/>
                          <w:sz w:val="20"/>
                          <w:szCs w:val="20"/>
                        </w:rPr>
                        <w:t xml:space="preserve">  </w:t>
                      </w:r>
                      <w:bookmarkEnd w:id="71"/>
                      <w:bookmarkEnd w:id="72"/>
                    </w:p>
                  </w:txbxContent>
                </v:textbox>
                <w10:wrap type="square"/>
              </v:shape>
            </w:pict>
          </mc:Fallback>
        </mc:AlternateContent>
      </w:r>
    </w:p>
    <w:p w14:paraId="08570A85" w14:textId="77777777" w:rsidR="001B350F" w:rsidRPr="00A608EE" w:rsidRDefault="001B350F" w:rsidP="001B350F">
      <w:pPr>
        <w:pStyle w:val="NormalWeb"/>
        <w:spacing w:before="0" w:beforeAutospacing="0" w:after="0" w:afterAutospacing="0"/>
        <w:jc w:val="both"/>
        <w:rPr>
          <w:rFonts w:asciiTheme="majorHAnsi" w:hAnsiTheme="majorHAnsi"/>
          <w:sz w:val="20"/>
          <w:szCs w:val="20"/>
        </w:rPr>
      </w:pPr>
    </w:p>
    <w:p w14:paraId="3D580B9B"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4.B.1.4.1</w:t>
      </w:r>
    </w:p>
    <w:p w14:paraId="75C21637"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should make the main characteristics of its products (e.g., term, minimum and maximum amount, price, product purpose, terms etc.) of its products available to the public so that potential clients can make informed decisions about whether or not to buy the product. Prices should be published in the public domain (e.g., branch poster, website, agent’s shop etc.).</w:t>
      </w:r>
    </w:p>
    <w:p w14:paraId="7CA9946E"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p>
    <w:p w14:paraId="31DB452D"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clients must receive the information before they sign the contract and have as much time as desired to review the information prior to signing the contract.</w:t>
      </w:r>
      <w:r w:rsidRPr="00A608EE">
        <w:rPr>
          <w:rFonts w:asciiTheme="majorHAnsi" w:hAnsiTheme="majorHAnsi"/>
          <w:sz w:val="20"/>
          <w:szCs w:val="20"/>
        </w:rPr>
        <w:br/>
        <w:t>Ideally, the client decides when to approach the provider to proceed with the process of committing to a product after having had enough time of at least 24 hours to review the information and consult with any trusted advisor(s).</w:t>
      </w:r>
    </w:p>
    <w:p w14:paraId="5697260A"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p>
    <w:p w14:paraId="43F9994D"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Other forms of communication include radio and television advertisements, SMS messages, in App notifications, product descriptions, and illustrative examples of calculation on the provider’s website or mobile App, if applicable. This information should be published in all the places where clients go to receive information about the products on offer, for example if the FSP has branches, agents, and an App it should offer this information in all of those places. If the FSP does not have one or more of those venues for its clients e.g., fintechs that only have digital operations, then the provider should offer the information through the channel it uses to communicate with its clients, such as the App. For example, the information on the provider’s website is not a client facing channel, if only 5% of the country’s population has access to the internet. Likewise, if the App contains very clear and detailed information but it is not a sufficient disclosure, if only 3% of the clients have downloaded it.  </w:t>
      </w:r>
    </w:p>
    <w:p w14:paraId="7E20C04F" w14:textId="77777777" w:rsidR="0017566C" w:rsidRPr="00A608EE" w:rsidRDefault="0017566C" w:rsidP="00EE208A">
      <w:pPr>
        <w:pStyle w:val="NormalWeb"/>
        <w:spacing w:before="0" w:beforeAutospacing="0" w:after="0" w:afterAutospacing="0"/>
        <w:jc w:val="both"/>
        <w:rPr>
          <w:rFonts w:asciiTheme="majorHAnsi" w:hAnsiTheme="majorHAnsi"/>
          <w:sz w:val="20"/>
          <w:szCs w:val="20"/>
          <w:u w:val="single"/>
        </w:rPr>
      </w:pPr>
    </w:p>
    <w:p w14:paraId="597B0386" w14:textId="7F9B267F"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4.B.1.4.2</w:t>
      </w:r>
    </w:p>
    <w:p w14:paraId="5F4322BD"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For loans, information should be disclosed using either APR or EIR. For example, it is not sufficient if the brochure indicates a loan price of 2% per month without listing the APR. In addition to quoting the interest rate in APR or EIR, it is useful for clients to see the interest rate in the form most often used in your market (e.g., flat rates in MENA, CAT in Mexico, TCEA in Peru, TEAC in Bolivia, etc.). Pricing data must be regularly updated in all public communication channels and materials.</w:t>
      </w:r>
    </w:p>
    <w:p w14:paraId="14E95647" w14:textId="77777777" w:rsidR="0017566C" w:rsidRPr="00A608EE" w:rsidRDefault="0017566C" w:rsidP="00EE208A">
      <w:pPr>
        <w:pStyle w:val="NormalWeb"/>
        <w:spacing w:before="0" w:beforeAutospacing="0" w:after="0" w:afterAutospacing="0"/>
        <w:jc w:val="both"/>
        <w:rPr>
          <w:rFonts w:asciiTheme="majorHAnsi" w:hAnsiTheme="majorHAnsi"/>
          <w:sz w:val="20"/>
          <w:szCs w:val="20"/>
          <w:u w:val="single"/>
        </w:rPr>
      </w:pPr>
    </w:p>
    <w:p w14:paraId="2D989E8D" w14:textId="497E7F60"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4.B.1.4.3</w:t>
      </w:r>
    </w:p>
    <w:p w14:paraId="530764A8"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If the country is very linguistically diverse (e.g., India, Guatemala, Kenya), the provider should address linguistic diversity in a pro-client way such as by hiring loan officers that speak the local languages of the clients and can explain the official documents in those languages. The provider may also offer recordings of an explanation of the loan terms or Key Facts Document in various local languages and post those recordings in places accessible to the clients e.g., on TV screens in the branches or through the provider’s App etc. Sometimes, local written languages may be complex, compared to the usual way it is spoken. The internal audit team should ensure with its loan officers or with some clients that the way the contract is written is simple, even in local language.</w:t>
      </w:r>
    </w:p>
    <w:p w14:paraId="4E3E7DA8"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p>
    <w:p w14:paraId="5DAD6E46" w14:textId="7EC10735"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should have clear and specified procedures for treating low educated clients or clients with difficulties to understand (e.g. migrants) and employees should receive a training on how to communicate contract terms and conditions with all client segments.</w:t>
      </w:r>
      <w:r w:rsidRPr="00A608EE">
        <w:rPr>
          <w:rFonts w:asciiTheme="majorHAnsi" w:hAnsiTheme="majorHAnsi"/>
          <w:sz w:val="20"/>
          <w:szCs w:val="20"/>
        </w:rPr>
        <w:br/>
        <w:t>It should use the simplest language possible to convey the product information to the clients by considering their low levels of literacy and financial literacy. Clients should always have an option to receive oral product explanations in case they are illiterate, such as a hotline, a customer representative at the branch, their loan officer, or a video recording.</w:t>
      </w:r>
    </w:p>
    <w:p w14:paraId="429BB056" w14:textId="77777777" w:rsidR="0017566C" w:rsidRPr="00A608EE" w:rsidRDefault="0017566C" w:rsidP="00EE208A">
      <w:pPr>
        <w:pStyle w:val="NormalWeb"/>
        <w:spacing w:before="0" w:beforeAutospacing="0" w:after="0" w:afterAutospacing="0"/>
        <w:jc w:val="both"/>
        <w:rPr>
          <w:rFonts w:asciiTheme="majorHAnsi" w:hAnsiTheme="majorHAnsi"/>
          <w:sz w:val="20"/>
          <w:szCs w:val="20"/>
          <w:u w:val="single"/>
        </w:rPr>
      </w:pPr>
    </w:p>
    <w:p w14:paraId="616C6D30" w14:textId="569F9172"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4.B.1.4.4</w:t>
      </w:r>
    </w:p>
    <w:p w14:paraId="17A5AAA6"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information made available to the public should be useful for client decision-making. Advertisements should not be misleading, but accurately present product terms and conditions.</w:t>
      </w:r>
    </w:p>
    <w:p w14:paraId="4F94139B"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p>
    <w:p w14:paraId="49905E79" w14:textId="69C898A0" w:rsidR="0017566C" w:rsidRPr="00A608EE" w:rsidRDefault="0017566C"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lastRenderedPageBreak/>
        <w:t>Scoring guidance</w:t>
      </w:r>
    </w:p>
    <w:p w14:paraId="42851C54"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4.B.1.4.1</w:t>
      </w:r>
    </w:p>
    <w:p w14:paraId="079C8A3A" w14:textId="77777777" w:rsidR="0017566C" w:rsidRPr="00A608EE" w:rsidRDefault="0017566C" w:rsidP="00A27AAA">
      <w:pPr>
        <w:pStyle w:val="NormalWeb"/>
        <w:numPr>
          <w:ilvl w:val="0"/>
          <w:numId w:val="23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offers basic product information that is (1) clear and sufficient (covering all aspects listed in 4.B.1.1 and 4.B.1.2), accurate, and up-to-date, and (2) delivered through multiple channels (at branch and agent locations and/or digitally) to support informed decision-making by clients before they sign contracts.  </w:t>
      </w:r>
    </w:p>
    <w:p w14:paraId="1B6F8008" w14:textId="77777777" w:rsidR="0017566C" w:rsidRPr="00A608EE" w:rsidRDefault="0017566C" w:rsidP="00A27AAA">
      <w:pPr>
        <w:pStyle w:val="NormalWeb"/>
        <w:numPr>
          <w:ilvl w:val="0"/>
          <w:numId w:val="23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first requirement is not fully met or only one communication channel is used. For instance, product information is insufficient not covering all aspects in 4.B.1.1 and 4.B.1.2 or product information is not clear or product information is not updated regularly.</w:t>
      </w:r>
    </w:p>
    <w:p w14:paraId="1F8F65C9" w14:textId="77777777" w:rsidR="0017566C" w:rsidRPr="00A608EE" w:rsidRDefault="0017566C" w:rsidP="00A27AAA">
      <w:pPr>
        <w:pStyle w:val="NormalWeb"/>
        <w:numPr>
          <w:ilvl w:val="0"/>
          <w:numId w:val="23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first requirement is largely not met (e.g. product information is neither sufficient nor accurate or clear) or product information is contradictory on different communication channels.</w:t>
      </w:r>
    </w:p>
    <w:p w14:paraId="6F7B23DB" w14:textId="77777777" w:rsidR="0017566C" w:rsidRPr="00A608EE" w:rsidRDefault="0017566C" w:rsidP="00EE208A">
      <w:pPr>
        <w:pStyle w:val="NormalWeb"/>
        <w:spacing w:before="0" w:beforeAutospacing="0" w:after="0" w:afterAutospacing="0"/>
        <w:jc w:val="both"/>
        <w:rPr>
          <w:rFonts w:asciiTheme="majorHAnsi" w:hAnsiTheme="majorHAnsi"/>
          <w:sz w:val="20"/>
          <w:szCs w:val="20"/>
          <w:u w:val="single"/>
        </w:rPr>
      </w:pPr>
    </w:p>
    <w:p w14:paraId="5B40904F" w14:textId="4E67642E"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4.B.1.4.2</w:t>
      </w:r>
    </w:p>
    <w:p w14:paraId="56ECFAB1" w14:textId="77777777" w:rsidR="0017566C" w:rsidRPr="00A608EE" w:rsidRDefault="0017566C" w:rsidP="00A27AAA">
      <w:pPr>
        <w:pStyle w:val="NormalWeb"/>
        <w:numPr>
          <w:ilvl w:val="0"/>
          <w:numId w:val="23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discloses clearly either APR or EIR in its Key Facts Document and/or the loan contract for all loan products.</w:t>
      </w:r>
    </w:p>
    <w:p w14:paraId="5C5A49E4" w14:textId="77777777" w:rsidR="0017566C" w:rsidRPr="00A608EE" w:rsidRDefault="0017566C" w:rsidP="00A27AAA">
      <w:pPr>
        <w:pStyle w:val="NormalWeb"/>
        <w:numPr>
          <w:ilvl w:val="0"/>
          <w:numId w:val="23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APR or EIR is not disclosed for all loan products in the contract or Key Facts Document.</w:t>
      </w:r>
    </w:p>
    <w:p w14:paraId="0ED197C2" w14:textId="77777777" w:rsidR="0017566C" w:rsidRPr="00A608EE" w:rsidRDefault="0017566C" w:rsidP="00A27AAA">
      <w:pPr>
        <w:pStyle w:val="NormalWeb"/>
        <w:numPr>
          <w:ilvl w:val="0"/>
          <w:numId w:val="23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APR or EIR is not disclosed in any loan contract or Key Facts Document.</w:t>
      </w:r>
    </w:p>
    <w:p w14:paraId="53E4C366" w14:textId="77777777" w:rsidR="0017566C" w:rsidRPr="00A608EE" w:rsidRDefault="0017566C" w:rsidP="00EE208A">
      <w:pPr>
        <w:pStyle w:val="NormalWeb"/>
        <w:spacing w:before="0" w:beforeAutospacing="0" w:after="0" w:afterAutospacing="0"/>
        <w:jc w:val="both"/>
        <w:rPr>
          <w:rFonts w:asciiTheme="majorHAnsi" w:hAnsiTheme="majorHAnsi"/>
          <w:sz w:val="20"/>
          <w:szCs w:val="20"/>
          <w:u w:val="single"/>
        </w:rPr>
      </w:pPr>
    </w:p>
    <w:p w14:paraId="19B79E7B" w14:textId="621B7F05"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4.B.1.4.3</w:t>
      </w:r>
    </w:p>
    <w:p w14:paraId="3447A695" w14:textId="77777777" w:rsidR="0017566C" w:rsidRPr="00A608EE" w:rsidRDefault="0017566C" w:rsidP="00A27AAA">
      <w:pPr>
        <w:pStyle w:val="NormalWeb"/>
        <w:numPr>
          <w:ilvl w:val="0"/>
          <w:numId w:val="23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has integrated in its communication (1) simple language for all communication, contracts, and Key Facts Documents, (2) local languages, when applicable, and (3) oral language, when required.</w:t>
      </w:r>
    </w:p>
    <w:p w14:paraId="3BCE6A10" w14:textId="77777777" w:rsidR="0017566C" w:rsidRPr="00A608EE" w:rsidRDefault="0017566C" w:rsidP="00A27AAA">
      <w:pPr>
        <w:pStyle w:val="NormalWeb"/>
        <w:numPr>
          <w:ilvl w:val="0"/>
          <w:numId w:val="23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second or third requirement is missing or the three requirements are only partly met. For instance, contracts and/or Key Facts Documents are in complex language difficult to understand for clients.</w:t>
      </w:r>
    </w:p>
    <w:p w14:paraId="78C7A9AC" w14:textId="77777777" w:rsidR="0017566C" w:rsidRPr="00A608EE" w:rsidRDefault="0017566C" w:rsidP="00A27AAA">
      <w:pPr>
        <w:pStyle w:val="NormalWeb"/>
        <w:numPr>
          <w:ilvl w:val="0"/>
          <w:numId w:val="23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first requirement is largely missed.</w:t>
      </w:r>
    </w:p>
    <w:p w14:paraId="61CDEEF0" w14:textId="77777777" w:rsidR="0017566C" w:rsidRPr="00A608EE" w:rsidRDefault="0017566C" w:rsidP="00EE208A">
      <w:pPr>
        <w:pStyle w:val="NormalWeb"/>
        <w:spacing w:before="0" w:beforeAutospacing="0" w:after="0" w:afterAutospacing="0"/>
        <w:jc w:val="both"/>
        <w:rPr>
          <w:rFonts w:asciiTheme="majorHAnsi" w:hAnsiTheme="majorHAnsi"/>
          <w:sz w:val="20"/>
          <w:szCs w:val="20"/>
          <w:u w:val="single"/>
        </w:rPr>
      </w:pPr>
    </w:p>
    <w:p w14:paraId="1EC51EBA" w14:textId="0A28FF11" w:rsidR="0017566C" w:rsidRPr="00A608EE" w:rsidRDefault="0017566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4.B.1.4.4</w:t>
      </w:r>
    </w:p>
    <w:p w14:paraId="0B388723" w14:textId="77777777" w:rsidR="0017566C" w:rsidRPr="00A608EE" w:rsidRDefault="0017566C" w:rsidP="00A27AAA">
      <w:pPr>
        <w:pStyle w:val="NormalWeb"/>
        <w:numPr>
          <w:ilvl w:val="0"/>
          <w:numId w:val="23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none of the marketing materials has proven to be misleading or deceptive for clients.</w:t>
      </w:r>
    </w:p>
    <w:p w14:paraId="12A4FAB9" w14:textId="77777777" w:rsidR="0017566C" w:rsidRPr="00A608EE" w:rsidRDefault="0017566C" w:rsidP="00A27AAA">
      <w:pPr>
        <w:pStyle w:val="NormalWeb"/>
        <w:numPr>
          <w:ilvl w:val="0"/>
          <w:numId w:val="23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few marketing materials can be found to confuse clients.</w:t>
      </w:r>
    </w:p>
    <w:p w14:paraId="5E3336BD" w14:textId="77777777" w:rsidR="0017566C" w:rsidRPr="00A608EE" w:rsidRDefault="0017566C" w:rsidP="00A27AAA">
      <w:pPr>
        <w:pStyle w:val="NormalWeb"/>
        <w:numPr>
          <w:ilvl w:val="0"/>
          <w:numId w:val="23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some marketing materials can be found to deceive or mislead clients.</w:t>
      </w:r>
    </w:p>
    <w:p w14:paraId="2385A311"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p>
    <w:p w14:paraId="6DC7DEF4" w14:textId="34545D22" w:rsidR="0017566C" w:rsidRPr="00A608EE" w:rsidRDefault="0017566C"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27C11EDE"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Branch/field observations: observe/listen loan disbursement meetings; review any welcome kit materials that may be provided to clients in the moment of disbursement; visit agents or POS, if applicable. Additionally, listen to how branch staff and loan officers talk to clients and answer their questions to ensure that the oral communications also meet these criteria.</w:t>
      </w:r>
    </w:p>
    <w:p w14:paraId="36C9F79A"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field staff on how most clients receive their product information and check all the places to verify that in fact it is publicly available, in an appropriate language, and sufficiently complete and up-to-date to be useful.</w:t>
      </w:r>
    </w:p>
    <w:p w14:paraId="7D2C9753"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random sample of clients.</w:t>
      </w:r>
    </w:p>
    <w:p w14:paraId="32B636D3"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All publicly available product descriptions: brochures, flyers, banners in the branches, website of the provider, accounts on social media.</w:t>
      </w:r>
    </w:p>
    <w:p w14:paraId="1362173E"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Review of product application form, contract, the main product brochures, the Key Facts Document, the mobile app, the website, etc.  </w:t>
      </w:r>
    </w:p>
    <w:p w14:paraId="35227027"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procedures for treating illiterate clients and the training that employees receive in this regard.</w:t>
      </w:r>
    </w:p>
    <w:p w14:paraId="05355EB7"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Training materials (refer to 5.C.2.2.3) that describe how field staff should disclose product information to clients, any policy on transparency that may be included in the credit manual or another manual, potentially a documented process for communicating pertinent information to clients.</w:t>
      </w:r>
    </w:p>
    <w:p w14:paraId="6B7F3E16" w14:textId="77777777" w:rsidR="0017566C" w:rsidRPr="00A608EE" w:rsidRDefault="0017566C" w:rsidP="00A27AAA">
      <w:pPr>
        <w:pStyle w:val="NormalWeb"/>
        <w:numPr>
          <w:ilvl w:val="0"/>
          <w:numId w:val="2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If the provider uses digital communication channels (e.g. website or App), request information on what percentage of the clients have access to those digital channels.</w:t>
      </w:r>
    </w:p>
    <w:p w14:paraId="5F05828D"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p>
    <w:p w14:paraId="0B7DC742" w14:textId="58CD821D" w:rsidR="0017566C" w:rsidRPr="00A608EE" w:rsidRDefault="0017566C"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7351ECCA" w14:textId="77777777" w:rsidR="0017566C" w:rsidRPr="00A608EE" w:rsidRDefault="0017566C" w:rsidP="00A27AAA">
      <w:pPr>
        <w:pStyle w:val="NormalWeb"/>
        <w:numPr>
          <w:ilvl w:val="0"/>
          <w:numId w:val="23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What type of information is provided and when is it provided, and if the information provided meets the criteria of being clear, sufficient, accurate and timely.</w:t>
      </w:r>
    </w:p>
    <w:p w14:paraId="28F5FBF8" w14:textId="77777777" w:rsidR="0017566C" w:rsidRPr="00A608EE" w:rsidRDefault="0017566C" w:rsidP="00A27AAA">
      <w:pPr>
        <w:pStyle w:val="NormalWeb"/>
        <w:numPr>
          <w:ilvl w:val="0"/>
          <w:numId w:val="23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Demonstration that price information is publicly available and accessible to clients, and up-to-date.</w:t>
      </w:r>
    </w:p>
    <w:p w14:paraId="7FD012DC" w14:textId="77777777" w:rsidR="0017566C" w:rsidRPr="00A608EE" w:rsidRDefault="0017566C" w:rsidP="00A27AAA">
      <w:pPr>
        <w:pStyle w:val="NormalWeb"/>
        <w:numPr>
          <w:ilvl w:val="0"/>
          <w:numId w:val="23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Description of which pricing information is included and in which documents.  </w:t>
      </w:r>
    </w:p>
    <w:p w14:paraId="6C7083D8" w14:textId="77777777" w:rsidR="0017566C" w:rsidRPr="00A608EE" w:rsidRDefault="0017566C" w:rsidP="00A27AAA">
      <w:pPr>
        <w:pStyle w:val="NormalWeb"/>
        <w:numPr>
          <w:ilvl w:val="0"/>
          <w:numId w:val="23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description of the channels of communication that the clients can use to receive an oral explanation about the products on offer.</w:t>
      </w:r>
    </w:p>
    <w:p w14:paraId="2F23F3E3" w14:textId="77777777" w:rsidR="0017566C" w:rsidRPr="00A608EE" w:rsidRDefault="0017566C" w:rsidP="00EE208A">
      <w:pPr>
        <w:pStyle w:val="NormalWeb"/>
        <w:spacing w:before="0" w:beforeAutospacing="0" w:after="0" w:afterAutospacing="0"/>
        <w:jc w:val="both"/>
        <w:rPr>
          <w:rFonts w:asciiTheme="majorHAnsi" w:hAnsiTheme="majorHAnsi"/>
          <w:sz w:val="20"/>
          <w:szCs w:val="20"/>
        </w:rPr>
      </w:pPr>
    </w:p>
    <w:p w14:paraId="51F9F125" w14:textId="11501592" w:rsidR="0017566C" w:rsidRPr="00A608EE" w:rsidRDefault="0017566C"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4.B.1.4.</w:t>
      </w:r>
    </w:p>
    <w:p w14:paraId="691E59C7" w14:textId="77777777" w:rsidR="0017566C" w:rsidRPr="00A608EE" w:rsidRDefault="0017566C" w:rsidP="00A27AAA">
      <w:pPr>
        <w:pStyle w:val="NormalWeb"/>
        <w:numPr>
          <w:ilvl w:val="0"/>
          <w:numId w:val="23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Uganda regulatory Key Facts document</w:t>
      </w:r>
    </w:p>
    <w:p w14:paraId="4C6725C6" w14:textId="77777777" w:rsidR="0017566C" w:rsidRPr="00A608EE" w:rsidRDefault="0017566C" w:rsidP="00A27AAA">
      <w:pPr>
        <w:pStyle w:val="NormalWeb"/>
        <w:numPr>
          <w:ilvl w:val="0"/>
          <w:numId w:val="23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Egyptian regulatory Key Facts document</w:t>
      </w:r>
    </w:p>
    <w:p w14:paraId="36008DD7" w14:textId="69F52335" w:rsidR="7C16D02A" w:rsidRPr="00A608EE" w:rsidRDefault="7C16D02A" w:rsidP="00A27AAA">
      <w:pPr>
        <w:numPr>
          <w:ilvl w:val="0"/>
          <w:numId w:val="18"/>
        </w:numPr>
        <w:jc w:val="both"/>
        <w:rPr>
          <w:sz w:val="20"/>
          <w:szCs w:val="20"/>
        </w:rPr>
      </w:pPr>
      <w:hyperlink r:id="rId208">
        <w:r w:rsidRPr="00A608EE">
          <w:rPr>
            <w:rStyle w:val="Hyperlink"/>
            <w:rFonts w:ascii="Work Sans" w:eastAsia="Work Sans" w:hAnsi="Work Sans" w:cs="Work Sans"/>
            <w:sz w:val="20"/>
            <w:szCs w:val="20"/>
          </w:rPr>
          <w:t>Key Facts Document Workshop and Example</w:t>
        </w:r>
      </w:hyperlink>
    </w:p>
    <w:p w14:paraId="63FD472B" w14:textId="69DC1204" w:rsidR="00C94DC4" w:rsidRPr="00A608EE" w:rsidRDefault="00C94DC4" w:rsidP="00A27AAA">
      <w:pPr>
        <w:numPr>
          <w:ilvl w:val="0"/>
          <w:numId w:val="18"/>
        </w:numPr>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209" w:history="1">
        <w:r w:rsidRPr="00A608EE">
          <w:rPr>
            <w:rStyle w:val="Hyperlink"/>
            <w:rFonts w:asciiTheme="majorHAnsi" w:hAnsiTheme="majorHAnsi"/>
            <w:sz w:val="20"/>
            <w:szCs w:val="20"/>
          </w:rPr>
          <w:t>EU Bridging the Gap: Inclusive and accessible communication guidelines includes practical tips for communicating with persons with different types of impairments, and producing information in accessible formats</w:t>
        </w:r>
      </w:hyperlink>
      <w:r w:rsidRPr="00A608EE">
        <w:rPr>
          <w:rFonts w:asciiTheme="majorHAnsi" w:hAnsiTheme="majorHAnsi"/>
          <w:sz w:val="20"/>
          <w:szCs w:val="20"/>
        </w:rPr>
        <w:t xml:space="preserve"> </w:t>
      </w:r>
    </w:p>
    <w:p w14:paraId="778ADFAD" w14:textId="74D65BBB" w:rsidR="00C94DC4" w:rsidRPr="00A608EE" w:rsidRDefault="00C94DC4" w:rsidP="00A27AAA">
      <w:pPr>
        <w:numPr>
          <w:ilvl w:val="0"/>
          <w:numId w:val="18"/>
        </w:numPr>
        <w:jc w:val="both"/>
        <w:rPr>
          <w:rFonts w:asciiTheme="majorHAnsi" w:hAnsiTheme="majorHAnsi"/>
          <w:sz w:val="20"/>
          <w:szCs w:val="20"/>
        </w:rPr>
      </w:pPr>
      <w:r w:rsidRPr="00A608EE">
        <w:rPr>
          <w:rFonts w:asciiTheme="majorHAnsi" w:hAnsiTheme="majorHAnsi"/>
          <w:b/>
          <w:bCs/>
          <w:sz w:val="20"/>
          <w:szCs w:val="20"/>
        </w:rPr>
        <w:t>[DI Focus]:</w:t>
      </w:r>
      <w:r w:rsidRPr="00A608EE">
        <w:rPr>
          <w:rFonts w:asciiTheme="majorHAnsi" w:hAnsiTheme="majorHAnsi"/>
          <w:sz w:val="20"/>
          <w:szCs w:val="20"/>
        </w:rPr>
        <w:t xml:space="preserve"> </w:t>
      </w:r>
      <w:hyperlink r:id="rId210" w:history="1">
        <w:r w:rsidRPr="00A608EE">
          <w:rPr>
            <w:rStyle w:val="Hyperlink"/>
            <w:rFonts w:asciiTheme="majorHAnsi" w:hAnsiTheme="majorHAnsi"/>
            <w:sz w:val="20"/>
            <w:szCs w:val="20"/>
          </w:rPr>
          <w:t>UN Disability-Inclusive Communications Guidelines includes guidance and checklists for accessible information in physical and digital formats</w:t>
        </w:r>
      </w:hyperlink>
    </w:p>
    <w:p w14:paraId="528E2BD2" w14:textId="77777777" w:rsidR="00191C3E" w:rsidRPr="00A608EE" w:rsidRDefault="00ED1E6A" w:rsidP="00A27AAA">
      <w:pPr>
        <w:pStyle w:val="ListParagraph"/>
        <w:numPr>
          <w:ilvl w:val="0"/>
          <w:numId w:val="18"/>
        </w:numPr>
        <w:rPr>
          <w:rFonts w:asciiTheme="majorHAnsi" w:hAnsiTheme="majorHAnsi"/>
          <w:b/>
          <w:bCs/>
          <w:szCs w:val="20"/>
        </w:rPr>
      </w:pPr>
      <w:r w:rsidRPr="00A608EE">
        <w:rPr>
          <w:rFonts w:asciiTheme="majorHAnsi" w:hAnsiTheme="majorHAnsi"/>
          <w:b/>
          <w:bCs/>
          <w:szCs w:val="20"/>
        </w:rPr>
        <w:t>[DI Focus]:</w:t>
      </w:r>
      <w:r w:rsidR="00191C3E" w:rsidRPr="00A608EE">
        <w:rPr>
          <w:rFonts w:asciiTheme="majorHAnsi" w:hAnsiTheme="majorHAnsi"/>
          <w:b/>
          <w:bCs/>
          <w:szCs w:val="20"/>
        </w:rPr>
        <w:t xml:space="preserve"> </w:t>
      </w:r>
      <w:hyperlink r:id="rId211" w:history="1">
        <w:r w:rsidR="00191C3E" w:rsidRPr="00A608EE">
          <w:rPr>
            <w:rStyle w:val="Hyperlink"/>
            <w:rFonts w:asciiTheme="majorHAnsi" w:hAnsiTheme="majorHAnsi"/>
            <w:szCs w:val="20"/>
          </w:rPr>
          <w:t>Light for the World (LFTW) Resource book on disability inclusion: Includes guidance and tips on communicating with persons with different types on impairments and creating accessible documents and online content (pages 52-64)</w:t>
        </w:r>
        <w:r w:rsidR="00191C3E" w:rsidRPr="00A608EE">
          <w:rPr>
            <w:rStyle w:val="Hyperlink"/>
            <w:rFonts w:asciiTheme="majorHAnsi" w:hAnsiTheme="majorHAnsi"/>
            <w:b/>
            <w:bCs/>
            <w:szCs w:val="20"/>
          </w:rPr>
          <w:t xml:space="preserve"> </w:t>
        </w:r>
      </w:hyperlink>
    </w:p>
    <w:p w14:paraId="5586834E" w14:textId="59A2B888" w:rsidR="005C1D3D" w:rsidRPr="00A608EE" w:rsidRDefault="00ED1E6A" w:rsidP="00191C3E">
      <w:pPr>
        <w:ind w:left="360"/>
        <w:rPr>
          <w:rFonts w:asciiTheme="majorHAnsi" w:hAnsiTheme="majorHAnsi"/>
          <w:b/>
          <w:bCs/>
          <w:szCs w:val="20"/>
        </w:rPr>
      </w:pPr>
      <w:r w:rsidRPr="00A608EE">
        <w:rPr>
          <w:rFonts w:asciiTheme="majorHAnsi" w:hAnsiTheme="majorHAnsi"/>
          <w:szCs w:val="20"/>
        </w:rPr>
        <w:t xml:space="preserve"> </w:t>
      </w:r>
    </w:p>
    <w:p w14:paraId="5D27F0AC" w14:textId="20A0A3B1" w:rsidR="003B13B2" w:rsidRPr="00A608EE" w:rsidRDefault="003B13B2" w:rsidP="00EE208A">
      <w:pPr>
        <w:pStyle w:val="Heading4"/>
        <w:spacing w:before="0" w:line="240" w:lineRule="auto"/>
        <w:jc w:val="both"/>
      </w:pPr>
      <w:r w:rsidRPr="00A608EE">
        <w:rPr>
          <w:rStyle w:val="text-primary"/>
        </w:rPr>
        <w:t>4.B.1.5</w:t>
      </w:r>
      <w:r w:rsidRPr="00A608EE">
        <w:t xml:space="preserve"> </w:t>
      </w:r>
      <w:r w:rsidR="00F30D85" w:rsidRPr="00A608EE">
        <w:t>If the provider uses agents, it verifies that they provide to clients sufficient documentation of their fees, terms of service, and cancellation conditions</w:t>
      </w:r>
      <w:r w:rsidR="00CE5E75" w:rsidRPr="00A608EE">
        <w:t>.</w:t>
      </w:r>
    </w:p>
    <w:p w14:paraId="0CCB0682" w14:textId="77777777" w:rsidR="003B13B2" w:rsidRPr="00A608EE" w:rsidRDefault="003B13B2" w:rsidP="00EE208A">
      <w:pPr>
        <w:jc w:val="both"/>
        <w:rPr>
          <w:rFonts w:asciiTheme="majorHAnsi" w:hAnsiTheme="majorHAnsi"/>
          <w:szCs w:val="20"/>
        </w:rPr>
      </w:pPr>
    </w:p>
    <w:p w14:paraId="1DF240DB" w14:textId="292500CA" w:rsidR="00F14A48" w:rsidRPr="00A608EE" w:rsidRDefault="004F5FC3"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F14A48" w:rsidRPr="00A608EE">
        <w:rPr>
          <w:rFonts w:asciiTheme="majorHAnsi" w:hAnsiTheme="majorHAnsi" w:cstheme="majorHAnsi"/>
          <w:b/>
          <w:bCs/>
          <w:color w:val="2145CC" w:themeColor="accent5" w:themeShade="BF"/>
          <w:sz w:val="20"/>
          <w:szCs w:val="20"/>
        </w:rPr>
        <w:t>SPI5 Full | CP Full –</w:t>
      </w:r>
      <w:r w:rsidR="00615EE5" w:rsidRPr="00A608EE">
        <w:rPr>
          <w:rFonts w:asciiTheme="majorHAnsi" w:hAnsiTheme="majorHAnsi" w:cstheme="majorHAnsi"/>
          <w:b/>
          <w:bCs/>
          <w:color w:val="2145CC" w:themeColor="accent5" w:themeShade="BF"/>
          <w:sz w:val="20"/>
          <w:szCs w:val="20"/>
        </w:rPr>
        <w:t xml:space="preserve"> </w:t>
      </w:r>
      <w:r w:rsidR="00F14A48" w:rsidRPr="00A608EE">
        <w:rPr>
          <w:rFonts w:asciiTheme="majorHAnsi" w:hAnsiTheme="majorHAnsi" w:cstheme="majorHAnsi"/>
          <w:b/>
          <w:bCs/>
          <w:color w:val="2145CC" w:themeColor="accent5" w:themeShade="BF"/>
          <w:sz w:val="20"/>
          <w:szCs w:val="20"/>
        </w:rPr>
        <w:t>Advanced CP</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36BA1A00" w14:textId="02D15684" w:rsidR="00F14A48" w:rsidRPr="00A608EE" w:rsidRDefault="001B421E"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4E23D9A0" w14:textId="5E31E70A" w:rsidR="001B421E" w:rsidRPr="00A608EE" w:rsidRDefault="00F30D85" w:rsidP="00EE208A">
      <w:pPr>
        <w:jc w:val="both"/>
        <w:rPr>
          <w:rFonts w:asciiTheme="majorHAnsi" w:hAnsiTheme="majorHAnsi"/>
          <w:sz w:val="20"/>
          <w:szCs w:val="20"/>
          <w:lang w:eastAsia="fr-FR"/>
        </w:rPr>
      </w:pPr>
      <w:r w:rsidRPr="00A608EE">
        <w:rPr>
          <w:rFonts w:asciiTheme="majorHAnsi" w:hAnsiTheme="majorHAnsi"/>
          <w:sz w:val="20"/>
          <w:szCs w:val="20"/>
          <w:lang w:eastAsia="fr-FR"/>
        </w:rPr>
        <w:t>When agents are the only representatives of the provider to interact with the clients, and especially if the agents conduct sales for the provider’s products, the agents must provide the clients with the same level of product information and transparency they would receive from the provider itself. Customer Service or Internal Audit should have a process to monitor periodically the quality of the services provided by its agents.</w:t>
      </w:r>
    </w:p>
    <w:p w14:paraId="38C8A445" w14:textId="77777777" w:rsidR="00672763" w:rsidRPr="00A608EE" w:rsidRDefault="00672763" w:rsidP="00EE208A">
      <w:pPr>
        <w:jc w:val="both"/>
        <w:rPr>
          <w:rFonts w:asciiTheme="majorHAnsi" w:hAnsiTheme="majorHAnsi"/>
          <w:sz w:val="20"/>
          <w:szCs w:val="20"/>
          <w:lang w:eastAsia="fr-FR"/>
        </w:rPr>
      </w:pPr>
    </w:p>
    <w:p w14:paraId="69320E81"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60992" behindDoc="1" locked="0" layoutInCell="1" allowOverlap="1" wp14:anchorId="406354E3" wp14:editId="2CAB5046">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54913170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73BB0815" w14:textId="77777777" w:rsidR="00672763" w:rsidRPr="00A608EE" w:rsidRDefault="00672763" w:rsidP="00EE208A">
      <w:pPr>
        <w:jc w:val="both"/>
        <w:rPr>
          <w:rFonts w:asciiTheme="majorHAnsi" w:hAnsiTheme="majorHAnsi"/>
          <w:sz w:val="20"/>
          <w:szCs w:val="20"/>
          <w:lang w:eastAsia="fr-FR"/>
        </w:rPr>
      </w:pPr>
    </w:p>
    <w:p w14:paraId="1A7BDCDA" w14:textId="5627F724" w:rsidR="001B421E"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1B421E" w:rsidRPr="00A608EE">
        <w:rPr>
          <w:rFonts w:asciiTheme="majorHAnsi" w:hAnsiTheme="majorHAnsi"/>
          <w:sz w:val="20"/>
          <w:szCs w:val="20"/>
          <w:lang w:eastAsia="fr-FR"/>
        </w:rPr>
        <w:t>If the provider uses agents, it verifies that agents provide sufficient documentation in accessible and alternative formats for clients with different types of impairments (e.g., Easy-read, large print, braille, audio formats, accessible digital formats)</w:t>
      </w:r>
      <w:r w:rsidR="00860294" w:rsidRPr="00A608EE">
        <w:rPr>
          <w:rFonts w:asciiTheme="majorHAnsi" w:hAnsiTheme="majorHAnsi"/>
          <w:sz w:val="20"/>
          <w:szCs w:val="20"/>
          <w:lang w:eastAsia="fr-FR"/>
        </w:rPr>
        <w:t>.</w:t>
      </w:r>
    </w:p>
    <w:p w14:paraId="21FE8428" w14:textId="77777777" w:rsidR="00860294" w:rsidRPr="00A608EE" w:rsidRDefault="00860294" w:rsidP="00EE208A">
      <w:pPr>
        <w:jc w:val="both"/>
        <w:rPr>
          <w:rFonts w:asciiTheme="majorHAnsi" w:hAnsiTheme="majorHAnsi"/>
          <w:sz w:val="20"/>
          <w:szCs w:val="20"/>
          <w:lang w:eastAsia="fr-FR"/>
        </w:rPr>
      </w:pPr>
    </w:p>
    <w:p w14:paraId="615FAECD" w14:textId="40CAA793" w:rsidR="00860294" w:rsidRPr="00A608EE" w:rsidRDefault="00860294" w:rsidP="00EE208A">
      <w:pPr>
        <w:jc w:val="both"/>
        <w:rPr>
          <w:rFonts w:asciiTheme="majorHAnsi" w:hAnsiTheme="majorHAnsi"/>
          <w:sz w:val="20"/>
          <w:szCs w:val="20"/>
          <w:lang w:eastAsia="fr-FR"/>
        </w:rPr>
      </w:pPr>
      <w:r w:rsidRPr="00A608EE">
        <w:rPr>
          <w:rFonts w:asciiTheme="majorHAnsi" w:hAnsiTheme="majorHAnsi"/>
          <w:sz w:val="20"/>
          <w:szCs w:val="20"/>
          <w:lang w:eastAsia="fr-FR"/>
        </w:rPr>
        <w:t>[See indicator 4.B.1.4 For more information on accessible and alternative information formats]</w:t>
      </w:r>
    </w:p>
    <w:p w14:paraId="004EABBE" w14:textId="77777777" w:rsidR="00F30D85" w:rsidRPr="00A608EE" w:rsidRDefault="00F30D85" w:rsidP="00EE208A">
      <w:pPr>
        <w:jc w:val="both"/>
        <w:rPr>
          <w:rFonts w:asciiTheme="majorHAnsi" w:hAnsiTheme="majorHAnsi"/>
          <w:sz w:val="20"/>
          <w:szCs w:val="20"/>
          <w:lang w:eastAsia="fr-FR"/>
        </w:rPr>
      </w:pPr>
    </w:p>
    <w:p w14:paraId="1BD01054" w14:textId="2F1CD61C" w:rsidR="00F30D85" w:rsidRPr="00A608EE" w:rsidRDefault="00F30D8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180F1ECA" w14:textId="77777777" w:rsidR="00F30D85" w:rsidRPr="00A608EE" w:rsidRDefault="00F30D85" w:rsidP="00A27AAA">
      <w:pPr>
        <w:numPr>
          <w:ilvl w:val="0"/>
          <w:numId w:val="240"/>
        </w:numPr>
        <w:jc w:val="both"/>
        <w:rPr>
          <w:rFonts w:asciiTheme="majorHAnsi" w:hAnsiTheme="majorHAnsi"/>
          <w:sz w:val="20"/>
          <w:szCs w:val="20"/>
          <w:lang w:eastAsia="fr-FR"/>
        </w:rPr>
      </w:pPr>
      <w:r w:rsidRPr="00A608EE">
        <w:rPr>
          <w:rFonts w:asciiTheme="majorHAnsi" w:hAnsiTheme="majorHAnsi"/>
          <w:sz w:val="20"/>
          <w:szCs w:val="20"/>
          <w:lang w:eastAsia="fr-FR"/>
        </w:rPr>
        <w:t>Score ‘N/A’, if the provider does </w:t>
      </w:r>
      <w:r w:rsidRPr="00A608EE">
        <w:rPr>
          <w:rFonts w:asciiTheme="majorHAnsi" w:hAnsiTheme="majorHAnsi"/>
          <w:sz w:val="20"/>
          <w:szCs w:val="20"/>
          <w:u w:val="single"/>
          <w:lang w:eastAsia="fr-FR"/>
        </w:rPr>
        <w:t>not</w:t>
      </w:r>
      <w:r w:rsidRPr="00A608EE">
        <w:rPr>
          <w:rFonts w:asciiTheme="majorHAnsi" w:hAnsiTheme="majorHAnsi"/>
          <w:sz w:val="20"/>
          <w:szCs w:val="20"/>
          <w:lang w:eastAsia="fr-FR"/>
        </w:rPr>
        <w:t> use any agents.</w:t>
      </w:r>
    </w:p>
    <w:p w14:paraId="171CEEAC" w14:textId="77777777" w:rsidR="00F30D85" w:rsidRPr="00A608EE" w:rsidRDefault="00F30D85" w:rsidP="00A27AAA">
      <w:pPr>
        <w:numPr>
          <w:ilvl w:val="0"/>
          <w:numId w:val="240"/>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(1) has a documentation shared with the agents to inform clients that is sufficient, clear, complete, and offered at the right time and (2) internal audit or customer services monitors regularly the agents’ compliance with this practice.</w:t>
      </w:r>
    </w:p>
    <w:p w14:paraId="4BFCF44E" w14:textId="77777777" w:rsidR="00F30D85" w:rsidRPr="00A608EE" w:rsidRDefault="00F30D85" w:rsidP="00A27AAA">
      <w:pPr>
        <w:numPr>
          <w:ilvl w:val="0"/>
          <w:numId w:val="240"/>
        </w:numPr>
        <w:jc w:val="both"/>
        <w:rPr>
          <w:rFonts w:asciiTheme="majorHAnsi" w:hAnsiTheme="majorHAnsi"/>
          <w:sz w:val="20"/>
          <w:szCs w:val="20"/>
          <w:lang w:eastAsia="fr-FR"/>
        </w:rPr>
      </w:pPr>
      <w:r w:rsidRPr="00A608EE">
        <w:rPr>
          <w:rFonts w:asciiTheme="majorHAnsi" w:hAnsiTheme="majorHAnsi"/>
          <w:sz w:val="20"/>
          <w:szCs w:val="20"/>
          <w:lang w:eastAsia="fr-FR"/>
        </w:rPr>
        <w:t>Score is ‘partially’, if the provider is not meeting one of the two requirements or is meeting both requirements only partly. For instance, monitoring of the agents is irregular or ad hoc.</w:t>
      </w:r>
    </w:p>
    <w:p w14:paraId="42353A8A" w14:textId="77777777" w:rsidR="00F30D85" w:rsidRPr="00A608EE" w:rsidRDefault="00F30D85" w:rsidP="00A27AAA">
      <w:pPr>
        <w:numPr>
          <w:ilvl w:val="0"/>
          <w:numId w:val="240"/>
        </w:numPr>
        <w:jc w:val="both"/>
        <w:rPr>
          <w:rFonts w:asciiTheme="majorHAnsi" w:hAnsiTheme="majorHAnsi"/>
          <w:sz w:val="20"/>
          <w:szCs w:val="20"/>
          <w:lang w:eastAsia="fr-FR"/>
        </w:rPr>
      </w:pPr>
      <w:r w:rsidRPr="00A608EE">
        <w:rPr>
          <w:rFonts w:asciiTheme="majorHAnsi" w:hAnsiTheme="majorHAnsi"/>
          <w:sz w:val="20"/>
          <w:szCs w:val="20"/>
          <w:lang w:eastAsia="fr-FR"/>
        </w:rPr>
        <w:t>Score ‘no’, if both requirements are not or hardly met.</w:t>
      </w:r>
    </w:p>
    <w:p w14:paraId="6F3A6AB7" w14:textId="77777777" w:rsidR="00F30D85" w:rsidRPr="00A608EE" w:rsidRDefault="00F30D85" w:rsidP="00EE208A">
      <w:pPr>
        <w:jc w:val="both"/>
        <w:rPr>
          <w:rFonts w:asciiTheme="majorHAnsi" w:hAnsiTheme="majorHAnsi"/>
          <w:sz w:val="20"/>
          <w:szCs w:val="20"/>
          <w:lang w:eastAsia="fr-FR"/>
        </w:rPr>
      </w:pPr>
    </w:p>
    <w:p w14:paraId="29CC70AD" w14:textId="77777777" w:rsidR="00CB2F38" w:rsidRPr="00A608EE" w:rsidRDefault="00CB2F38" w:rsidP="00EE208A">
      <w:pPr>
        <w:jc w:val="both"/>
        <w:rPr>
          <w:rFonts w:asciiTheme="majorHAnsi" w:hAnsiTheme="majorHAnsi"/>
          <w:b/>
          <w:bCs/>
          <w:sz w:val="20"/>
          <w:szCs w:val="20"/>
          <w:lang w:eastAsia="fr-FR"/>
        </w:rPr>
      </w:pPr>
    </w:p>
    <w:p w14:paraId="0F1390AF" w14:textId="4F3E72F1" w:rsidR="00F30D85" w:rsidRPr="00A608EE" w:rsidRDefault="00F30D8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7CA24729" w14:textId="77777777" w:rsidR="00F30D85" w:rsidRPr="00A608EE" w:rsidRDefault="00F30D85" w:rsidP="00A27AAA">
      <w:pPr>
        <w:numPr>
          <w:ilvl w:val="0"/>
          <w:numId w:val="241"/>
        </w:numPr>
        <w:jc w:val="both"/>
        <w:rPr>
          <w:rFonts w:asciiTheme="majorHAnsi" w:hAnsiTheme="majorHAnsi"/>
          <w:sz w:val="20"/>
          <w:szCs w:val="20"/>
          <w:lang w:eastAsia="fr-FR"/>
        </w:rPr>
      </w:pPr>
      <w:r w:rsidRPr="00A608EE">
        <w:rPr>
          <w:rFonts w:asciiTheme="majorHAnsi" w:hAnsiTheme="majorHAnsi"/>
          <w:sz w:val="20"/>
          <w:szCs w:val="20"/>
          <w:lang w:eastAsia="fr-FR"/>
        </w:rPr>
        <w:t>Any policy documents or contracts that govern the relationship between the provider and its agents and describes the transparency practices and information sharing expectations that the provider has with regards to how the agents interact with its clients.</w:t>
      </w:r>
    </w:p>
    <w:p w14:paraId="7890FBEF" w14:textId="77777777" w:rsidR="00F30D85" w:rsidRPr="00A608EE" w:rsidRDefault="00F30D85" w:rsidP="00A27AAA">
      <w:pPr>
        <w:numPr>
          <w:ilvl w:val="0"/>
          <w:numId w:val="241"/>
        </w:numPr>
        <w:jc w:val="both"/>
        <w:rPr>
          <w:rFonts w:asciiTheme="majorHAnsi" w:hAnsiTheme="majorHAnsi"/>
          <w:sz w:val="20"/>
          <w:szCs w:val="20"/>
          <w:lang w:eastAsia="fr-FR"/>
        </w:rPr>
      </w:pPr>
      <w:r w:rsidRPr="00A608EE">
        <w:rPr>
          <w:rFonts w:asciiTheme="majorHAnsi" w:hAnsiTheme="majorHAnsi"/>
          <w:sz w:val="20"/>
          <w:szCs w:val="20"/>
          <w:lang w:eastAsia="fr-FR"/>
        </w:rPr>
        <w:t>Agent monitoring process by the provider.</w:t>
      </w:r>
    </w:p>
    <w:p w14:paraId="6D1DEC65" w14:textId="77777777" w:rsidR="00F30D85" w:rsidRPr="00A608EE" w:rsidRDefault="00F30D85" w:rsidP="00A27AAA">
      <w:pPr>
        <w:numPr>
          <w:ilvl w:val="0"/>
          <w:numId w:val="241"/>
        </w:numPr>
        <w:jc w:val="both"/>
        <w:rPr>
          <w:rFonts w:asciiTheme="majorHAnsi" w:hAnsiTheme="majorHAnsi"/>
          <w:sz w:val="20"/>
          <w:szCs w:val="20"/>
          <w:lang w:eastAsia="fr-FR"/>
        </w:rPr>
      </w:pPr>
      <w:r w:rsidRPr="00A608EE">
        <w:rPr>
          <w:rFonts w:asciiTheme="majorHAnsi" w:hAnsiTheme="majorHAnsi"/>
          <w:sz w:val="20"/>
          <w:szCs w:val="20"/>
          <w:lang w:eastAsia="fr-FR"/>
        </w:rPr>
        <w:t>Field observations of agents’ interactions with clients.</w:t>
      </w:r>
    </w:p>
    <w:p w14:paraId="3002C02D" w14:textId="77777777" w:rsidR="00F30D85" w:rsidRPr="00A608EE" w:rsidRDefault="00F30D85" w:rsidP="00A27AAA">
      <w:pPr>
        <w:numPr>
          <w:ilvl w:val="0"/>
          <w:numId w:val="241"/>
        </w:numPr>
        <w:jc w:val="both"/>
        <w:rPr>
          <w:rFonts w:asciiTheme="majorHAnsi" w:hAnsiTheme="majorHAnsi"/>
          <w:sz w:val="20"/>
          <w:szCs w:val="20"/>
          <w:lang w:eastAsia="fr-FR"/>
        </w:rPr>
      </w:pPr>
      <w:r w:rsidRPr="00A608EE">
        <w:rPr>
          <w:rFonts w:asciiTheme="majorHAnsi" w:hAnsiTheme="majorHAnsi"/>
          <w:sz w:val="20"/>
          <w:szCs w:val="20"/>
          <w:lang w:eastAsia="fr-FR"/>
        </w:rPr>
        <w:t>Interviews with monitoring staff that visit agents and ensure they are complying with the provider’s expectations.</w:t>
      </w:r>
    </w:p>
    <w:p w14:paraId="5E526231" w14:textId="77777777" w:rsidR="00F30D85" w:rsidRPr="00A608EE" w:rsidRDefault="00F30D85" w:rsidP="00EE208A">
      <w:pPr>
        <w:jc w:val="both"/>
        <w:rPr>
          <w:rFonts w:asciiTheme="majorHAnsi" w:hAnsiTheme="majorHAnsi"/>
          <w:sz w:val="20"/>
          <w:szCs w:val="20"/>
          <w:lang w:eastAsia="fr-FR"/>
        </w:rPr>
      </w:pPr>
    </w:p>
    <w:p w14:paraId="74933DF5" w14:textId="0805B737" w:rsidR="00F30D85" w:rsidRPr="00A608EE" w:rsidRDefault="00F30D8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4FBCE85F" w14:textId="77777777" w:rsidR="00F30D85" w:rsidRPr="00A608EE" w:rsidRDefault="00F30D85" w:rsidP="00A27AAA">
      <w:pPr>
        <w:numPr>
          <w:ilvl w:val="0"/>
          <w:numId w:val="242"/>
        </w:numPr>
        <w:jc w:val="both"/>
        <w:rPr>
          <w:rFonts w:asciiTheme="majorHAnsi" w:hAnsiTheme="majorHAnsi"/>
          <w:sz w:val="20"/>
          <w:szCs w:val="20"/>
          <w:lang w:eastAsia="fr-FR"/>
        </w:rPr>
      </w:pPr>
      <w:r w:rsidRPr="00A608EE">
        <w:rPr>
          <w:rFonts w:asciiTheme="majorHAnsi" w:hAnsiTheme="majorHAnsi"/>
          <w:sz w:val="20"/>
          <w:szCs w:val="20"/>
          <w:lang w:eastAsia="fr-FR"/>
        </w:rPr>
        <w:t>Reference the sections of the contracts or policy that describe the provider’s expectations regarding the agents’ disclosure of information to the clients.</w:t>
      </w:r>
    </w:p>
    <w:p w14:paraId="1D2B74D5" w14:textId="77777777" w:rsidR="00F30D85" w:rsidRPr="00A608EE" w:rsidRDefault="00F30D85" w:rsidP="00A27AAA">
      <w:pPr>
        <w:numPr>
          <w:ilvl w:val="0"/>
          <w:numId w:val="242"/>
        </w:numPr>
        <w:jc w:val="both"/>
        <w:rPr>
          <w:rFonts w:asciiTheme="majorHAnsi" w:hAnsiTheme="majorHAnsi"/>
          <w:sz w:val="20"/>
          <w:szCs w:val="20"/>
          <w:lang w:eastAsia="fr-FR"/>
        </w:rPr>
      </w:pPr>
      <w:r w:rsidRPr="00A608EE">
        <w:rPr>
          <w:rFonts w:asciiTheme="majorHAnsi" w:hAnsiTheme="majorHAnsi"/>
          <w:sz w:val="20"/>
          <w:szCs w:val="20"/>
          <w:lang w:eastAsia="fr-FR"/>
        </w:rPr>
        <w:t>Describe the system of monitoring that the provider has in place to ensure compliance with good practice among its agents.</w:t>
      </w:r>
    </w:p>
    <w:p w14:paraId="47BEA788" w14:textId="77777777" w:rsidR="00E65C40" w:rsidRPr="00A608EE" w:rsidRDefault="00E65C40" w:rsidP="00EE208A">
      <w:pPr>
        <w:jc w:val="both"/>
        <w:rPr>
          <w:rFonts w:asciiTheme="majorHAnsi" w:hAnsiTheme="majorHAnsi"/>
          <w:szCs w:val="20"/>
        </w:rPr>
      </w:pPr>
    </w:p>
    <w:p w14:paraId="70EA0D19" w14:textId="6E8C2823" w:rsidR="008653BE" w:rsidRPr="00A608EE" w:rsidRDefault="008653BE" w:rsidP="00EE208A">
      <w:pPr>
        <w:pStyle w:val="Heading3"/>
        <w:spacing w:before="0" w:line="240" w:lineRule="auto"/>
        <w:jc w:val="both"/>
      </w:pPr>
      <w:bookmarkStart w:id="73" w:name="_Toc230938800"/>
      <w:r w:rsidRPr="00A608EE">
        <w:rPr>
          <w:rStyle w:val="text-primary"/>
        </w:rPr>
        <w:t>4.B.2</w:t>
      </w:r>
      <w:r w:rsidRPr="00A608EE">
        <w:t xml:space="preserve"> </w:t>
      </w:r>
      <w:r w:rsidR="007E20E5" w:rsidRPr="00A608EE">
        <w:t>The provider communicates with clients at appropriate times and through appropriate channels</w:t>
      </w:r>
      <w:r w:rsidR="002C7FAE" w:rsidRPr="00A608EE">
        <w:t>.</w:t>
      </w:r>
      <w:bookmarkEnd w:id="73"/>
    </w:p>
    <w:p w14:paraId="0620364C" w14:textId="77777777" w:rsidR="002C7FAE" w:rsidRPr="00A608EE" w:rsidRDefault="002C7FAE" w:rsidP="00EE208A">
      <w:pPr>
        <w:jc w:val="both"/>
      </w:pPr>
    </w:p>
    <w:p w14:paraId="7ABC636B" w14:textId="77777777" w:rsidR="007E20E5" w:rsidRPr="00A608EE" w:rsidRDefault="007E20E5" w:rsidP="00EE208A">
      <w:pPr>
        <w:jc w:val="both"/>
        <w:rPr>
          <w:rFonts w:asciiTheme="majorHAnsi" w:hAnsiTheme="majorHAnsi"/>
          <w:sz w:val="20"/>
          <w:szCs w:val="20"/>
          <w:lang w:eastAsia="fr-FR"/>
        </w:rPr>
      </w:pPr>
      <w:r w:rsidRPr="00A608EE">
        <w:rPr>
          <w:rFonts w:asciiTheme="majorHAnsi" w:hAnsiTheme="majorHAnsi"/>
          <w:sz w:val="20"/>
          <w:szCs w:val="20"/>
          <w:lang w:eastAsia="fr-FR"/>
        </w:rPr>
        <w:t>Providers may provide full and complete product information to clients, but communicate it in a way that is difficult for clients to understand (e.g., complex legal wording, disclosing information in writing to illiterate clients). The way sales and product staff explain things to clients makes all the difference in whether clients can absorb the information and use it to make important decisions about their finances.</w:t>
      </w:r>
    </w:p>
    <w:p w14:paraId="6C5A0AB7" w14:textId="77777777" w:rsidR="007E20E5" w:rsidRPr="00A608EE" w:rsidRDefault="007E20E5" w:rsidP="00EE208A">
      <w:pPr>
        <w:jc w:val="both"/>
        <w:rPr>
          <w:rFonts w:asciiTheme="majorHAnsi" w:hAnsiTheme="majorHAnsi"/>
          <w:sz w:val="20"/>
          <w:szCs w:val="20"/>
          <w:lang w:eastAsia="fr-FR"/>
        </w:rPr>
      </w:pPr>
    </w:p>
    <w:p w14:paraId="283EFE94" w14:textId="77777777" w:rsidR="007E20E5" w:rsidRPr="00A608EE" w:rsidRDefault="007E20E5" w:rsidP="00EE208A">
      <w:pPr>
        <w:jc w:val="both"/>
        <w:rPr>
          <w:rFonts w:asciiTheme="majorHAnsi" w:hAnsiTheme="majorHAnsi"/>
          <w:sz w:val="20"/>
          <w:szCs w:val="20"/>
          <w:lang w:eastAsia="fr-FR"/>
        </w:rPr>
      </w:pPr>
      <w:r w:rsidRPr="00A608EE">
        <w:rPr>
          <w:rFonts w:asciiTheme="majorHAnsi" w:hAnsiTheme="majorHAnsi"/>
          <w:sz w:val="20"/>
          <w:szCs w:val="20"/>
          <w:lang w:eastAsia="fr-FR"/>
        </w:rPr>
        <w:t>Clients should have time to review product information, to compare options, and to ask questions before making a decision. In order to do so, they need relevant product information at least 24 hours prior to signing a contract, opening an account, or making a payment. In practice, this means providing product documentation that clients can take home and review before the sale and prior to signing. The client must also have an opportunity to decline the product without being made to feel that they are already expected to sign the contract. The provider must inform clients before making changes to the terms and conditions specified in their contracts: for example, if the interest rate paid on savings changes or before their insurance policy expires, so that they are aware and have the opportunity to renew the policy and prevent a gap in coverage.</w:t>
      </w:r>
    </w:p>
    <w:p w14:paraId="79E10D87" w14:textId="77777777" w:rsidR="007E20E5" w:rsidRPr="00A608EE" w:rsidRDefault="007E20E5" w:rsidP="00EE208A">
      <w:pPr>
        <w:jc w:val="both"/>
        <w:rPr>
          <w:rFonts w:asciiTheme="majorHAnsi" w:hAnsiTheme="majorHAnsi"/>
          <w:sz w:val="20"/>
          <w:szCs w:val="20"/>
          <w:lang w:eastAsia="fr-FR"/>
        </w:rPr>
      </w:pPr>
    </w:p>
    <w:p w14:paraId="13B92D3D" w14:textId="757F455C" w:rsidR="007E20E5" w:rsidRPr="00A608EE" w:rsidRDefault="007E20E5" w:rsidP="00EE208A">
      <w:pPr>
        <w:jc w:val="both"/>
        <w:rPr>
          <w:rFonts w:asciiTheme="majorHAnsi" w:hAnsiTheme="majorHAnsi"/>
          <w:sz w:val="20"/>
          <w:szCs w:val="20"/>
          <w:lang w:eastAsia="fr-FR"/>
        </w:rPr>
      </w:pPr>
      <w:r w:rsidRPr="00A608EE">
        <w:rPr>
          <w:rFonts w:asciiTheme="majorHAnsi" w:hAnsiTheme="majorHAnsi"/>
          <w:sz w:val="20"/>
          <w:szCs w:val="20"/>
          <w:lang w:eastAsia="fr-FR"/>
        </w:rPr>
        <w:t>Furthermore, the provider must put in place a system for providing clients with accurate account information on demand. For some providers, an on-demand mechanism is delivered through online and/or mobile banking, which gives clients anytime access to their account information. Low-tech options include answering customer inquiries over the phone and in-person. Field and branch staff should have immediate access to up-to-date account information whenever they are interacting with the client. They should provide clients receipts—paper or digital (based on client capability and context) for all transactions. For loans with a group guarantee or a guarantor and group savings accounts, they should provide each member in the group or guarantor with total balance of the account at least quarterly.</w:t>
      </w:r>
    </w:p>
    <w:p w14:paraId="1C60C2CF" w14:textId="77777777" w:rsidR="007E20E5" w:rsidRPr="00A608EE" w:rsidRDefault="007E20E5" w:rsidP="00EE208A">
      <w:pPr>
        <w:jc w:val="both"/>
        <w:rPr>
          <w:rFonts w:asciiTheme="majorHAnsi" w:hAnsiTheme="majorHAnsi"/>
          <w:sz w:val="20"/>
          <w:szCs w:val="20"/>
          <w:lang w:eastAsia="fr-FR"/>
        </w:rPr>
      </w:pPr>
    </w:p>
    <w:p w14:paraId="42093CD9" w14:textId="77777777" w:rsidR="007E20E5" w:rsidRPr="00A608EE" w:rsidRDefault="007E20E5"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essential practice 4.B.2</w:t>
      </w:r>
    </w:p>
    <w:p w14:paraId="7C5DFDE7" w14:textId="77777777" w:rsidR="00A921C9" w:rsidRPr="00A608EE" w:rsidRDefault="00A921C9" w:rsidP="00A27AAA">
      <w:pPr>
        <w:pStyle w:val="NormalWeb"/>
        <w:numPr>
          <w:ilvl w:val="0"/>
          <w:numId w:val="69"/>
        </w:numPr>
        <w:spacing w:before="0" w:beforeAutospacing="0" w:after="0" w:afterAutospacing="0"/>
        <w:jc w:val="both"/>
        <w:rPr>
          <w:rFonts w:asciiTheme="majorHAnsi" w:hAnsiTheme="majorHAnsi"/>
          <w:sz w:val="20"/>
          <w:szCs w:val="20"/>
        </w:rPr>
      </w:pPr>
      <w:hyperlink r:id="rId212" w:tgtFrame="_blank" w:history="1">
        <w:r w:rsidRPr="00A608EE">
          <w:rPr>
            <w:rStyle w:val="Hyperlink"/>
            <w:rFonts w:asciiTheme="majorHAnsi" w:hAnsiTheme="majorHAnsi"/>
            <w:sz w:val="20"/>
            <w:szCs w:val="20"/>
          </w:rPr>
          <w:t>Svasti Transparent collections practices training document</w:t>
        </w:r>
      </w:hyperlink>
    </w:p>
    <w:p w14:paraId="3082B574" w14:textId="77777777" w:rsidR="00A921C9" w:rsidRPr="00A608EE" w:rsidRDefault="00A921C9" w:rsidP="00EE208A">
      <w:pPr>
        <w:pStyle w:val="NormalWeb"/>
        <w:spacing w:before="0" w:beforeAutospacing="0" w:after="0" w:afterAutospacing="0"/>
        <w:jc w:val="both"/>
        <w:rPr>
          <w:rFonts w:asciiTheme="majorHAnsi" w:hAnsiTheme="majorHAnsi"/>
          <w:sz w:val="20"/>
          <w:szCs w:val="20"/>
        </w:rPr>
      </w:pPr>
    </w:p>
    <w:p w14:paraId="3BC260E4" w14:textId="77777777" w:rsidR="003E796B" w:rsidRPr="00A608EE" w:rsidRDefault="003E796B" w:rsidP="00EE208A">
      <w:pPr>
        <w:pStyle w:val="NormalWeb"/>
        <w:spacing w:before="0" w:beforeAutospacing="0" w:after="0" w:afterAutospacing="0"/>
        <w:jc w:val="both"/>
        <w:rPr>
          <w:rFonts w:asciiTheme="majorHAnsi" w:hAnsiTheme="majorHAnsi"/>
          <w:sz w:val="20"/>
          <w:szCs w:val="20"/>
        </w:rPr>
      </w:pPr>
    </w:p>
    <w:p w14:paraId="1476969A" w14:textId="77777777" w:rsidR="003F5DAA" w:rsidRPr="00A608EE" w:rsidRDefault="003F5DAA">
      <w:pPr>
        <w:spacing w:after="160" w:line="259" w:lineRule="auto"/>
        <w:rPr>
          <w:rFonts w:asciiTheme="majorHAnsi" w:eastAsiaTheme="majorEastAsia" w:hAnsiTheme="majorHAnsi" w:cstheme="majorBidi"/>
          <w:i/>
          <w:iCs/>
          <w:szCs w:val="22"/>
          <w:lang w:eastAsia="en-US"/>
        </w:rPr>
      </w:pPr>
      <w:r w:rsidRPr="00A608EE">
        <w:br w:type="page"/>
      </w:r>
    </w:p>
    <w:p w14:paraId="278ED3B6" w14:textId="02ABD0D1" w:rsidR="008653BE" w:rsidRPr="00A608EE" w:rsidRDefault="008653BE" w:rsidP="00EE208A">
      <w:pPr>
        <w:pStyle w:val="Heading4"/>
        <w:spacing w:before="0" w:line="240" w:lineRule="auto"/>
        <w:jc w:val="both"/>
      </w:pPr>
      <w:r w:rsidRPr="00A608EE">
        <w:rPr>
          <w:rStyle w:val="text-primary"/>
        </w:rPr>
        <w:lastRenderedPageBreak/>
        <w:t>4.B.2.1</w:t>
      </w:r>
      <w:r w:rsidRPr="00A608EE">
        <w:t xml:space="preserve"> </w:t>
      </w:r>
      <w:r w:rsidR="007E20E5" w:rsidRPr="00A608EE">
        <w:t>The provider gives clients the opportunity to review the terms and conditions of products</w:t>
      </w:r>
      <w:r w:rsidR="00CB4805" w:rsidRPr="00A608EE">
        <w:t>.</w:t>
      </w:r>
    </w:p>
    <w:p w14:paraId="2D5CC190" w14:textId="3503E521" w:rsidR="008653BE" w:rsidRPr="00A608EE" w:rsidRDefault="008653BE"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4.B.2.1.1</w:t>
      </w:r>
      <w:r w:rsidRPr="00A608EE">
        <w:rPr>
          <w:rFonts w:asciiTheme="majorHAnsi" w:hAnsiTheme="majorHAnsi"/>
          <w:i/>
          <w:sz w:val="20"/>
          <w:szCs w:val="20"/>
        </w:rPr>
        <w:t xml:space="preserve"> </w:t>
      </w:r>
      <w:r w:rsidR="007E20E5" w:rsidRPr="00A608EE">
        <w:rPr>
          <w:rFonts w:asciiTheme="majorHAnsi" w:hAnsiTheme="majorHAnsi"/>
          <w:i/>
          <w:sz w:val="20"/>
          <w:szCs w:val="20"/>
        </w:rPr>
        <w:t>The provider offers a channel for clients to ask questions and receive additional information prior to signing contracts</w:t>
      </w:r>
      <w:r w:rsidR="00F82FA8" w:rsidRPr="00A608EE">
        <w:rPr>
          <w:rFonts w:asciiTheme="majorHAnsi" w:hAnsiTheme="majorHAnsi"/>
          <w:i/>
          <w:sz w:val="20"/>
          <w:szCs w:val="20"/>
        </w:rPr>
        <w:t>.</w:t>
      </w:r>
    </w:p>
    <w:p w14:paraId="025045CC" w14:textId="3B79570E" w:rsidR="003E796B" w:rsidRPr="00A608EE" w:rsidRDefault="008653BE" w:rsidP="003A06B6">
      <w:pPr>
        <w:pStyle w:val="NormalWeb"/>
        <w:spacing w:before="0" w:beforeAutospacing="0" w:after="0" w:afterAutospacing="0"/>
        <w:ind w:left="708"/>
        <w:jc w:val="both"/>
        <w:rPr>
          <w:rFonts w:asciiTheme="majorHAnsi" w:hAnsiTheme="majorHAnsi"/>
          <w:szCs w:val="20"/>
        </w:rPr>
      </w:pPr>
      <w:r w:rsidRPr="00A608EE">
        <w:rPr>
          <w:rFonts w:asciiTheme="majorHAnsi" w:hAnsiTheme="majorHAnsi"/>
          <w:i/>
          <w:sz w:val="20"/>
        </w:rPr>
        <w:t>4.B.2.1.2</w:t>
      </w:r>
      <w:r w:rsidRPr="00A608EE">
        <w:rPr>
          <w:rFonts w:asciiTheme="majorHAnsi" w:hAnsiTheme="majorHAnsi"/>
          <w:i/>
          <w:sz w:val="20"/>
          <w:szCs w:val="20"/>
        </w:rPr>
        <w:t xml:space="preserve"> </w:t>
      </w:r>
      <w:r w:rsidR="007E20E5" w:rsidRPr="00A608EE">
        <w:rPr>
          <w:rFonts w:asciiTheme="majorHAnsi" w:hAnsiTheme="majorHAnsi"/>
          <w:i/>
          <w:sz w:val="20"/>
          <w:szCs w:val="20"/>
        </w:rPr>
        <w:t>The provider gives clients notice and the opportunity to opt out before automatically renewing a voluntary product</w:t>
      </w:r>
      <w:r w:rsidR="004F739F" w:rsidRPr="00A608EE">
        <w:rPr>
          <w:rFonts w:asciiTheme="majorHAnsi" w:hAnsiTheme="majorHAnsi"/>
          <w:i/>
          <w:sz w:val="20"/>
          <w:szCs w:val="20"/>
        </w:rPr>
        <w:t>.</w:t>
      </w:r>
    </w:p>
    <w:p w14:paraId="79688BED" w14:textId="77777777" w:rsidR="00CB2F38" w:rsidRPr="00A608EE" w:rsidRDefault="00CB2F38" w:rsidP="00EE208A">
      <w:pPr>
        <w:pStyle w:val="NormalWeb"/>
        <w:spacing w:before="0" w:beforeAutospacing="0" w:after="0" w:afterAutospacing="0"/>
        <w:jc w:val="both"/>
        <w:rPr>
          <w:rFonts w:ascii="Segoe UI Emoji" w:hAnsi="Segoe UI Emoji" w:cs="Segoe UI Emoji"/>
          <w:b/>
          <w:bCs/>
          <w:sz w:val="20"/>
          <w:szCs w:val="20"/>
        </w:rPr>
      </w:pPr>
    </w:p>
    <w:p w14:paraId="7144B875" w14:textId="3DA4E16B" w:rsidR="003E796B"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E796B" w:rsidRPr="00A608EE">
        <w:rPr>
          <w:rFonts w:asciiTheme="majorHAnsi" w:hAnsiTheme="majorHAnsi" w:cstheme="majorHAnsi"/>
          <w:b/>
          <w:bCs/>
          <w:color w:val="2145CC" w:themeColor="accent5" w:themeShade="BF"/>
          <w:sz w:val="20"/>
          <w:szCs w:val="20"/>
        </w:rPr>
        <w:t xml:space="preserve">ALINUS | SPI5 Entry | SPI5 Full | CP Commit | CP Full </w:t>
      </w:r>
      <w:r w:rsidR="004A48FF" w:rsidRPr="00A608EE">
        <w:rPr>
          <w:rFonts w:ascii="Work Sans" w:hAnsi="Work Sans"/>
          <w:b/>
          <w:bCs/>
          <w:color w:val="2145CC" w:themeColor="accent5" w:themeShade="BF"/>
          <w:sz w:val="20"/>
          <w:szCs w:val="20"/>
        </w:rPr>
        <w:t>| DI Focus</w:t>
      </w:r>
    </w:p>
    <w:p w14:paraId="74654A3A" w14:textId="06DF95CA" w:rsidR="003E796B" w:rsidRPr="00A608EE" w:rsidRDefault="00C34E72"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7E20E5"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w:t>
      </w:r>
      <w:r w:rsidR="003E796B" w:rsidRPr="00A608EE">
        <w:rPr>
          <w:rFonts w:asciiTheme="majorHAnsi" w:hAnsiTheme="majorHAnsi" w:cstheme="majorHAnsi"/>
          <w:b/>
          <w:bCs/>
          <w:color w:val="2145CC" w:themeColor="accent5" w:themeShade="BF"/>
          <w:sz w:val="20"/>
          <w:szCs w:val="20"/>
        </w:rPr>
        <w:t>4.B.2.1.1: Entry CP</w:t>
      </w:r>
    </w:p>
    <w:p w14:paraId="66C9DBE0" w14:textId="689713CD" w:rsidR="00F25C44" w:rsidRPr="00A608EE" w:rsidRDefault="00C34E72"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7E20E5" w:rsidRPr="00A608EE">
        <w:rPr>
          <w:rFonts w:asciiTheme="majorHAnsi" w:hAnsiTheme="majorHAnsi" w:cstheme="majorHAnsi"/>
          <w:b/>
          <w:bCs/>
          <w:color w:val="2145CC" w:themeColor="accent5" w:themeShade="BF"/>
          <w:sz w:val="20"/>
          <w:szCs w:val="20"/>
        </w:rPr>
        <w:t>et</w:t>
      </w:r>
      <w:r w:rsidRPr="00A608EE">
        <w:rPr>
          <w:rFonts w:asciiTheme="majorHAnsi" w:hAnsiTheme="majorHAnsi" w:cstheme="majorHAnsi"/>
          <w:b/>
          <w:bCs/>
          <w:color w:val="2145CC" w:themeColor="accent5" w:themeShade="BF"/>
          <w:sz w:val="20"/>
          <w:szCs w:val="20"/>
        </w:rPr>
        <w:t xml:space="preserve">ail </w:t>
      </w:r>
      <w:r w:rsidR="00F25C44" w:rsidRPr="00A608EE">
        <w:rPr>
          <w:rFonts w:asciiTheme="majorHAnsi" w:hAnsiTheme="majorHAnsi" w:cstheme="majorHAnsi"/>
          <w:b/>
          <w:bCs/>
          <w:color w:val="2145CC" w:themeColor="accent5" w:themeShade="BF"/>
          <w:sz w:val="20"/>
          <w:szCs w:val="20"/>
        </w:rPr>
        <w:t xml:space="preserve">4.B.2.1.2: SPI5 Full | CP Full | Advanced CP </w:t>
      </w:r>
    </w:p>
    <w:p w14:paraId="3ABC59B2" w14:textId="33F0AE1E" w:rsidR="00F25C44" w:rsidRPr="00A608EE" w:rsidRDefault="004E5AF5"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7CEAB3D6" w14:textId="77777777" w:rsidR="001B04BA" w:rsidRPr="00A608EE" w:rsidRDefault="001B04BA" w:rsidP="00EE208A">
      <w:pPr>
        <w:jc w:val="both"/>
        <w:rPr>
          <w:rFonts w:asciiTheme="majorHAnsi" w:hAnsiTheme="majorHAnsi"/>
          <w:sz w:val="20"/>
          <w:szCs w:val="20"/>
          <w:lang w:eastAsia="fr-FR"/>
        </w:rPr>
      </w:pPr>
      <w:r w:rsidRPr="00A608EE">
        <w:rPr>
          <w:rFonts w:asciiTheme="majorHAnsi" w:hAnsiTheme="majorHAnsi"/>
          <w:sz w:val="20"/>
          <w:szCs w:val="20"/>
          <w:lang w:eastAsia="fr-FR"/>
        </w:rPr>
        <w:t>Clients need time to review product information, to compare options, and to ask questions so that they can make informed decisions. Clients should receive product documentation that they can take home to review and consult with a trusted person (e.g., spouse) before signing the contract. Twenty-four hours is a good rule of thumb for providing the client sufficient time to review the terms and conditions and ask clarifying questions before signing a contract. The provider should not pressure clients to commit to a product in less than 24 hours.  Clients may choose to make quick decisions if they feel well informed. Additionally, the clients should not be made to feel guilty or ashamed if they change their mind or choose not to commit to the product.</w:t>
      </w:r>
    </w:p>
    <w:p w14:paraId="1ECEC065" w14:textId="77777777" w:rsidR="001B04BA" w:rsidRPr="00A608EE" w:rsidRDefault="001B04BA" w:rsidP="00EE208A">
      <w:pPr>
        <w:jc w:val="both"/>
        <w:rPr>
          <w:rFonts w:asciiTheme="majorHAnsi" w:hAnsiTheme="majorHAnsi"/>
          <w:sz w:val="20"/>
          <w:szCs w:val="20"/>
          <w:lang w:eastAsia="fr-FR"/>
        </w:rPr>
      </w:pPr>
    </w:p>
    <w:p w14:paraId="530223A9" w14:textId="3D631FFB" w:rsidR="001B04BA" w:rsidRPr="00A608EE" w:rsidRDefault="001B04BA" w:rsidP="00EE208A">
      <w:pPr>
        <w:jc w:val="both"/>
        <w:rPr>
          <w:rFonts w:asciiTheme="majorHAnsi" w:hAnsiTheme="majorHAnsi"/>
          <w:sz w:val="20"/>
          <w:szCs w:val="20"/>
          <w:lang w:eastAsia="fr-FR"/>
        </w:rPr>
      </w:pPr>
      <w:r w:rsidRPr="00A608EE">
        <w:rPr>
          <w:rFonts w:asciiTheme="majorHAnsi" w:hAnsiTheme="majorHAnsi"/>
          <w:sz w:val="20"/>
          <w:szCs w:val="20"/>
          <w:lang w:eastAsia="fr-FR"/>
        </w:rPr>
        <w:t>To make informed decisions, clients need:</w:t>
      </w:r>
    </w:p>
    <w:p w14:paraId="141EDB3F" w14:textId="77777777" w:rsidR="001B04BA" w:rsidRPr="00A608EE" w:rsidRDefault="001B04BA" w:rsidP="00A27AAA">
      <w:pPr>
        <w:numPr>
          <w:ilvl w:val="0"/>
          <w:numId w:val="243"/>
        </w:numPr>
        <w:jc w:val="both"/>
        <w:rPr>
          <w:rFonts w:asciiTheme="majorHAnsi" w:hAnsiTheme="majorHAnsi"/>
          <w:sz w:val="20"/>
          <w:szCs w:val="20"/>
          <w:lang w:eastAsia="fr-FR"/>
        </w:rPr>
      </w:pPr>
      <w:r w:rsidRPr="00A608EE">
        <w:rPr>
          <w:rFonts w:asciiTheme="majorHAnsi" w:hAnsiTheme="majorHAnsi"/>
          <w:sz w:val="20"/>
          <w:szCs w:val="20"/>
          <w:lang w:eastAsia="fr-FR"/>
        </w:rPr>
        <w:t>Sufficient time so they are not rushed</w:t>
      </w:r>
    </w:p>
    <w:p w14:paraId="7ECDB2FC" w14:textId="77777777" w:rsidR="001B04BA" w:rsidRPr="00A608EE" w:rsidRDefault="001B04BA" w:rsidP="00A27AAA">
      <w:pPr>
        <w:numPr>
          <w:ilvl w:val="0"/>
          <w:numId w:val="243"/>
        </w:numPr>
        <w:jc w:val="both"/>
        <w:rPr>
          <w:rFonts w:asciiTheme="majorHAnsi" w:hAnsiTheme="majorHAnsi"/>
          <w:sz w:val="20"/>
          <w:szCs w:val="20"/>
          <w:lang w:eastAsia="fr-FR"/>
        </w:rPr>
      </w:pPr>
      <w:r w:rsidRPr="00A608EE">
        <w:rPr>
          <w:rFonts w:asciiTheme="majorHAnsi" w:hAnsiTheme="majorHAnsi"/>
          <w:sz w:val="20"/>
          <w:szCs w:val="20"/>
          <w:lang w:eastAsia="fr-FR"/>
        </w:rPr>
        <w:t>Channels and means to ask questions</w:t>
      </w:r>
    </w:p>
    <w:p w14:paraId="3458691B" w14:textId="77777777" w:rsidR="001B04BA" w:rsidRPr="00A608EE" w:rsidRDefault="001B04BA" w:rsidP="00A27AAA">
      <w:pPr>
        <w:numPr>
          <w:ilvl w:val="0"/>
          <w:numId w:val="243"/>
        </w:numPr>
        <w:jc w:val="both"/>
        <w:rPr>
          <w:rFonts w:asciiTheme="majorHAnsi" w:hAnsiTheme="majorHAnsi"/>
          <w:sz w:val="20"/>
          <w:szCs w:val="20"/>
          <w:lang w:eastAsia="fr-FR"/>
        </w:rPr>
      </w:pPr>
      <w:r w:rsidRPr="00A608EE">
        <w:rPr>
          <w:rFonts w:asciiTheme="majorHAnsi" w:hAnsiTheme="majorHAnsi"/>
          <w:sz w:val="20"/>
          <w:szCs w:val="20"/>
          <w:lang w:eastAsia="fr-FR"/>
        </w:rPr>
        <w:t>Simple language they can understand</w:t>
      </w:r>
    </w:p>
    <w:p w14:paraId="4E8AC98E" w14:textId="77777777" w:rsidR="001B04BA" w:rsidRPr="00A608EE" w:rsidRDefault="001B04BA" w:rsidP="00EE208A">
      <w:pPr>
        <w:jc w:val="both"/>
        <w:rPr>
          <w:rFonts w:asciiTheme="majorHAnsi" w:hAnsiTheme="majorHAnsi"/>
          <w:szCs w:val="20"/>
          <w:lang w:eastAsia="fr-FR"/>
        </w:rPr>
      </w:pPr>
    </w:p>
    <w:p w14:paraId="3EC4F884" w14:textId="2D130A9C" w:rsidR="001B04BA" w:rsidRPr="00A608EE" w:rsidRDefault="001B04BA" w:rsidP="00EE208A">
      <w:pPr>
        <w:jc w:val="both"/>
        <w:rPr>
          <w:rFonts w:asciiTheme="majorHAnsi" w:hAnsiTheme="majorHAnsi"/>
          <w:sz w:val="20"/>
          <w:szCs w:val="20"/>
          <w:lang w:eastAsia="fr-FR"/>
        </w:rPr>
      </w:pPr>
      <w:r w:rsidRPr="00A608EE">
        <w:rPr>
          <w:rFonts w:asciiTheme="majorHAnsi" w:hAnsiTheme="majorHAnsi"/>
          <w:sz w:val="20"/>
          <w:szCs w:val="20"/>
          <w:lang w:eastAsia="fr-FR"/>
        </w:rPr>
        <w:t>The channel for clients to ask questions can be a phone line to speak with the staff or a digital channel (such as a chatbot). The provider should offer multiple channels for clients to choose from: a website form, in-App messaging, a customer service representative at the branch, and a hotline or call center. The provider might offer leaflets or online Q&amp;A information to cover most of the expected questions from clients, but this does not replace the clients right to ask direct questions to staff.</w:t>
      </w:r>
    </w:p>
    <w:p w14:paraId="0C94371D" w14:textId="3477CAE1" w:rsidR="001B04BA" w:rsidRPr="00A608EE" w:rsidRDefault="001B04BA" w:rsidP="00EE208A">
      <w:pPr>
        <w:jc w:val="both"/>
        <w:rPr>
          <w:rFonts w:asciiTheme="majorHAnsi" w:hAnsiTheme="majorHAnsi"/>
          <w:sz w:val="20"/>
          <w:szCs w:val="20"/>
          <w:lang w:eastAsia="fr-FR"/>
        </w:rPr>
      </w:pPr>
      <w:r w:rsidRPr="00A608EE">
        <w:rPr>
          <w:rFonts w:asciiTheme="majorHAnsi" w:hAnsiTheme="majorHAnsi"/>
          <w:sz w:val="20"/>
          <w:szCs w:val="20"/>
          <w:lang w:eastAsia="fr-FR"/>
        </w:rPr>
        <w:t>In case of product renewal, the provider should deliver advance notification, and give the opportunity to opt-out. A process should describe the period used for advance notification, the channels used, what is the timeframe given to the client to opt-out. Ideally the client should receive this notice at least two weeks before the renewal would take effect (and a remainder a week before), so that they can make a considered decision about whether or not to renew.</w:t>
      </w:r>
    </w:p>
    <w:p w14:paraId="5BC08837"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391D551C"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61680DED"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2B400B51"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1601C95A"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665A6C77"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38BE429F"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2AC7D60D"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68CFA917"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0FE73C82"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354A1FC5"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75108D1E"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7F66E46F" w14:textId="56250F6C"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lastRenderedPageBreak/>
        <w:drawing>
          <wp:anchor distT="0" distB="0" distL="114300" distR="114300" simplePos="0" relativeHeight="251863040" behindDoc="1" locked="0" layoutInCell="1" allowOverlap="1" wp14:anchorId="141202A6" wp14:editId="48C0EF5B">
            <wp:simplePos x="0" y="0"/>
            <wp:positionH relativeFrom="margin">
              <wp:align>left</wp:align>
            </wp:positionH>
            <wp:positionV relativeFrom="paragraph">
              <wp:posOffset>168275</wp:posOffset>
            </wp:positionV>
            <wp:extent cx="252000" cy="252000"/>
            <wp:effectExtent l="0" t="0" r="0" b="0"/>
            <wp:wrapTight wrapText="bothSides">
              <wp:wrapPolygon edited="0">
                <wp:start x="1636" y="0"/>
                <wp:lineTo x="0" y="4909"/>
                <wp:lineTo x="0" y="16364"/>
                <wp:lineTo x="1636" y="19636"/>
                <wp:lineTo x="18000" y="19636"/>
                <wp:lineTo x="19636" y="16364"/>
                <wp:lineTo x="19636" y="4909"/>
                <wp:lineTo x="18000" y="0"/>
                <wp:lineTo x="1636" y="0"/>
              </wp:wrapPolygon>
            </wp:wrapTight>
            <wp:docPr id="115415826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p>
    <w:p w14:paraId="26E40149" w14:textId="75C65E85"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Style w:val="normaltextrun"/>
          <w:rFonts w:asciiTheme="majorHAnsi" w:hAnsiTheme="majorHAnsi"/>
          <w:b/>
          <w:bCs/>
          <w:sz w:val="20"/>
          <w:szCs w:val="20"/>
        </w:rPr>
        <w:t>Disability Inclusion Focus:</w:t>
      </w:r>
    </w:p>
    <w:p w14:paraId="5DBC966F" w14:textId="77777777" w:rsidR="00672763" w:rsidRPr="00A608EE" w:rsidRDefault="00672763" w:rsidP="003A06B6">
      <w:pPr>
        <w:pStyle w:val="paragraph"/>
        <w:spacing w:before="120" w:beforeAutospacing="0" w:after="120" w:afterAutospacing="0"/>
        <w:jc w:val="both"/>
        <w:textAlignment w:val="baseline"/>
        <w:rPr>
          <w:rStyle w:val="normaltextrun"/>
          <w:rFonts w:asciiTheme="majorHAnsi" w:hAnsiTheme="majorHAnsi"/>
          <w:b/>
          <w:bCs/>
          <w:sz w:val="20"/>
          <w:szCs w:val="20"/>
        </w:rPr>
      </w:pPr>
    </w:p>
    <w:p w14:paraId="2D35B230" w14:textId="43DAD69D" w:rsidR="004E5AF5" w:rsidRPr="00A608EE" w:rsidRDefault="00672763" w:rsidP="00EE208A">
      <w:pPr>
        <w:jc w:val="both"/>
        <w:rPr>
          <w:rFonts w:asciiTheme="majorHAnsi" w:hAnsiTheme="majorHAnsi"/>
          <w:sz w:val="20"/>
          <w:szCs w:val="20"/>
          <w:lang w:eastAsia="fr-FR"/>
        </w:rPr>
      </w:pPr>
      <w:r w:rsidRPr="00A608EE">
        <w:rPr>
          <w:rFonts w:ascii="Work Sans" w:hAnsi="Work Sans"/>
          <w:b/>
          <w:bCs/>
          <w:sz w:val="20"/>
          <w:szCs w:val="20"/>
          <w:lang w:eastAsia="fr-FR"/>
        </w:rPr>
        <w:t>D</w:t>
      </w:r>
      <w:r w:rsidR="00FC6779" w:rsidRPr="00A608EE">
        <w:rPr>
          <w:rFonts w:ascii="Work Sans" w:hAnsi="Work Sans"/>
          <w:b/>
          <w:bCs/>
          <w:sz w:val="20"/>
          <w:szCs w:val="20"/>
          <w:lang w:eastAsia="fr-FR"/>
        </w:rPr>
        <w:t>I Indicator:</w:t>
      </w:r>
      <w:r w:rsidR="00FC6779" w:rsidRPr="00A608EE">
        <w:rPr>
          <w:rFonts w:ascii="Work Sans" w:hAnsi="Work Sans"/>
          <w:sz w:val="20"/>
          <w:szCs w:val="20"/>
          <w:lang w:eastAsia="fr-FR"/>
        </w:rPr>
        <w:t xml:space="preserve"> </w:t>
      </w:r>
      <w:r w:rsidR="00860294" w:rsidRPr="00A608EE">
        <w:rPr>
          <w:noProof/>
          <w:sz w:val="20"/>
          <w:szCs w:val="20"/>
        </w:rPr>
        <mc:AlternateContent>
          <mc:Choice Requires="wps">
            <w:drawing>
              <wp:anchor distT="0" distB="0" distL="114300" distR="114300" simplePos="0" relativeHeight="251714560" behindDoc="0" locked="0" layoutInCell="1" allowOverlap="1" wp14:anchorId="1D7B4E44" wp14:editId="6E55213B">
                <wp:simplePos x="0" y="0"/>
                <wp:positionH relativeFrom="margin">
                  <wp:align>left</wp:align>
                </wp:positionH>
                <wp:positionV relativeFrom="paragraph">
                  <wp:posOffset>590550</wp:posOffset>
                </wp:positionV>
                <wp:extent cx="1828800" cy="1828800"/>
                <wp:effectExtent l="0" t="0" r="24130" b="28575"/>
                <wp:wrapSquare wrapText="bothSides"/>
                <wp:docPr id="220430838"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7F634CC2" w14:textId="67463755" w:rsidR="004E5AF5" w:rsidRPr="00820B09" w:rsidRDefault="00EB123D" w:rsidP="00EE208A">
                            <w:pPr>
                              <w:jc w:val="both"/>
                              <w:rPr>
                                <w:rFonts w:asciiTheme="majorHAnsi" w:hAnsiTheme="majorHAnsi"/>
                                <w:b/>
                                <w:bCs/>
                                <w:sz w:val="20"/>
                                <w:szCs w:val="20"/>
                                <w:lang w:eastAsia="fr-FR"/>
                              </w:rPr>
                            </w:pPr>
                            <w:r w:rsidRPr="00820B09">
                              <w:t xml:space="preserve"> </w:t>
                            </w:r>
                            <w:r w:rsidRPr="00820B09">
                              <w:rPr>
                                <w:rFonts w:asciiTheme="majorHAnsi" w:hAnsiTheme="majorHAnsi"/>
                                <w:b/>
                                <w:bCs/>
                                <w:sz w:val="20"/>
                                <w:szCs w:val="20"/>
                                <w:lang w:eastAsia="fr-FR"/>
                              </w:rPr>
                              <w:t>Disability Inclusion - Info Box</w:t>
                            </w:r>
                            <w:r w:rsidR="004E5AF5" w:rsidRPr="00820B09">
                              <w:rPr>
                                <w:rFonts w:asciiTheme="majorHAnsi" w:hAnsiTheme="majorHAnsi"/>
                                <w:b/>
                                <w:bCs/>
                                <w:sz w:val="20"/>
                                <w:szCs w:val="20"/>
                                <w:lang w:eastAsia="fr-FR"/>
                              </w:rPr>
                              <w:t>. 4.B.2.1</w:t>
                            </w:r>
                          </w:p>
                          <w:p w14:paraId="11D91E48" w14:textId="77777777" w:rsidR="00063BF5" w:rsidRPr="00820B09" w:rsidRDefault="00063BF5" w:rsidP="00CD14AE">
                            <w:pPr>
                              <w:jc w:val="both"/>
                              <w:rPr>
                                <w:rFonts w:asciiTheme="majorHAnsi" w:hAnsiTheme="majorHAnsi"/>
                                <w:sz w:val="20"/>
                                <w:szCs w:val="20"/>
                                <w:lang w:eastAsia="fr-FR"/>
                              </w:rPr>
                            </w:pPr>
                          </w:p>
                          <w:p w14:paraId="1500201E" w14:textId="62CB2737" w:rsidR="00A058A3" w:rsidRPr="00820B09" w:rsidRDefault="00A058A3" w:rsidP="00A058A3">
                            <w:pPr>
                              <w:jc w:val="both"/>
                              <w:rPr>
                                <w:rFonts w:asciiTheme="majorHAnsi" w:hAnsiTheme="majorHAnsi"/>
                                <w:sz w:val="20"/>
                                <w:szCs w:val="20"/>
                                <w:lang w:eastAsia="fr-FR"/>
                              </w:rPr>
                            </w:pPr>
                            <w:r w:rsidRPr="00820B09">
                              <w:rPr>
                                <w:rFonts w:asciiTheme="majorHAnsi" w:hAnsiTheme="majorHAnsi"/>
                                <w:sz w:val="20"/>
                                <w:szCs w:val="20"/>
                                <w:lang w:eastAsia="fr-FR"/>
                              </w:rPr>
                              <w:t>The provider should offer a range of channels that are accessible to clients with different types of impairments</w:t>
                            </w:r>
                            <w:r w:rsidR="00902E86" w:rsidRPr="00820B09">
                              <w:rPr>
                                <w:rFonts w:asciiTheme="majorHAnsi" w:hAnsiTheme="majorHAnsi"/>
                                <w:sz w:val="20"/>
                                <w:szCs w:val="20"/>
                                <w:lang w:eastAsia="fr-FR"/>
                              </w:rPr>
                              <w:t xml:space="preserve"> to ask questions or seek information</w:t>
                            </w:r>
                            <w:r w:rsidRPr="00820B09">
                              <w:rPr>
                                <w:rFonts w:asciiTheme="majorHAnsi" w:hAnsiTheme="majorHAnsi"/>
                                <w:sz w:val="20"/>
                                <w:szCs w:val="20"/>
                                <w:lang w:eastAsia="fr-FR"/>
                              </w:rPr>
                              <w:t xml:space="preserve"> (e.g. accessible digital financial services, real-time text and voice communication via live chat, and telephone help-lines, as well as in-person </w:t>
                            </w:r>
                            <w:r w:rsidR="00902E86" w:rsidRPr="00820B09">
                              <w:rPr>
                                <w:rFonts w:asciiTheme="majorHAnsi" w:hAnsiTheme="majorHAnsi"/>
                                <w:sz w:val="20"/>
                                <w:szCs w:val="20"/>
                                <w:lang w:eastAsia="fr-FR"/>
                              </w:rPr>
                              <w:t>interactions</w:t>
                            </w:r>
                            <w:r w:rsidRPr="00820B09">
                              <w:rPr>
                                <w:rFonts w:asciiTheme="majorHAnsi" w:hAnsiTheme="majorHAnsi"/>
                                <w:sz w:val="20"/>
                                <w:szCs w:val="20"/>
                                <w:lang w:eastAsia="fr-FR"/>
                              </w:rPr>
                              <w:t xml:space="preserve">). </w:t>
                            </w:r>
                            <w:r w:rsidR="00902E86" w:rsidRPr="00820B09">
                              <w:rPr>
                                <w:rFonts w:asciiTheme="majorHAnsi" w:hAnsiTheme="majorHAnsi"/>
                                <w:sz w:val="20"/>
                                <w:szCs w:val="20"/>
                                <w:lang w:eastAsia="fr-FR"/>
                              </w:rPr>
                              <w:t xml:space="preserve">Where possible, these should </w:t>
                            </w:r>
                            <w:r w:rsidRPr="00820B09">
                              <w:rPr>
                                <w:rFonts w:asciiTheme="majorHAnsi" w:hAnsiTheme="majorHAnsi"/>
                                <w:sz w:val="20"/>
                                <w:szCs w:val="20"/>
                                <w:lang w:eastAsia="fr-FR"/>
                              </w:rPr>
                              <w:t xml:space="preserve">provide flexible processes that enable communication in different formats based on client choice. </w:t>
                            </w:r>
                          </w:p>
                          <w:p w14:paraId="11F18878" w14:textId="77777777" w:rsidR="006F33FA" w:rsidRPr="00820B09" w:rsidRDefault="006F33FA" w:rsidP="00CD14AE">
                            <w:pPr>
                              <w:jc w:val="both"/>
                              <w:rPr>
                                <w:rFonts w:asciiTheme="majorHAnsi" w:hAnsiTheme="majorHAnsi"/>
                                <w:sz w:val="20"/>
                                <w:szCs w:val="20"/>
                                <w:lang w:eastAsia="fr-FR"/>
                              </w:rPr>
                            </w:pPr>
                          </w:p>
                          <w:p w14:paraId="43037F9A" w14:textId="3105BC63" w:rsidR="006F33FA" w:rsidRPr="00820B09" w:rsidRDefault="0035477A" w:rsidP="00CD14AE">
                            <w:pPr>
                              <w:jc w:val="both"/>
                              <w:rPr>
                                <w:rFonts w:asciiTheme="majorHAnsi" w:hAnsiTheme="majorHAnsi"/>
                                <w:sz w:val="20"/>
                                <w:szCs w:val="20"/>
                                <w:lang w:eastAsia="fr-FR"/>
                              </w:rPr>
                            </w:pPr>
                            <w:r w:rsidRPr="00820B09">
                              <w:rPr>
                                <w:rFonts w:asciiTheme="majorHAnsi" w:hAnsiTheme="majorHAnsi"/>
                                <w:sz w:val="20"/>
                                <w:szCs w:val="20"/>
                                <w:lang w:eastAsia="fr-FR"/>
                              </w:rPr>
                              <w:t>Providers should take steps to improve the physical accessibility of branches (see indicator 3.B.2.2) to enable clients to ask questions or seek information in person from staff. Providing d</w:t>
                            </w:r>
                            <w:r w:rsidR="006F33FA" w:rsidRPr="00820B09">
                              <w:rPr>
                                <w:rFonts w:asciiTheme="majorHAnsi" w:hAnsiTheme="majorHAnsi"/>
                                <w:sz w:val="20"/>
                                <w:szCs w:val="20"/>
                                <w:lang w:eastAsia="fr-FR"/>
                              </w:rPr>
                              <w:t>edicated service counters, and specialized staff who are trained in different communication methods</w:t>
                            </w:r>
                            <w:r w:rsidRPr="00820B09">
                              <w:rPr>
                                <w:rFonts w:asciiTheme="majorHAnsi" w:hAnsiTheme="majorHAnsi"/>
                                <w:sz w:val="20"/>
                                <w:szCs w:val="20"/>
                                <w:lang w:eastAsia="fr-FR"/>
                              </w:rPr>
                              <w:t xml:space="preserve"> such as sign language, facilitates two way communication</w:t>
                            </w:r>
                            <w:r w:rsidR="006F33FA" w:rsidRPr="00820B09">
                              <w:rPr>
                                <w:rFonts w:asciiTheme="majorHAnsi" w:hAnsiTheme="majorHAnsi"/>
                                <w:sz w:val="20"/>
                                <w:szCs w:val="20"/>
                                <w:lang w:eastAsia="fr-FR"/>
                              </w:rPr>
                              <w:t xml:space="preserve">. Visits by field staff, mobile banking units, village banking models, door-step banking, and agent networks </w:t>
                            </w:r>
                            <w:r w:rsidR="00B810E7" w:rsidRPr="00820B09">
                              <w:rPr>
                                <w:rFonts w:asciiTheme="majorHAnsi" w:hAnsiTheme="majorHAnsi"/>
                                <w:sz w:val="20"/>
                                <w:szCs w:val="20"/>
                                <w:lang w:eastAsia="fr-FR"/>
                              </w:rPr>
                              <w:t xml:space="preserve">overcome </w:t>
                            </w:r>
                            <w:r w:rsidR="006F33FA" w:rsidRPr="00820B09">
                              <w:rPr>
                                <w:rFonts w:asciiTheme="majorHAnsi" w:hAnsiTheme="majorHAnsi"/>
                                <w:sz w:val="20"/>
                                <w:szCs w:val="20"/>
                                <w:lang w:eastAsia="fr-FR"/>
                              </w:rPr>
                              <w:t>bring services closer to</w:t>
                            </w:r>
                            <w:r w:rsidR="00B810E7" w:rsidRPr="00820B09">
                              <w:rPr>
                                <w:rFonts w:asciiTheme="majorHAnsi" w:hAnsiTheme="majorHAnsi"/>
                                <w:sz w:val="20"/>
                                <w:szCs w:val="20"/>
                                <w:lang w:eastAsia="fr-FR"/>
                              </w:rPr>
                              <w:t xml:space="preserve"> </w:t>
                            </w:r>
                            <w:r w:rsidR="006F33FA" w:rsidRPr="00820B09">
                              <w:rPr>
                                <w:rFonts w:asciiTheme="majorHAnsi" w:hAnsiTheme="majorHAnsi"/>
                                <w:sz w:val="20"/>
                                <w:szCs w:val="20"/>
                                <w:lang w:eastAsia="fr-FR"/>
                              </w:rPr>
                              <w:t>client</w:t>
                            </w:r>
                            <w:r w:rsidR="00B810E7" w:rsidRPr="00820B09">
                              <w:rPr>
                                <w:rFonts w:asciiTheme="majorHAnsi" w:hAnsiTheme="majorHAnsi"/>
                                <w:sz w:val="20"/>
                                <w:szCs w:val="20"/>
                                <w:lang w:eastAsia="fr-FR"/>
                              </w:rPr>
                              <w:t>s</w:t>
                            </w:r>
                            <w:r w:rsidR="006F33FA" w:rsidRPr="00820B09">
                              <w:rPr>
                                <w:rFonts w:asciiTheme="majorHAnsi" w:hAnsiTheme="majorHAnsi"/>
                                <w:sz w:val="20"/>
                                <w:szCs w:val="20"/>
                                <w:lang w:eastAsia="fr-FR"/>
                              </w:rPr>
                              <w:t>, providing</w:t>
                            </w:r>
                            <w:r w:rsidRPr="00820B09">
                              <w:rPr>
                                <w:rFonts w:asciiTheme="majorHAnsi" w:hAnsiTheme="majorHAnsi"/>
                                <w:sz w:val="20"/>
                                <w:szCs w:val="20"/>
                                <w:lang w:eastAsia="fr-FR"/>
                              </w:rPr>
                              <w:t xml:space="preserve"> </w:t>
                            </w:r>
                            <w:r w:rsidR="006F33FA" w:rsidRPr="00820B09">
                              <w:rPr>
                                <w:rFonts w:asciiTheme="majorHAnsi" w:hAnsiTheme="majorHAnsi"/>
                                <w:sz w:val="20"/>
                                <w:szCs w:val="20"/>
                                <w:lang w:eastAsia="fr-FR"/>
                              </w:rPr>
                              <w:t xml:space="preserve">opportunities for persons with </w:t>
                            </w:r>
                            <w:r w:rsidR="00B810E7" w:rsidRPr="00820B09">
                              <w:rPr>
                                <w:rFonts w:asciiTheme="majorHAnsi" w:hAnsiTheme="majorHAnsi"/>
                                <w:sz w:val="20"/>
                                <w:szCs w:val="20"/>
                                <w:lang w:eastAsia="fr-FR"/>
                              </w:rPr>
                              <w:t xml:space="preserve">disabilities who face barriers to accessing branches to ask questions of receive information from staff. </w:t>
                            </w:r>
                          </w:p>
                          <w:p w14:paraId="2FFEE0D8" w14:textId="77777777" w:rsidR="00B810E7" w:rsidRPr="00820B09" w:rsidRDefault="00B810E7" w:rsidP="00CD14AE">
                            <w:pPr>
                              <w:jc w:val="both"/>
                              <w:rPr>
                                <w:rFonts w:asciiTheme="majorHAnsi" w:hAnsiTheme="majorHAnsi"/>
                                <w:sz w:val="20"/>
                                <w:szCs w:val="20"/>
                                <w:lang w:eastAsia="fr-FR"/>
                              </w:rPr>
                            </w:pPr>
                          </w:p>
                          <w:p w14:paraId="7D8156F0" w14:textId="4981680C" w:rsidR="00B810E7" w:rsidRPr="00820B09" w:rsidRDefault="00B810E7" w:rsidP="00CD14AE">
                            <w:pPr>
                              <w:jc w:val="both"/>
                              <w:rPr>
                                <w:rFonts w:asciiTheme="majorHAnsi" w:hAnsiTheme="majorHAnsi"/>
                                <w:sz w:val="20"/>
                                <w:szCs w:val="20"/>
                                <w:lang w:eastAsia="fr-FR"/>
                              </w:rPr>
                            </w:pPr>
                            <w:r w:rsidRPr="00820B09">
                              <w:rPr>
                                <w:rFonts w:asciiTheme="majorHAnsi" w:hAnsiTheme="majorHAnsi"/>
                                <w:sz w:val="20"/>
                                <w:szCs w:val="20"/>
                                <w:lang w:eastAsia="fr-FR"/>
                              </w:rPr>
                              <w:t xml:space="preserve">Telephony channels, including phone lines at branches, call centres, and telephone banking, enable </w:t>
                            </w:r>
                            <w:r w:rsidR="0035477A" w:rsidRPr="00820B09">
                              <w:rPr>
                                <w:rFonts w:asciiTheme="majorHAnsi" w:hAnsiTheme="majorHAnsi"/>
                                <w:sz w:val="20"/>
                                <w:szCs w:val="20"/>
                                <w:lang w:eastAsia="fr-FR"/>
                              </w:rPr>
                              <w:t xml:space="preserve">clients to ask questions </w:t>
                            </w:r>
                            <w:r w:rsidR="00A058A3" w:rsidRPr="00820B09">
                              <w:rPr>
                                <w:rFonts w:asciiTheme="majorHAnsi" w:hAnsiTheme="majorHAnsi"/>
                                <w:sz w:val="20"/>
                                <w:szCs w:val="20"/>
                                <w:lang w:eastAsia="fr-FR"/>
                              </w:rPr>
                              <w:t xml:space="preserve">and seek information </w:t>
                            </w:r>
                            <w:r w:rsidRPr="00820B09">
                              <w:rPr>
                                <w:rFonts w:asciiTheme="majorHAnsi" w:hAnsiTheme="majorHAnsi"/>
                                <w:sz w:val="20"/>
                                <w:szCs w:val="20"/>
                                <w:lang w:eastAsia="fr-FR"/>
                              </w:rPr>
                              <w:t>regardless of location. However, they present barriers for clients with hearing</w:t>
                            </w:r>
                            <w:r w:rsidR="0035477A" w:rsidRPr="00820B09">
                              <w:rPr>
                                <w:rFonts w:asciiTheme="majorHAnsi" w:hAnsiTheme="majorHAnsi"/>
                                <w:sz w:val="20"/>
                                <w:szCs w:val="20"/>
                                <w:lang w:eastAsia="fr-FR"/>
                              </w:rPr>
                              <w:t xml:space="preserve"> and </w:t>
                            </w:r>
                            <w:r w:rsidRPr="00820B09">
                              <w:rPr>
                                <w:rFonts w:asciiTheme="majorHAnsi" w:hAnsiTheme="majorHAnsi"/>
                                <w:sz w:val="20"/>
                                <w:szCs w:val="20"/>
                                <w:lang w:eastAsia="fr-FR"/>
                              </w:rPr>
                              <w:t>speech</w:t>
                            </w:r>
                            <w:r w:rsidR="0035477A" w:rsidRPr="00820B09">
                              <w:rPr>
                                <w:rFonts w:asciiTheme="majorHAnsi" w:hAnsiTheme="majorHAnsi"/>
                                <w:sz w:val="20"/>
                                <w:szCs w:val="20"/>
                                <w:lang w:eastAsia="fr-FR"/>
                              </w:rPr>
                              <w:t xml:space="preserve"> </w:t>
                            </w:r>
                            <w:r w:rsidRPr="00820B09">
                              <w:rPr>
                                <w:rFonts w:asciiTheme="majorHAnsi" w:hAnsiTheme="majorHAnsi"/>
                                <w:sz w:val="20"/>
                                <w:szCs w:val="20"/>
                                <w:lang w:eastAsia="fr-FR"/>
                              </w:rPr>
                              <w:t>impairments or psychosocial disabilities, due to issues such as audio-only interfaces, complex interactive voice response (IVR) systems, and reliance on voice-recognition systems.</w:t>
                            </w:r>
                            <w:r w:rsidR="0035477A" w:rsidRPr="00820B09">
                              <w:rPr>
                                <w:rFonts w:asciiTheme="majorHAnsi" w:hAnsiTheme="majorHAnsi"/>
                                <w:sz w:val="20"/>
                                <w:szCs w:val="20"/>
                                <w:lang w:eastAsia="fr-FR"/>
                              </w:rPr>
                              <w:t xml:space="preserve"> These barriers can be mitigated to some extent by building flexibility into systems and processes, and enabling clients to choose options for different communication methods where possible</w:t>
                            </w:r>
                            <w:r w:rsidR="00A058A3" w:rsidRPr="00820B09">
                              <w:rPr>
                                <w:rFonts w:asciiTheme="majorHAnsi" w:hAnsiTheme="majorHAnsi"/>
                                <w:sz w:val="20"/>
                                <w:szCs w:val="20"/>
                                <w:lang w:eastAsia="fr-FR"/>
                              </w:rPr>
                              <w:t>. In some countries, services are available which enable persons with hearing impairments to use telephony systems by communicating via third party service intermediaries using text (Text-based relay services) or sign language (Video relay services).</w:t>
                            </w:r>
                          </w:p>
                          <w:p w14:paraId="02D450AF" w14:textId="77777777" w:rsidR="00B810E7" w:rsidRPr="00820B09" w:rsidRDefault="00B810E7" w:rsidP="00CD14AE">
                            <w:pPr>
                              <w:jc w:val="both"/>
                              <w:rPr>
                                <w:rFonts w:asciiTheme="majorHAnsi" w:hAnsiTheme="majorHAnsi"/>
                                <w:sz w:val="20"/>
                                <w:szCs w:val="20"/>
                                <w:lang w:eastAsia="fr-FR"/>
                              </w:rPr>
                            </w:pPr>
                          </w:p>
                          <w:p w14:paraId="61D4D43A" w14:textId="2662DC8D" w:rsidR="00B810E7" w:rsidRPr="00820B09" w:rsidRDefault="00B810E7" w:rsidP="00CD14AE">
                            <w:pPr>
                              <w:jc w:val="both"/>
                              <w:rPr>
                                <w:rFonts w:asciiTheme="majorHAnsi" w:hAnsiTheme="majorHAnsi"/>
                                <w:sz w:val="20"/>
                                <w:szCs w:val="20"/>
                                <w:lang w:eastAsia="fr-FR"/>
                              </w:rPr>
                            </w:pPr>
                            <w:r w:rsidRPr="00820B09">
                              <w:rPr>
                                <w:rFonts w:asciiTheme="majorHAnsi" w:hAnsiTheme="majorHAnsi"/>
                                <w:sz w:val="20"/>
                                <w:szCs w:val="20"/>
                                <w:lang w:eastAsia="fr-FR"/>
                              </w:rPr>
                              <w:t>Digital financial services</w:t>
                            </w:r>
                            <w:r w:rsidR="0035477A" w:rsidRPr="00820B09">
                              <w:rPr>
                                <w:rFonts w:asciiTheme="majorHAnsi" w:hAnsiTheme="majorHAnsi"/>
                                <w:sz w:val="20"/>
                                <w:szCs w:val="20"/>
                                <w:lang w:eastAsia="fr-FR"/>
                              </w:rPr>
                              <w:t xml:space="preserve"> can provide an </w:t>
                            </w:r>
                            <w:r w:rsidRPr="00820B09">
                              <w:rPr>
                                <w:rFonts w:asciiTheme="majorHAnsi" w:hAnsiTheme="majorHAnsi"/>
                                <w:sz w:val="20"/>
                                <w:szCs w:val="20"/>
                                <w:lang w:eastAsia="fr-FR"/>
                              </w:rPr>
                              <w:t xml:space="preserve">effective </w:t>
                            </w:r>
                            <w:r w:rsidR="0035477A" w:rsidRPr="00820B09">
                              <w:rPr>
                                <w:rFonts w:asciiTheme="majorHAnsi" w:hAnsiTheme="majorHAnsi"/>
                                <w:sz w:val="20"/>
                                <w:szCs w:val="20"/>
                                <w:lang w:eastAsia="fr-FR"/>
                              </w:rPr>
                              <w:t xml:space="preserve">way for clients to access information (e.g. from websites, online banking and mobile apps) and ask questions </w:t>
                            </w:r>
                            <w:r w:rsidRPr="00820B09">
                              <w:rPr>
                                <w:rFonts w:asciiTheme="majorHAnsi" w:hAnsiTheme="majorHAnsi"/>
                                <w:sz w:val="20"/>
                                <w:szCs w:val="20"/>
                                <w:lang w:eastAsia="fr-FR"/>
                              </w:rPr>
                              <w:t>through live chat, as long as the</w:t>
                            </w:r>
                            <w:r w:rsidR="0035477A" w:rsidRPr="00820B09">
                              <w:rPr>
                                <w:rFonts w:asciiTheme="majorHAnsi" w:hAnsiTheme="majorHAnsi"/>
                                <w:sz w:val="20"/>
                                <w:szCs w:val="20"/>
                                <w:lang w:eastAsia="fr-FR"/>
                              </w:rPr>
                              <w:t xml:space="preserve"> interfaces </w:t>
                            </w:r>
                            <w:r w:rsidRPr="00820B09">
                              <w:rPr>
                                <w:rFonts w:asciiTheme="majorHAnsi" w:hAnsiTheme="majorHAnsi"/>
                                <w:sz w:val="20"/>
                                <w:szCs w:val="20"/>
                                <w:lang w:eastAsia="fr-FR"/>
                              </w:rPr>
                              <w:t>are designed according to accessibility standards (see indicator 3.B.2.2)</w:t>
                            </w:r>
                          </w:p>
                          <w:p w14:paraId="2777C644" w14:textId="77777777" w:rsidR="00B810E7" w:rsidRPr="00820B09" w:rsidRDefault="00B810E7" w:rsidP="00CD14AE">
                            <w:pPr>
                              <w:jc w:val="both"/>
                              <w:rPr>
                                <w:rFonts w:asciiTheme="majorHAnsi" w:hAnsiTheme="majorHAnsi"/>
                                <w:sz w:val="20"/>
                                <w:szCs w:val="20"/>
                                <w:lang w:eastAsia="fr-FR"/>
                              </w:rPr>
                            </w:pPr>
                          </w:p>
                          <w:p w14:paraId="7E6CF820" w14:textId="77777777" w:rsidR="00902E86" w:rsidRPr="00820B09" w:rsidRDefault="00902E86" w:rsidP="00902E86">
                            <w:pPr>
                              <w:jc w:val="both"/>
                              <w:rPr>
                                <w:rFonts w:asciiTheme="majorHAnsi" w:hAnsiTheme="majorHAnsi"/>
                                <w:sz w:val="20"/>
                                <w:szCs w:val="20"/>
                                <w:lang w:eastAsia="fr-FR"/>
                              </w:rPr>
                            </w:pPr>
                            <w:r w:rsidRPr="00820B09">
                              <w:rPr>
                                <w:rFonts w:asciiTheme="majorHAnsi" w:hAnsiTheme="majorHAnsi"/>
                                <w:sz w:val="20"/>
                                <w:szCs w:val="20"/>
                                <w:lang w:eastAsia="fr-FR"/>
                              </w:rPr>
                              <w:t>All client-facing staff, including call-center agents, should receive training on communicating with persons with different types of impairments, and providing information in accessible formats e.g. Easy-read, large print, braille, audio formats, oral information, sign language, accessible digital formats (see indicator 4.B.1.4).</w:t>
                            </w:r>
                          </w:p>
                          <w:p w14:paraId="3577D6DE" w14:textId="77777777" w:rsidR="00902E86" w:rsidRPr="00820B09" w:rsidRDefault="00902E86" w:rsidP="00902E86">
                            <w:pPr>
                              <w:jc w:val="both"/>
                              <w:rPr>
                                <w:rFonts w:asciiTheme="majorHAnsi" w:hAnsiTheme="majorHAnsi"/>
                                <w:sz w:val="20"/>
                                <w:szCs w:val="20"/>
                                <w:lang w:eastAsia="fr-FR"/>
                              </w:rPr>
                            </w:pPr>
                          </w:p>
                          <w:p w14:paraId="517AC436" w14:textId="77777777" w:rsidR="00902E86" w:rsidRPr="00820B09" w:rsidRDefault="00902E86" w:rsidP="00902E86">
                            <w:pPr>
                              <w:jc w:val="both"/>
                              <w:rPr>
                                <w:rFonts w:asciiTheme="majorHAnsi" w:hAnsiTheme="majorHAnsi"/>
                                <w:sz w:val="20"/>
                                <w:szCs w:val="20"/>
                                <w:lang w:eastAsia="fr-FR"/>
                              </w:rPr>
                            </w:pPr>
                            <w:r w:rsidRPr="00820B09">
                              <w:rPr>
                                <w:rFonts w:asciiTheme="majorHAnsi" w:hAnsiTheme="majorHAnsi"/>
                                <w:sz w:val="20"/>
                                <w:szCs w:val="20"/>
                                <w:lang w:eastAsia="fr-FR"/>
                              </w:rPr>
                              <w:t xml:space="preserve">Providers' policies should allow for a support person to facilitate communication with clients with disabilities, if requested by the client. Providers should ensure that communication is provided directly to clients with disabilities and not via their support persons, unless requested by the client. </w:t>
                            </w:r>
                          </w:p>
                          <w:p w14:paraId="13F987E9" w14:textId="77777777" w:rsidR="00C94DC4" w:rsidRPr="00820B09" w:rsidRDefault="00C94DC4" w:rsidP="00902E86">
                            <w:pPr>
                              <w:jc w:val="both"/>
                              <w:rPr>
                                <w:rFonts w:asciiTheme="majorHAnsi" w:hAnsiTheme="majorHAnsi"/>
                                <w:sz w:val="20"/>
                                <w:szCs w:val="20"/>
                                <w:lang w:eastAsia="fr-FR"/>
                              </w:rPr>
                            </w:pPr>
                          </w:p>
                          <w:p w14:paraId="4C894B67" w14:textId="6434C87F" w:rsidR="00C94DC4" w:rsidRPr="00820B09" w:rsidRDefault="00C94DC4" w:rsidP="00902E86">
                            <w:pPr>
                              <w:jc w:val="both"/>
                              <w:rPr>
                                <w:rFonts w:asciiTheme="majorHAnsi" w:hAnsiTheme="majorHAnsi"/>
                                <w:sz w:val="20"/>
                                <w:szCs w:val="20"/>
                                <w:lang w:eastAsia="fr-FR"/>
                              </w:rPr>
                            </w:pPr>
                            <w:r w:rsidRPr="00820B09">
                              <w:rPr>
                                <w:rFonts w:asciiTheme="majorHAnsi" w:hAnsiTheme="majorHAnsi"/>
                                <w:sz w:val="20"/>
                                <w:szCs w:val="20"/>
                                <w:lang w:eastAsia="fr-FR"/>
                              </w:rPr>
                              <w:t>See resources for this indicator related to inclusive service delivery. BFFI</w:t>
                            </w:r>
                            <w:r w:rsidR="00907EF8" w:rsidRPr="00820B09">
                              <w:rPr>
                                <w:rFonts w:asciiTheme="majorHAnsi" w:hAnsiTheme="majorHAnsi"/>
                                <w:sz w:val="20"/>
                                <w:szCs w:val="20"/>
                                <w:lang w:eastAsia="fr-FR"/>
                              </w:rPr>
                              <w:t>’s</w:t>
                            </w:r>
                            <w:r w:rsidRPr="00820B09">
                              <w:rPr>
                                <w:rFonts w:asciiTheme="majorHAnsi" w:hAnsiTheme="majorHAnsi"/>
                                <w:sz w:val="20"/>
                                <w:szCs w:val="20"/>
                                <w:lang w:eastAsia="fr-FR"/>
                              </w:rPr>
                              <w:t xml:space="preserve"> Disability Inclusion Guide for FSPs provides more information and detailed resources on accessible information and communication formats, including digital accessibility, and  guidance on disability etiquette and inclusive and respectful language for communications with persons with disabilities.     </w:t>
                            </w:r>
                          </w:p>
                          <w:p w14:paraId="6F7DC04E" w14:textId="256CD23F" w:rsidR="004E5AF5" w:rsidRPr="00820B09" w:rsidRDefault="004E5AF5" w:rsidP="0035477A"/>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D7B4E44" id="_x0000_s1056" type="#_x0000_t202" style="position:absolute;left:0;text-align:left;margin-left:0;margin-top:46.5pt;width:2in;height:2in;z-index:251714560;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" filled="f" strokeweight=".5pt">
                <v:textbox style="mso-fit-shape-to-text:t">
                  <w:txbxContent>
                    <w:p w14:paraId="7F634CC2" w14:textId="67463755" w:rsidR="004E5AF5" w:rsidRPr="00820B09" w:rsidRDefault="00EB123D" w:rsidP="00EE208A">
                      <w:pPr>
                        <w:jc w:val="both"/>
                        <w:rPr>
                          <w:rFonts w:asciiTheme="majorHAnsi" w:hAnsiTheme="majorHAnsi"/>
                          <w:b/>
                          <w:bCs/>
                          <w:sz w:val="20"/>
                          <w:szCs w:val="20"/>
                          <w:lang w:eastAsia="fr-FR"/>
                        </w:rPr>
                      </w:pPr>
                      <w:r w:rsidRPr="00820B09">
                        <w:t xml:space="preserve"> </w:t>
                      </w:r>
                      <w:r w:rsidRPr="00820B09">
                        <w:rPr>
                          <w:rFonts w:asciiTheme="majorHAnsi" w:hAnsiTheme="majorHAnsi"/>
                          <w:b/>
                          <w:bCs/>
                          <w:sz w:val="20"/>
                          <w:szCs w:val="20"/>
                          <w:lang w:eastAsia="fr-FR"/>
                        </w:rPr>
                        <w:t>Disability Inclusion - Info Box</w:t>
                      </w:r>
                      <w:r w:rsidR="004E5AF5" w:rsidRPr="00820B09">
                        <w:rPr>
                          <w:rFonts w:asciiTheme="majorHAnsi" w:hAnsiTheme="majorHAnsi"/>
                          <w:b/>
                          <w:bCs/>
                          <w:sz w:val="20"/>
                          <w:szCs w:val="20"/>
                          <w:lang w:eastAsia="fr-FR"/>
                        </w:rPr>
                        <w:t>. 4.B.2.1</w:t>
                      </w:r>
                    </w:p>
                    <w:p w14:paraId="11D91E48" w14:textId="77777777" w:rsidR="00063BF5" w:rsidRPr="00820B09" w:rsidRDefault="00063BF5" w:rsidP="00CD14AE">
                      <w:pPr>
                        <w:jc w:val="both"/>
                        <w:rPr>
                          <w:rFonts w:asciiTheme="majorHAnsi" w:hAnsiTheme="majorHAnsi"/>
                          <w:sz w:val="20"/>
                          <w:szCs w:val="20"/>
                          <w:lang w:eastAsia="fr-FR"/>
                        </w:rPr>
                      </w:pPr>
                    </w:p>
                    <w:p w14:paraId="1500201E" w14:textId="62CB2737" w:rsidR="00A058A3" w:rsidRPr="00820B09" w:rsidRDefault="00A058A3" w:rsidP="00A058A3">
                      <w:pPr>
                        <w:jc w:val="both"/>
                        <w:rPr>
                          <w:rFonts w:asciiTheme="majorHAnsi" w:hAnsiTheme="majorHAnsi"/>
                          <w:sz w:val="20"/>
                          <w:szCs w:val="20"/>
                          <w:lang w:eastAsia="fr-FR"/>
                        </w:rPr>
                      </w:pPr>
                      <w:r w:rsidRPr="00820B09">
                        <w:rPr>
                          <w:rFonts w:asciiTheme="majorHAnsi" w:hAnsiTheme="majorHAnsi"/>
                          <w:sz w:val="20"/>
                          <w:szCs w:val="20"/>
                          <w:lang w:eastAsia="fr-FR"/>
                        </w:rPr>
                        <w:t>The provider should offer a range of channels that are accessible to clients with different types of impairments</w:t>
                      </w:r>
                      <w:r w:rsidR="00902E86" w:rsidRPr="00820B09">
                        <w:rPr>
                          <w:rFonts w:asciiTheme="majorHAnsi" w:hAnsiTheme="majorHAnsi"/>
                          <w:sz w:val="20"/>
                          <w:szCs w:val="20"/>
                          <w:lang w:eastAsia="fr-FR"/>
                        </w:rPr>
                        <w:t xml:space="preserve"> to ask questions or seek information</w:t>
                      </w:r>
                      <w:r w:rsidRPr="00820B09">
                        <w:rPr>
                          <w:rFonts w:asciiTheme="majorHAnsi" w:hAnsiTheme="majorHAnsi"/>
                          <w:sz w:val="20"/>
                          <w:szCs w:val="20"/>
                          <w:lang w:eastAsia="fr-FR"/>
                        </w:rPr>
                        <w:t xml:space="preserve"> (e.g. accessible digital financial services, real-time text and voice communication via live chat, and telephone help-lines, as well as in-person </w:t>
                      </w:r>
                      <w:r w:rsidR="00902E86" w:rsidRPr="00820B09">
                        <w:rPr>
                          <w:rFonts w:asciiTheme="majorHAnsi" w:hAnsiTheme="majorHAnsi"/>
                          <w:sz w:val="20"/>
                          <w:szCs w:val="20"/>
                          <w:lang w:eastAsia="fr-FR"/>
                        </w:rPr>
                        <w:t>interactions</w:t>
                      </w:r>
                      <w:r w:rsidRPr="00820B09">
                        <w:rPr>
                          <w:rFonts w:asciiTheme="majorHAnsi" w:hAnsiTheme="majorHAnsi"/>
                          <w:sz w:val="20"/>
                          <w:szCs w:val="20"/>
                          <w:lang w:eastAsia="fr-FR"/>
                        </w:rPr>
                        <w:t xml:space="preserve">). </w:t>
                      </w:r>
                      <w:r w:rsidR="00902E86" w:rsidRPr="00820B09">
                        <w:rPr>
                          <w:rFonts w:asciiTheme="majorHAnsi" w:hAnsiTheme="majorHAnsi"/>
                          <w:sz w:val="20"/>
                          <w:szCs w:val="20"/>
                          <w:lang w:eastAsia="fr-FR"/>
                        </w:rPr>
                        <w:t xml:space="preserve">Where possible, these should </w:t>
                      </w:r>
                      <w:r w:rsidRPr="00820B09">
                        <w:rPr>
                          <w:rFonts w:asciiTheme="majorHAnsi" w:hAnsiTheme="majorHAnsi"/>
                          <w:sz w:val="20"/>
                          <w:szCs w:val="20"/>
                          <w:lang w:eastAsia="fr-FR"/>
                        </w:rPr>
                        <w:t xml:space="preserve">provide flexible processes that enable communication in different formats based on client choice. </w:t>
                      </w:r>
                    </w:p>
                    <w:p w14:paraId="11F18878" w14:textId="77777777" w:rsidR="006F33FA" w:rsidRPr="00820B09" w:rsidRDefault="006F33FA" w:rsidP="00CD14AE">
                      <w:pPr>
                        <w:jc w:val="both"/>
                        <w:rPr>
                          <w:rFonts w:asciiTheme="majorHAnsi" w:hAnsiTheme="majorHAnsi"/>
                          <w:sz w:val="20"/>
                          <w:szCs w:val="20"/>
                          <w:lang w:eastAsia="fr-FR"/>
                        </w:rPr>
                      </w:pPr>
                    </w:p>
                    <w:p w14:paraId="43037F9A" w14:textId="3105BC63" w:rsidR="006F33FA" w:rsidRPr="00820B09" w:rsidRDefault="0035477A" w:rsidP="00CD14AE">
                      <w:pPr>
                        <w:jc w:val="both"/>
                        <w:rPr>
                          <w:rFonts w:asciiTheme="majorHAnsi" w:hAnsiTheme="majorHAnsi"/>
                          <w:sz w:val="20"/>
                          <w:szCs w:val="20"/>
                          <w:lang w:eastAsia="fr-FR"/>
                        </w:rPr>
                      </w:pPr>
                      <w:r w:rsidRPr="00820B09">
                        <w:rPr>
                          <w:rFonts w:asciiTheme="majorHAnsi" w:hAnsiTheme="majorHAnsi"/>
                          <w:sz w:val="20"/>
                          <w:szCs w:val="20"/>
                          <w:lang w:eastAsia="fr-FR"/>
                        </w:rPr>
                        <w:t>Providers should take steps to improve the physical accessibility of branches (see indicator 3.B.2.2) to enable clients to ask questions or seek information in person from staff. Providing d</w:t>
                      </w:r>
                      <w:r w:rsidR="006F33FA" w:rsidRPr="00820B09">
                        <w:rPr>
                          <w:rFonts w:asciiTheme="majorHAnsi" w:hAnsiTheme="majorHAnsi"/>
                          <w:sz w:val="20"/>
                          <w:szCs w:val="20"/>
                          <w:lang w:eastAsia="fr-FR"/>
                        </w:rPr>
                        <w:t>edicated service counters, and specialized staff who are trained in different communication methods</w:t>
                      </w:r>
                      <w:r w:rsidRPr="00820B09">
                        <w:rPr>
                          <w:rFonts w:asciiTheme="majorHAnsi" w:hAnsiTheme="majorHAnsi"/>
                          <w:sz w:val="20"/>
                          <w:szCs w:val="20"/>
                          <w:lang w:eastAsia="fr-FR"/>
                        </w:rPr>
                        <w:t xml:space="preserve"> such as sign language, facilitates two way communication</w:t>
                      </w:r>
                      <w:r w:rsidR="006F33FA" w:rsidRPr="00820B09">
                        <w:rPr>
                          <w:rFonts w:asciiTheme="majorHAnsi" w:hAnsiTheme="majorHAnsi"/>
                          <w:sz w:val="20"/>
                          <w:szCs w:val="20"/>
                          <w:lang w:eastAsia="fr-FR"/>
                        </w:rPr>
                        <w:t xml:space="preserve">. Visits by field staff, mobile banking units, village banking models, door-step banking, and agent networks </w:t>
                      </w:r>
                      <w:r w:rsidR="00B810E7" w:rsidRPr="00820B09">
                        <w:rPr>
                          <w:rFonts w:asciiTheme="majorHAnsi" w:hAnsiTheme="majorHAnsi"/>
                          <w:sz w:val="20"/>
                          <w:szCs w:val="20"/>
                          <w:lang w:eastAsia="fr-FR"/>
                        </w:rPr>
                        <w:t xml:space="preserve">overcome </w:t>
                      </w:r>
                      <w:r w:rsidR="006F33FA" w:rsidRPr="00820B09">
                        <w:rPr>
                          <w:rFonts w:asciiTheme="majorHAnsi" w:hAnsiTheme="majorHAnsi"/>
                          <w:sz w:val="20"/>
                          <w:szCs w:val="20"/>
                          <w:lang w:eastAsia="fr-FR"/>
                        </w:rPr>
                        <w:t>bring services closer to</w:t>
                      </w:r>
                      <w:r w:rsidR="00B810E7" w:rsidRPr="00820B09">
                        <w:rPr>
                          <w:rFonts w:asciiTheme="majorHAnsi" w:hAnsiTheme="majorHAnsi"/>
                          <w:sz w:val="20"/>
                          <w:szCs w:val="20"/>
                          <w:lang w:eastAsia="fr-FR"/>
                        </w:rPr>
                        <w:t xml:space="preserve"> </w:t>
                      </w:r>
                      <w:r w:rsidR="006F33FA" w:rsidRPr="00820B09">
                        <w:rPr>
                          <w:rFonts w:asciiTheme="majorHAnsi" w:hAnsiTheme="majorHAnsi"/>
                          <w:sz w:val="20"/>
                          <w:szCs w:val="20"/>
                          <w:lang w:eastAsia="fr-FR"/>
                        </w:rPr>
                        <w:t>client</w:t>
                      </w:r>
                      <w:r w:rsidR="00B810E7" w:rsidRPr="00820B09">
                        <w:rPr>
                          <w:rFonts w:asciiTheme="majorHAnsi" w:hAnsiTheme="majorHAnsi"/>
                          <w:sz w:val="20"/>
                          <w:szCs w:val="20"/>
                          <w:lang w:eastAsia="fr-FR"/>
                        </w:rPr>
                        <w:t>s</w:t>
                      </w:r>
                      <w:r w:rsidR="006F33FA" w:rsidRPr="00820B09">
                        <w:rPr>
                          <w:rFonts w:asciiTheme="majorHAnsi" w:hAnsiTheme="majorHAnsi"/>
                          <w:sz w:val="20"/>
                          <w:szCs w:val="20"/>
                          <w:lang w:eastAsia="fr-FR"/>
                        </w:rPr>
                        <w:t>, providing</w:t>
                      </w:r>
                      <w:r w:rsidRPr="00820B09">
                        <w:rPr>
                          <w:rFonts w:asciiTheme="majorHAnsi" w:hAnsiTheme="majorHAnsi"/>
                          <w:sz w:val="20"/>
                          <w:szCs w:val="20"/>
                          <w:lang w:eastAsia="fr-FR"/>
                        </w:rPr>
                        <w:t xml:space="preserve"> </w:t>
                      </w:r>
                      <w:r w:rsidR="006F33FA" w:rsidRPr="00820B09">
                        <w:rPr>
                          <w:rFonts w:asciiTheme="majorHAnsi" w:hAnsiTheme="majorHAnsi"/>
                          <w:sz w:val="20"/>
                          <w:szCs w:val="20"/>
                          <w:lang w:eastAsia="fr-FR"/>
                        </w:rPr>
                        <w:t xml:space="preserve">opportunities for persons with </w:t>
                      </w:r>
                      <w:r w:rsidR="00B810E7" w:rsidRPr="00820B09">
                        <w:rPr>
                          <w:rFonts w:asciiTheme="majorHAnsi" w:hAnsiTheme="majorHAnsi"/>
                          <w:sz w:val="20"/>
                          <w:szCs w:val="20"/>
                          <w:lang w:eastAsia="fr-FR"/>
                        </w:rPr>
                        <w:t xml:space="preserve">disabilities who face barriers to accessing branches to ask questions of receive information from staff. </w:t>
                      </w:r>
                    </w:p>
                    <w:p w14:paraId="2FFEE0D8" w14:textId="77777777" w:rsidR="00B810E7" w:rsidRPr="00820B09" w:rsidRDefault="00B810E7" w:rsidP="00CD14AE">
                      <w:pPr>
                        <w:jc w:val="both"/>
                        <w:rPr>
                          <w:rFonts w:asciiTheme="majorHAnsi" w:hAnsiTheme="majorHAnsi"/>
                          <w:sz w:val="20"/>
                          <w:szCs w:val="20"/>
                          <w:lang w:eastAsia="fr-FR"/>
                        </w:rPr>
                      </w:pPr>
                    </w:p>
                    <w:p w14:paraId="7D8156F0" w14:textId="4981680C" w:rsidR="00B810E7" w:rsidRPr="00820B09" w:rsidRDefault="00B810E7" w:rsidP="00CD14AE">
                      <w:pPr>
                        <w:jc w:val="both"/>
                        <w:rPr>
                          <w:rFonts w:asciiTheme="majorHAnsi" w:hAnsiTheme="majorHAnsi"/>
                          <w:sz w:val="20"/>
                          <w:szCs w:val="20"/>
                          <w:lang w:eastAsia="fr-FR"/>
                        </w:rPr>
                      </w:pPr>
                      <w:r w:rsidRPr="00820B09">
                        <w:rPr>
                          <w:rFonts w:asciiTheme="majorHAnsi" w:hAnsiTheme="majorHAnsi"/>
                          <w:sz w:val="20"/>
                          <w:szCs w:val="20"/>
                          <w:lang w:eastAsia="fr-FR"/>
                        </w:rPr>
                        <w:t xml:space="preserve">Telephony channels, including phone lines at branches, call centres, and telephone banking, enable </w:t>
                      </w:r>
                      <w:r w:rsidR="0035477A" w:rsidRPr="00820B09">
                        <w:rPr>
                          <w:rFonts w:asciiTheme="majorHAnsi" w:hAnsiTheme="majorHAnsi"/>
                          <w:sz w:val="20"/>
                          <w:szCs w:val="20"/>
                          <w:lang w:eastAsia="fr-FR"/>
                        </w:rPr>
                        <w:t xml:space="preserve">clients to ask questions </w:t>
                      </w:r>
                      <w:r w:rsidR="00A058A3" w:rsidRPr="00820B09">
                        <w:rPr>
                          <w:rFonts w:asciiTheme="majorHAnsi" w:hAnsiTheme="majorHAnsi"/>
                          <w:sz w:val="20"/>
                          <w:szCs w:val="20"/>
                          <w:lang w:eastAsia="fr-FR"/>
                        </w:rPr>
                        <w:t xml:space="preserve">and seek information </w:t>
                      </w:r>
                      <w:r w:rsidRPr="00820B09">
                        <w:rPr>
                          <w:rFonts w:asciiTheme="majorHAnsi" w:hAnsiTheme="majorHAnsi"/>
                          <w:sz w:val="20"/>
                          <w:szCs w:val="20"/>
                          <w:lang w:eastAsia="fr-FR"/>
                        </w:rPr>
                        <w:t>regardless of location. However, they present barriers for clients with hearing</w:t>
                      </w:r>
                      <w:r w:rsidR="0035477A" w:rsidRPr="00820B09">
                        <w:rPr>
                          <w:rFonts w:asciiTheme="majorHAnsi" w:hAnsiTheme="majorHAnsi"/>
                          <w:sz w:val="20"/>
                          <w:szCs w:val="20"/>
                          <w:lang w:eastAsia="fr-FR"/>
                        </w:rPr>
                        <w:t xml:space="preserve"> and </w:t>
                      </w:r>
                      <w:r w:rsidRPr="00820B09">
                        <w:rPr>
                          <w:rFonts w:asciiTheme="majorHAnsi" w:hAnsiTheme="majorHAnsi"/>
                          <w:sz w:val="20"/>
                          <w:szCs w:val="20"/>
                          <w:lang w:eastAsia="fr-FR"/>
                        </w:rPr>
                        <w:t>speech</w:t>
                      </w:r>
                      <w:r w:rsidR="0035477A" w:rsidRPr="00820B09">
                        <w:rPr>
                          <w:rFonts w:asciiTheme="majorHAnsi" w:hAnsiTheme="majorHAnsi"/>
                          <w:sz w:val="20"/>
                          <w:szCs w:val="20"/>
                          <w:lang w:eastAsia="fr-FR"/>
                        </w:rPr>
                        <w:t xml:space="preserve"> </w:t>
                      </w:r>
                      <w:r w:rsidRPr="00820B09">
                        <w:rPr>
                          <w:rFonts w:asciiTheme="majorHAnsi" w:hAnsiTheme="majorHAnsi"/>
                          <w:sz w:val="20"/>
                          <w:szCs w:val="20"/>
                          <w:lang w:eastAsia="fr-FR"/>
                        </w:rPr>
                        <w:t>impairments or psychosocial disabilities, due to issues such as audio-only interfaces, complex interactive voice response (IVR) systems, and reliance on voice-recognition systems.</w:t>
                      </w:r>
                      <w:r w:rsidR="0035477A" w:rsidRPr="00820B09">
                        <w:rPr>
                          <w:rFonts w:asciiTheme="majorHAnsi" w:hAnsiTheme="majorHAnsi"/>
                          <w:sz w:val="20"/>
                          <w:szCs w:val="20"/>
                          <w:lang w:eastAsia="fr-FR"/>
                        </w:rPr>
                        <w:t xml:space="preserve"> These barriers can be mitigated to some extent by building flexibility into systems and processes, and enabling clients to choose options for different communication methods where possible</w:t>
                      </w:r>
                      <w:r w:rsidR="00A058A3" w:rsidRPr="00820B09">
                        <w:rPr>
                          <w:rFonts w:asciiTheme="majorHAnsi" w:hAnsiTheme="majorHAnsi"/>
                          <w:sz w:val="20"/>
                          <w:szCs w:val="20"/>
                          <w:lang w:eastAsia="fr-FR"/>
                        </w:rPr>
                        <w:t>. In some countries, services are available which enable persons with hearing impairments to use telephony systems by communicating via third party service intermediaries using text (Text-based relay services) or sign language (Video relay services).</w:t>
                      </w:r>
                    </w:p>
                    <w:p w14:paraId="02D450AF" w14:textId="77777777" w:rsidR="00B810E7" w:rsidRPr="00820B09" w:rsidRDefault="00B810E7" w:rsidP="00CD14AE">
                      <w:pPr>
                        <w:jc w:val="both"/>
                        <w:rPr>
                          <w:rFonts w:asciiTheme="majorHAnsi" w:hAnsiTheme="majorHAnsi"/>
                          <w:sz w:val="20"/>
                          <w:szCs w:val="20"/>
                          <w:lang w:eastAsia="fr-FR"/>
                        </w:rPr>
                      </w:pPr>
                    </w:p>
                    <w:p w14:paraId="61D4D43A" w14:textId="2662DC8D" w:rsidR="00B810E7" w:rsidRPr="00820B09" w:rsidRDefault="00B810E7" w:rsidP="00CD14AE">
                      <w:pPr>
                        <w:jc w:val="both"/>
                        <w:rPr>
                          <w:rFonts w:asciiTheme="majorHAnsi" w:hAnsiTheme="majorHAnsi"/>
                          <w:sz w:val="20"/>
                          <w:szCs w:val="20"/>
                          <w:lang w:eastAsia="fr-FR"/>
                        </w:rPr>
                      </w:pPr>
                      <w:r w:rsidRPr="00820B09">
                        <w:rPr>
                          <w:rFonts w:asciiTheme="majorHAnsi" w:hAnsiTheme="majorHAnsi"/>
                          <w:sz w:val="20"/>
                          <w:szCs w:val="20"/>
                          <w:lang w:eastAsia="fr-FR"/>
                        </w:rPr>
                        <w:t>Digital financial services</w:t>
                      </w:r>
                      <w:r w:rsidR="0035477A" w:rsidRPr="00820B09">
                        <w:rPr>
                          <w:rFonts w:asciiTheme="majorHAnsi" w:hAnsiTheme="majorHAnsi"/>
                          <w:sz w:val="20"/>
                          <w:szCs w:val="20"/>
                          <w:lang w:eastAsia="fr-FR"/>
                        </w:rPr>
                        <w:t xml:space="preserve"> can provide an </w:t>
                      </w:r>
                      <w:r w:rsidRPr="00820B09">
                        <w:rPr>
                          <w:rFonts w:asciiTheme="majorHAnsi" w:hAnsiTheme="majorHAnsi"/>
                          <w:sz w:val="20"/>
                          <w:szCs w:val="20"/>
                          <w:lang w:eastAsia="fr-FR"/>
                        </w:rPr>
                        <w:t xml:space="preserve">effective </w:t>
                      </w:r>
                      <w:r w:rsidR="0035477A" w:rsidRPr="00820B09">
                        <w:rPr>
                          <w:rFonts w:asciiTheme="majorHAnsi" w:hAnsiTheme="majorHAnsi"/>
                          <w:sz w:val="20"/>
                          <w:szCs w:val="20"/>
                          <w:lang w:eastAsia="fr-FR"/>
                        </w:rPr>
                        <w:t xml:space="preserve">way for clients to access information (e.g. from websites, online banking and mobile apps) and ask questions </w:t>
                      </w:r>
                      <w:r w:rsidRPr="00820B09">
                        <w:rPr>
                          <w:rFonts w:asciiTheme="majorHAnsi" w:hAnsiTheme="majorHAnsi"/>
                          <w:sz w:val="20"/>
                          <w:szCs w:val="20"/>
                          <w:lang w:eastAsia="fr-FR"/>
                        </w:rPr>
                        <w:t>through live chat, as long as the</w:t>
                      </w:r>
                      <w:r w:rsidR="0035477A" w:rsidRPr="00820B09">
                        <w:rPr>
                          <w:rFonts w:asciiTheme="majorHAnsi" w:hAnsiTheme="majorHAnsi"/>
                          <w:sz w:val="20"/>
                          <w:szCs w:val="20"/>
                          <w:lang w:eastAsia="fr-FR"/>
                        </w:rPr>
                        <w:t xml:space="preserve"> interfaces </w:t>
                      </w:r>
                      <w:r w:rsidRPr="00820B09">
                        <w:rPr>
                          <w:rFonts w:asciiTheme="majorHAnsi" w:hAnsiTheme="majorHAnsi"/>
                          <w:sz w:val="20"/>
                          <w:szCs w:val="20"/>
                          <w:lang w:eastAsia="fr-FR"/>
                        </w:rPr>
                        <w:t>are designed according to accessibility standards (see indicator 3.B.2.2)</w:t>
                      </w:r>
                    </w:p>
                    <w:p w14:paraId="2777C644" w14:textId="77777777" w:rsidR="00B810E7" w:rsidRPr="00820B09" w:rsidRDefault="00B810E7" w:rsidP="00CD14AE">
                      <w:pPr>
                        <w:jc w:val="both"/>
                        <w:rPr>
                          <w:rFonts w:asciiTheme="majorHAnsi" w:hAnsiTheme="majorHAnsi"/>
                          <w:sz w:val="20"/>
                          <w:szCs w:val="20"/>
                          <w:lang w:eastAsia="fr-FR"/>
                        </w:rPr>
                      </w:pPr>
                    </w:p>
                    <w:p w14:paraId="7E6CF820" w14:textId="77777777" w:rsidR="00902E86" w:rsidRPr="00820B09" w:rsidRDefault="00902E86" w:rsidP="00902E86">
                      <w:pPr>
                        <w:jc w:val="both"/>
                        <w:rPr>
                          <w:rFonts w:asciiTheme="majorHAnsi" w:hAnsiTheme="majorHAnsi"/>
                          <w:sz w:val="20"/>
                          <w:szCs w:val="20"/>
                          <w:lang w:eastAsia="fr-FR"/>
                        </w:rPr>
                      </w:pPr>
                      <w:r w:rsidRPr="00820B09">
                        <w:rPr>
                          <w:rFonts w:asciiTheme="majorHAnsi" w:hAnsiTheme="majorHAnsi"/>
                          <w:sz w:val="20"/>
                          <w:szCs w:val="20"/>
                          <w:lang w:eastAsia="fr-FR"/>
                        </w:rPr>
                        <w:t>All client-facing staff, including call-center agents, should receive training on communicating with persons with different types of impairments, and providing information in accessible formats e.g. Easy-read, large print, braille, audio formats, oral information, sign language, accessible digital formats (see indicator 4.B.1.4).</w:t>
                      </w:r>
                    </w:p>
                    <w:p w14:paraId="3577D6DE" w14:textId="77777777" w:rsidR="00902E86" w:rsidRPr="00820B09" w:rsidRDefault="00902E86" w:rsidP="00902E86">
                      <w:pPr>
                        <w:jc w:val="both"/>
                        <w:rPr>
                          <w:rFonts w:asciiTheme="majorHAnsi" w:hAnsiTheme="majorHAnsi"/>
                          <w:sz w:val="20"/>
                          <w:szCs w:val="20"/>
                          <w:lang w:eastAsia="fr-FR"/>
                        </w:rPr>
                      </w:pPr>
                    </w:p>
                    <w:p w14:paraId="517AC436" w14:textId="77777777" w:rsidR="00902E86" w:rsidRPr="00820B09" w:rsidRDefault="00902E86" w:rsidP="00902E86">
                      <w:pPr>
                        <w:jc w:val="both"/>
                        <w:rPr>
                          <w:rFonts w:asciiTheme="majorHAnsi" w:hAnsiTheme="majorHAnsi"/>
                          <w:sz w:val="20"/>
                          <w:szCs w:val="20"/>
                          <w:lang w:eastAsia="fr-FR"/>
                        </w:rPr>
                      </w:pPr>
                      <w:r w:rsidRPr="00820B09">
                        <w:rPr>
                          <w:rFonts w:asciiTheme="majorHAnsi" w:hAnsiTheme="majorHAnsi"/>
                          <w:sz w:val="20"/>
                          <w:szCs w:val="20"/>
                          <w:lang w:eastAsia="fr-FR"/>
                        </w:rPr>
                        <w:t xml:space="preserve">Providers' policies should allow for a support person to facilitate communication with clients with disabilities, if requested by the client. Providers should ensure that communication is provided directly to clients with disabilities and not via their support persons, unless requested by the client. </w:t>
                      </w:r>
                    </w:p>
                    <w:p w14:paraId="13F987E9" w14:textId="77777777" w:rsidR="00C94DC4" w:rsidRPr="00820B09" w:rsidRDefault="00C94DC4" w:rsidP="00902E86">
                      <w:pPr>
                        <w:jc w:val="both"/>
                        <w:rPr>
                          <w:rFonts w:asciiTheme="majorHAnsi" w:hAnsiTheme="majorHAnsi"/>
                          <w:sz w:val="20"/>
                          <w:szCs w:val="20"/>
                          <w:lang w:eastAsia="fr-FR"/>
                        </w:rPr>
                      </w:pPr>
                    </w:p>
                    <w:p w14:paraId="4C894B67" w14:textId="6434C87F" w:rsidR="00C94DC4" w:rsidRPr="00820B09" w:rsidRDefault="00C94DC4" w:rsidP="00902E86">
                      <w:pPr>
                        <w:jc w:val="both"/>
                        <w:rPr>
                          <w:rFonts w:asciiTheme="majorHAnsi" w:hAnsiTheme="majorHAnsi"/>
                          <w:sz w:val="20"/>
                          <w:szCs w:val="20"/>
                          <w:lang w:eastAsia="fr-FR"/>
                        </w:rPr>
                      </w:pPr>
                      <w:r w:rsidRPr="00820B09">
                        <w:rPr>
                          <w:rFonts w:asciiTheme="majorHAnsi" w:hAnsiTheme="majorHAnsi"/>
                          <w:sz w:val="20"/>
                          <w:szCs w:val="20"/>
                          <w:lang w:eastAsia="fr-FR"/>
                        </w:rPr>
                        <w:t>See resources for this indicator related to inclusive service delivery. BFFI</w:t>
                      </w:r>
                      <w:r w:rsidR="00907EF8" w:rsidRPr="00820B09">
                        <w:rPr>
                          <w:rFonts w:asciiTheme="majorHAnsi" w:hAnsiTheme="majorHAnsi"/>
                          <w:sz w:val="20"/>
                          <w:szCs w:val="20"/>
                          <w:lang w:eastAsia="fr-FR"/>
                        </w:rPr>
                        <w:t>’s</w:t>
                      </w:r>
                      <w:r w:rsidRPr="00820B09">
                        <w:rPr>
                          <w:rFonts w:asciiTheme="majorHAnsi" w:hAnsiTheme="majorHAnsi"/>
                          <w:sz w:val="20"/>
                          <w:szCs w:val="20"/>
                          <w:lang w:eastAsia="fr-FR"/>
                        </w:rPr>
                        <w:t xml:space="preserve"> Disability Inclusion Guide for FSPs provides more information and detailed resources on accessible information and communication formats, including digital accessibility, and  guidance on disability etiquette and inclusive and respectful language for communications with persons with disabilities.     </w:t>
                      </w:r>
                    </w:p>
                    <w:p w14:paraId="6F7DC04E" w14:textId="256CD23F" w:rsidR="004E5AF5" w:rsidRPr="00820B09" w:rsidRDefault="004E5AF5" w:rsidP="0035477A"/>
                  </w:txbxContent>
                </v:textbox>
                <w10:wrap type="square" anchorx="margin"/>
              </v:shape>
            </w:pict>
          </mc:Fallback>
        </mc:AlternateContent>
      </w:r>
      <w:r w:rsidR="004E5AF5" w:rsidRPr="00A608EE">
        <w:rPr>
          <w:rFonts w:asciiTheme="majorHAnsi" w:hAnsiTheme="majorHAnsi"/>
          <w:sz w:val="20"/>
          <w:szCs w:val="20"/>
          <w:lang w:eastAsia="fr-FR"/>
        </w:rPr>
        <w:t>The provider offers multiple channels for clients to ask questions or receive additional information prior to signing contract, including channels accessible to persons with different types of impairments (physical, mental, intellectual or sensory impairments).</w:t>
      </w:r>
    </w:p>
    <w:p w14:paraId="1DFAF030" w14:textId="4C8DCB3F" w:rsidR="004E5AF5" w:rsidRPr="00A608EE" w:rsidRDefault="004E5AF5" w:rsidP="00EE208A">
      <w:pPr>
        <w:jc w:val="both"/>
        <w:rPr>
          <w:rFonts w:asciiTheme="majorHAnsi" w:hAnsiTheme="majorHAnsi"/>
          <w:szCs w:val="20"/>
          <w:lang w:eastAsia="fr-FR"/>
        </w:rPr>
      </w:pPr>
    </w:p>
    <w:p w14:paraId="6E6C812F" w14:textId="62289CDD" w:rsidR="00860294" w:rsidRPr="00A608EE" w:rsidRDefault="00860294" w:rsidP="00EE208A">
      <w:pPr>
        <w:jc w:val="both"/>
        <w:rPr>
          <w:rFonts w:asciiTheme="majorHAnsi" w:hAnsiTheme="majorHAnsi"/>
          <w:b/>
          <w:bCs/>
          <w:sz w:val="20"/>
          <w:szCs w:val="20"/>
          <w:lang w:eastAsia="fr-FR"/>
        </w:rPr>
      </w:pPr>
    </w:p>
    <w:p w14:paraId="140D6438" w14:textId="77777777" w:rsidR="00CB2F38" w:rsidRPr="00A608EE" w:rsidRDefault="00CB2F38" w:rsidP="00EE208A">
      <w:pPr>
        <w:jc w:val="both"/>
        <w:rPr>
          <w:rFonts w:asciiTheme="majorHAnsi" w:hAnsiTheme="majorHAnsi"/>
          <w:b/>
          <w:bCs/>
          <w:sz w:val="20"/>
          <w:szCs w:val="20"/>
          <w:lang w:eastAsia="fr-FR"/>
        </w:rPr>
      </w:pPr>
    </w:p>
    <w:p w14:paraId="08B05DAC" w14:textId="456D7AD0" w:rsidR="001B04BA" w:rsidRPr="00A608EE" w:rsidRDefault="001B04BA"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71064FC5" w14:textId="77777777" w:rsidR="001B04BA" w:rsidRPr="00A608EE" w:rsidRDefault="001B04BA"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4.B.2.1.1</w:t>
      </w:r>
    </w:p>
    <w:p w14:paraId="1A2F32ED" w14:textId="4022975F" w:rsidR="001B04BA" w:rsidRPr="00A608EE" w:rsidRDefault="001B04BA" w:rsidP="00A27AAA">
      <w:pPr>
        <w:numPr>
          <w:ilvl w:val="0"/>
          <w:numId w:val="244"/>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offers to all clients (1) all the contractual documentation upfront they are going to sign, (2) the explanations of the product terms and conditions in simple language that clients need for informed decisions (as related to previous indicators on transparency), (3) at least 24h to review the product/service offer, and (4) at least one channel for questions (the more channels the better).</w:t>
      </w:r>
    </w:p>
    <w:p w14:paraId="1FC17967" w14:textId="77777777" w:rsidR="001B04BA" w:rsidRPr="00A608EE" w:rsidRDefault="001B04BA" w:rsidP="00A27AAA">
      <w:pPr>
        <w:numPr>
          <w:ilvl w:val="0"/>
          <w:numId w:val="244"/>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does not meet fully the above four requirements. For instance, clients do not receive the complete contractual documentation upfront or the explanations of the product</w:t>
      </w:r>
      <w:r w:rsidRPr="00A608EE">
        <w:rPr>
          <w:rFonts w:asciiTheme="majorHAnsi" w:hAnsiTheme="majorHAnsi"/>
          <w:szCs w:val="20"/>
          <w:lang w:eastAsia="fr-FR"/>
        </w:rPr>
        <w:t xml:space="preserve"> </w:t>
      </w:r>
      <w:r w:rsidRPr="00A608EE">
        <w:rPr>
          <w:rFonts w:asciiTheme="majorHAnsi" w:hAnsiTheme="majorHAnsi"/>
          <w:sz w:val="20"/>
          <w:szCs w:val="20"/>
          <w:lang w:eastAsia="fr-FR"/>
        </w:rPr>
        <w:t>terms and conditions are in complicated language difficult to understand for by some clients or clients are given less than 24 hours to review the product/service offer.</w:t>
      </w:r>
    </w:p>
    <w:p w14:paraId="117AFEBC" w14:textId="3C42FB58" w:rsidR="001B04BA" w:rsidRPr="00A608EE" w:rsidRDefault="001B04BA" w:rsidP="00A27AAA">
      <w:pPr>
        <w:numPr>
          <w:ilvl w:val="0"/>
          <w:numId w:val="244"/>
        </w:numPr>
        <w:jc w:val="both"/>
        <w:rPr>
          <w:rFonts w:asciiTheme="majorHAnsi" w:hAnsiTheme="majorHAnsi"/>
          <w:szCs w:val="20"/>
          <w:lang w:eastAsia="fr-FR"/>
        </w:rPr>
      </w:pPr>
      <w:r w:rsidRPr="00A608EE">
        <w:rPr>
          <w:rFonts w:asciiTheme="majorHAnsi" w:hAnsiTheme="majorHAnsi"/>
          <w:sz w:val="20"/>
          <w:szCs w:val="20"/>
          <w:lang w:eastAsia="fr-FR"/>
        </w:rPr>
        <w:t>Score ’no’, if product terms and conditions are not understood by many clients or clients are not given any time to review the product/service offer or clients have no channel to access for questions</w:t>
      </w:r>
      <w:r w:rsidRPr="00A608EE">
        <w:rPr>
          <w:rFonts w:asciiTheme="majorHAnsi" w:hAnsiTheme="majorHAnsi"/>
          <w:szCs w:val="20"/>
          <w:lang w:eastAsia="fr-FR"/>
        </w:rPr>
        <w:t>.</w:t>
      </w:r>
    </w:p>
    <w:p w14:paraId="30D83986" w14:textId="7EF4D421" w:rsidR="001B04BA" w:rsidRPr="00A608EE" w:rsidRDefault="001B04BA"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4.B.2.1.2</w:t>
      </w:r>
    </w:p>
    <w:p w14:paraId="72239BF3" w14:textId="77777777" w:rsidR="001B04BA" w:rsidRPr="00A608EE" w:rsidRDefault="001B04BA" w:rsidP="00A27AAA">
      <w:pPr>
        <w:numPr>
          <w:ilvl w:val="0"/>
          <w:numId w:val="245"/>
        </w:numPr>
        <w:jc w:val="both"/>
        <w:rPr>
          <w:rFonts w:asciiTheme="majorHAnsi" w:hAnsiTheme="majorHAnsi"/>
          <w:sz w:val="20"/>
          <w:szCs w:val="20"/>
          <w:lang w:eastAsia="fr-FR"/>
        </w:rPr>
      </w:pPr>
      <w:r w:rsidRPr="00A608EE">
        <w:rPr>
          <w:rFonts w:asciiTheme="majorHAnsi" w:hAnsiTheme="majorHAnsi"/>
          <w:sz w:val="20"/>
          <w:szCs w:val="20"/>
          <w:lang w:eastAsia="fr-FR"/>
        </w:rPr>
        <w:t>Score ’N/A’, if the provider does </w:t>
      </w:r>
      <w:r w:rsidRPr="00A608EE">
        <w:rPr>
          <w:rFonts w:asciiTheme="majorHAnsi" w:hAnsiTheme="majorHAnsi"/>
          <w:sz w:val="20"/>
          <w:szCs w:val="20"/>
          <w:u w:val="single"/>
          <w:lang w:eastAsia="fr-FR"/>
        </w:rPr>
        <w:t>not</w:t>
      </w:r>
      <w:r w:rsidRPr="00A608EE">
        <w:rPr>
          <w:rFonts w:asciiTheme="majorHAnsi" w:hAnsiTheme="majorHAnsi"/>
          <w:sz w:val="20"/>
          <w:szCs w:val="20"/>
          <w:lang w:eastAsia="fr-FR"/>
        </w:rPr>
        <w:t> renew any voluntary product (deposits, insurance, debit cards, etc.) automatically.</w:t>
      </w:r>
    </w:p>
    <w:p w14:paraId="5B22A40D" w14:textId="77777777" w:rsidR="001B04BA" w:rsidRPr="00A608EE" w:rsidRDefault="001B04BA" w:rsidP="00A27AAA">
      <w:pPr>
        <w:numPr>
          <w:ilvl w:val="0"/>
          <w:numId w:val="245"/>
        </w:numPr>
        <w:jc w:val="both"/>
        <w:rPr>
          <w:rFonts w:asciiTheme="majorHAnsi" w:hAnsiTheme="majorHAnsi"/>
          <w:sz w:val="20"/>
          <w:szCs w:val="20"/>
          <w:lang w:eastAsia="fr-FR"/>
        </w:rPr>
      </w:pPr>
      <w:r w:rsidRPr="00A608EE">
        <w:rPr>
          <w:rFonts w:asciiTheme="majorHAnsi" w:hAnsiTheme="majorHAnsi"/>
          <w:sz w:val="20"/>
          <w:szCs w:val="20"/>
          <w:lang w:eastAsia="fr-FR"/>
        </w:rPr>
        <w:t>Score ‘yes’, if (1) there is clear evidence that clients have an opportunity to opt-out and (2) clients receive notice at least 2 weeks before.</w:t>
      </w:r>
    </w:p>
    <w:p w14:paraId="5AFC5A6B" w14:textId="77777777" w:rsidR="001B04BA" w:rsidRPr="00A608EE" w:rsidRDefault="001B04BA" w:rsidP="00A27AAA">
      <w:pPr>
        <w:numPr>
          <w:ilvl w:val="0"/>
          <w:numId w:val="245"/>
        </w:numPr>
        <w:jc w:val="both"/>
        <w:rPr>
          <w:rFonts w:asciiTheme="majorHAnsi" w:hAnsiTheme="majorHAnsi"/>
          <w:sz w:val="20"/>
          <w:szCs w:val="20"/>
          <w:lang w:eastAsia="fr-FR"/>
        </w:rPr>
      </w:pPr>
      <w:r w:rsidRPr="00A608EE">
        <w:rPr>
          <w:rFonts w:asciiTheme="majorHAnsi" w:hAnsiTheme="majorHAnsi"/>
          <w:sz w:val="20"/>
          <w:szCs w:val="20"/>
          <w:lang w:eastAsia="fr-FR"/>
        </w:rPr>
        <w:t>Score ‘partially’, if one of the two requirements are not met.</w:t>
      </w:r>
    </w:p>
    <w:p w14:paraId="1E259097" w14:textId="77777777" w:rsidR="001B04BA" w:rsidRPr="00A608EE" w:rsidRDefault="001B04BA" w:rsidP="00A27AAA">
      <w:pPr>
        <w:numPr>
          <w:ilvl w:val="0"/>
          <w:numId w:val="245"/>
        </w:numPr>
        <w:jc w:val="both"/>
        <w:rPr>
          <w:rFonts w:asciiTheme="majorHAnsi" w:hAnsiTheme="majorHAnsi"/>
          <w:sz w:val="20"/>
          <w:szCs w:val="20"/>
          <w:lang w:eastAsia="fr-FR"/>
        </w:rPr>
      </w:pPr>
      <w:r w:rsidRPr="00A608EE">
        <w:rPr>
          <w:rFonts w:asciiTheme="majorHAnsi" w:hAnsiTheme="majorHAnsi"/>
          <w:sz w:val="20"/>
          <w:szCs w:val="20"/>
          <w:lang w:eastAsia="fr-FR"/>
        </w:rPr>
        <w:t>Score ‘no’, if both requirements are not met.</w:t>
      </w:r>
    </w:p>
    <w:p w14:paraId="4E8928F3" w14:textId="77777777" w:rsidR="001B04BA" w:rsidRPr="00A608EE" w:rsidRDefault="001B04BA" w:rsidP="00EE208A">
      <w:pPr>
        <w:jc w:val="both"/>
        <w:rPr>
          <w:rFonts w:asciiTheme="majorHAnsi" w:hAnsiTheme="majorHAnsi"/>
          <w:sz w:val="20"/>
          <w:szCs w:val="20"/>
          <w:lang w:eastAsia="fr-FR"/>
        </w:rPr>
      </w:pPr>
    </w:p>
    <w:p w14:paraId="2228C2E7" w14:textId="5D422B6F" w:rsidR="001B04BA" w:rsidRPr="00A608EE" w:rsidRDefault="001B04BA"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10C9EDCA" w14:textId="77777777" w:rsidR="001B04BA" w:rsidRPr="00A608EE" w:rsidRDefault="001B04BA" w:rsidP="00A27AAA">
      <w:pPr>
        <w:numPr>
          <w:ilvl w:val="0"/>
          <w:numId w:val="246"/>
        </w:numPr>
        <w:jc w:val="both"/>
        <w:rPr>
          <w:rFonts w:asciiTheme="majorHAnsi" w:hAnsiTheme="majorHAnsi"/>
          <w:sz w:val="20"/>
          <w:szCs w:val="20"/>
          <w:lang w:eastAsia="fr-FR"/>
        </w:rPr>
      </w:pPr>
      <w:r w:rsidRPr="00A608EE">
        <w:rPr>
          <w:rFonts w:asciiTheme="majorHAnsi" w:hAnsiTheme="majorHAnsi"/>
          <w:sz w:val="20"/>
          <w:szCs w:val="20"/>
          <w:lang w:eastAsia="fr-FR"/>
        </w:rPr>
        <w:t>Transparency checklist, any checklist that field staff use to ensure they fully inform clients.</w:t>
      </w:r>
    </w:p>
    <w:p w14:paraId="2DB41801" w14:textId="77777777" w:rsidR="001B04BA" w:rsidRPr="00A608EE" w:rsidRDefault="001B04BA" w:rsidP="00A27AAA">
      <w:pPr>
        <w:numPr>
          <w:ilvl w:val="0"/>
          <w:numId w:val="246"/>
        </w:numPr>
        <w:jc w:val="both"/>
        <w:rPr>
          <w:rFonts w:asciiTheme="majorHAnsi" w:hAnsiTheme="majorHAnsi"/>
          <w:sz w:val="20"/>
          <w:szCs w:val="20"/>
          <w:lang w:eastAsia="fr-FR"/>
        </w:rPr>
      </w:pPr>
      <w:r w:rsidRPr="00A608EE">
        <w:rPr>
          <w:rFonts w:asciiTheme="majorHAnsi" w:hAnsiTheme="majorHAnsi"/>
          <w:sz w:val="20"/>
          <w:szCs w:val="20"/>
          <w:lang w:eastAsia="fr-FR"/>
        </w:rPr>
        <w:t>Leaflets or contracts or Key Facts Documents or other materials given to the clients to explain the product they are considering.</w:t>
      </w:r>
    </w:p>
    <w:p w14:paraId="7109ABFC" w14:textId="77777777" w:rsidR="001B04BA" w:rsidRPr="00A608EE" w:rsidRDefault="001B04BA" w:rsidP="00A27AAA">
      <w:pPr>
        <w:numPr>
          <w:ilvl w:val="0"/>
          <w:numId w:val="246"/>
        </w:numPr>
        <w:jc w:val="both"/>
        <w:rPr>
          <w:rFonts w:asciiTheme="majorHAnsi" w:hAnsiTheme="majorHAnsi"/>
          <w:sz w:val="20"/>
          <w:szCs w:val="20"/>
          <w:lang w:eastAsia="fr-FR"/>
        </w:rPr>
      </w:pPr>
      <w:r w:rsidRPr="00A608EE">
        <w:rPr>
          <w:rFonts w:asciiTheme="majorHAnsi" w:hAnsiTheme="majorHAnsi"/>
          <w:sz w:val="20"/>
          <w:szCs w:val="20"/>
          <w:lang w:eastAsia="fr-FR"/>
        </w:rPr>
        <w:t>Branch/field observations:</w:t>
      </w:r>
    </w:p>
    <w:p w14:paraId="1B17E9A5" w14:textId="77777777" w:rsidR="001B04BA" w:rsidRPr="00A608EE" w:rsidRDefault="001B04BA" w:rsidP="00A27AAA">
      <w:pPr>
        <w:numPr>
          <w:ilvl w:val="1"/>
          <w:numId w:val="246"/>
        </w:numPr>
        <w:jc w:val="both"/>
        <w:rPr>
          <w:rFonts w:asciiTheme="majorHAnsi" w:hAnsiTheme="majorHAnsi"/>
          <w:sz w:val="20"/>
          <w:szCs w:val="20"/>
          <w:lang w:eastAsia="fr-FR"/>
        </w:rPr>
      </w:pPr>
      <w:r w:rsidRPr="00A608EE">
        <w:rPr>
          <w:rFonts w:asciiTheme="majorHAnsi" w:hAnsiTheme="majorHAnsi"/>
          <w:sz w:val="20"/>
          <w:szCs w:val="20"/>
          <w:lang w:eastAsia="fr-FR"/>
        </w:rPr>
        <w:t>Attend the process from sales to signing, to determine if the client has sufficient time and clear complete materials to review before signing.</w:t>
      </w:r>
    </w:p>
    <w:p w14:paraId="7F6B2598" w14:textId="77777777" w:rsidR="001B04BA" w:rsidRPr="00A608EE" w:rsidRDefault="001B04BA" w:rsidP="00A27AAA">
      <w:pPr>
        <w:numPr>
          <w:ilvl w:val="1"/>
          <w:numId w:val="246"/>
        </w:numPr>
        <w:jc w:val="both"/>
        <w:rPr>
          <w:rFonts w:asciiTheme="majorHAnsi" w:hAnsiTheme="majorHAnsi"/>
          <w:sz w:val="20"/>
          <w:szCs w:val="20"/>
          <w:lang w:eastAsia="fr-FR"/>
        </w:rPr>
      </w:pPr>
      <w:r w:rsidRPr="00A608EE">
        <w:rPr>
          <w:rFonts w:asciiTheme="majorHAnsi" w:hAnsiTheme="majorHAnsi"/>
          <w:sz w:val="20"/>
          <w:szCs w:val="20"/>
          <w:lang w:eastAsia="fr-FR"/>
        </w:rPr>
        <w:t>Verify that clients are given the necessary time and information to understand and consider their options before they sign the contract.</w:t>
      </w:r>
    </w:p>
    <w:p w14:paraId="4C8E436F" w14:textId="77777777" w:rsidR="001B04BA" w:rsidRPr="00A608EE" w:rsidRDefault="001B04BA" w:rsidP="00A27AAA">
      <w:pPr>
        <w:numPr>
          <w:ilvl w:val="1"/>
          <w:numId w:val="246"/>
        </w:numPr>
        <w:jc w:val="both"/>
        <w:rPr>
          <w:rFonts w:asciiTheme="majorHAnsi" w:hAnsiTheme="majorHAnsi"/>
          <w:sz w:val="20"/>
          <w:szCs w:val="20"/>
          <w:lang w:eastAsia="fr-FR"/>
        </w:rPr>
      </w:pPr>
      <w:r w:rsidRPr="00A608EE">
        <w:rPr>
          <w:rFonts w:asciiTheme="majorHAnsi" w:hAnsiTheme="majorHAnsi"/>
          <w:sz w:val="20"/>
          <w:szCs w:val="20"/>
          <w:lang w:eastAsia="fr-FR"/>
        </w:rPr>
        <w:t>Verify that they know how to get their questions answered before they signed the contracts, and they knew the channels that they could have used to ask question.</w:t>
      </w:r>
    </w:p>
    <w:p w14:paraId="08BDE60D" w14:textId="77777777" w:rsidR="001B04BA" w:rsidRPr="00A608EE" w:rsidRDefault="001B04BA" w:rsidP="00A27AAA">
      <w:pPr>
        <w:numPr>
          <w:ilvl w:val="0"/>
          <w:numId w:val="246"/>
        </w:numPr>
        <w:jc w:val="both"/>
        <w:rPr>
          <w:rFonts w:asciiTheme="majorHAnsi" w:hAnsiTheme="majorHAnsi"/>
          <w:sz w:val="20"/>
          <w:szCs w:val="20"/>
          <w:lang w:eastAsia="fr-FR"/>
        </w:rPr>
      </w:pPr>
      <w:r w:rsidRPr="00A608EE">
        <w:rPr>
          <w:rFonts w:asciiTheme="majorHAnsi" w:hAnsiTheme="majorHAnsi"/>
          <w:sz w:val="20"/>
          <w:szCs w:val="20"/>
          <w:lang w:eastAsia="fr-FR"/>
        </w:rPr>
        <w:t>Renewal policy and procedure for each voluntary product.</w:t>
      </w:r>
    </w:p>
    <w:p w14:paraId="22100FFD" w14:textId="77777777" w:rsidR="001B04BA" w:rsidRPr="00A608EE" w:rsidRDefault="001B04BA" w:rsidP="00EE208A">
      <w:pPr>
        <w:jc w:val="both"/>
        <w:rPr>
          <w:rFonts w:asciiTheme="majorHAnsi" w:hAnsiTheme="majorHAnsi"/>
          <w:sz w:val="20"/>
          <w:szCs w:val="20"/>
          <w:lang w:eastAsia="fr-FR"/>
        </w:rPr>
      </w:pPr>
    </w:p>
    <w:p w14:paraId="782F2356" w14:textId="20561929" w:rsidR="001B04BA" w:rsidRPr="00A608EE" w:rsidRDefault="001B04BA"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436B974C" w14:textId="77777777" w:rsidR="001B04BA" w:rsidRPr="00A608EE" w:rsidRDefault="001B04BA" w:rsidP="00A27AAA">
      <w:pPr>
        <w:numPr>
          <w:ilvl w:val="0"/>
          <w:numId w:val="247"/>
        </w:numPr>
        <w:jc w:val="both"/>
        <w:rPr>
          <w:rFonts w:asciiTheme="majorHAnsi" w:hAnsiTheme="majorHAnsi"/>
          <w:sz w:val="20"/>
          <w:szCs w:val="20"/>
          <w:lang w:eastAsia="fr-FR"/>
        </w:rPr>
      </w:pPr>
      <w:r w:rsidRPr="00A608EE">
        <w:rPr>
          <w:rFonts w:asciiTheme="majorHAnsi" w:hAnsiTheme="majorHAnsi"/>
          <w:sz w:val="20"/>
          <w:szCs w:val="20"/>
          <w:lang w:eastAsia="fr-FR"/>
        </w:rPr>
        <w:t>Description of what type of documents are shared with clients.</w:t>
      </w:r>
    </w:p>
    <w:p w14:paraId="11981E98" w14:textId="77777777" w:rsidR="001B04BA" w:rsidRPr="00A608EE" w:rsidRDefault="001B04BA" w:rsidP="00A27AAA">
      <w:pPr>
        <w:numPr>
          <w:ilvl w:val="0"/>
          <w:numId w:val="247"/>
        </w:numPr>
        <w:jc w:val="both"/>
        <w:rPr>
          <w:rFonts w:asciiTheme="majorHAnsi" w:hAnsiTheme="majorHAnsi"/>
          <w:sz w:val="20"/>
          <w:szCs w:val="20"/>
          <w:lang w:eastAsia="fr-FR"/>
        </w:rPr>
      </w:pPr>
      <w:r w:rsidRPr="00A608EE">
        <w:rPr>
          <w:rFonts w:asciiTheme="majorHAnsi" w:hAnsiTheme="majorHAnsi"/>
          <w:sz w:val="20"/>
          <w:szCs w:val="20"/>
          <w:lang w:eastAsia="fr-FR"/>
        </w:rPr>
        <w:t>Description of the communication channels used by clients to ask questions.</w:t>
      </w:r>
    </w:p>
    <w:p w14:paraId="13DA7AD9" w14:textId="77777777" w:rsidR="001B04BA" w:rsidRPr="00A608EE" w:rsidRDefault="001B04BA" w:rsidP="00A27AAA">
      <w:pPr>
        <w:numPr>
          <w:ilvl w:val="0"/>
          <w:numId w:val="247"/>
        </w:numPr>
        <w:jc w:val="both"/>
        <w:rPr>
          <w:rFonts w:asciiTheme="majorHAnsi" w:hAnsiTheme="majorHAnsi"/>
          <w:sz w:val="20"/>
          <w:szCs w:val="20"/>
          <w:lang w:eastAsia="fr-FR"/>
        </w:rPr>
      </w:pPr>
      <w:r w:rsidRPr="00A608EE">
        <w:rPr>
          <w:rFonts w:asciiTheme="majorHAnsi" w:hAnsiTheme="majorHAnsi"/>
          <w:sz w:val="20"/>
          <w:szCs w:val="20"/>
          <w:lang w:eastAsia="fr-FR"/>
        </w:rPr>
        <w:t>In the case of automatic renewals, relevant documentation (policies and procedures) and how the provider ensures client information and opportunity to opt-out.</w:t>
      </w:r>
    </w:p>
    <w:p w14:paraId="1B9B44A7" w14:textId="00198DA5" w:rsidR="002A4025" w:rsidRPr="00A608EE" w:rsidRDefault="001B04BA" w:rsidP="00A27AAA">
      <w:pPr>
        <w:numPr>
          <w:ilvl w:val="0"/>
          <w:numId w:val="247"/>
        </w:numPr>
        <w:jc w:val="both"/>
        <w:rPr>
          <w:rFonts w:asciiTheme="majorHAnsi" w:hAnsiTheme="majorHAnsi"/>
          <w:sz w:val="20"/>
          <w:szCs w:val="20"/>
          <w:lang w:eastAsia="fr-FR"/>
        </w:rPr>
      </w:pPr>
      <w:r w:rsidRPr="00A608EE">
        <w:rPr>
          <w:rFonts w:asciiTheme="majorHAnsi" w:hAnsiTheme="majorHAnsi"/>
          <w:sz w:val="20"/>
          <w:szCs w:val="20"/>
          <w:lang w:eastAsia="fr-FR"/>
        </w:rPr>
        <w:t>Summary of relevant results from the random sample interviews with branch/field staff and clients.</w:t>
      </w:r>
    </w:p>
    <w:p w14:paraId="73FFE4A4" w14:textId="77777777" w:rsidR="00191C3E" w:rsidRPr="00A608EE" w:rsidRDefault="00191C3E" w:rsidP="00191C3E">
      <w:pPr>
        <w:jc w:val="both"/>
        <w:rPr>
          <w:rFonts w:asciiTheme="majorHAnsi" w:hAnsiTheme="majorHAnsi"/>
          <w:sz w:val="20"/>
          <w:szCs w:val="20"/>
          <w:lang w:eastAsia="fr-FR"/>
        </w:rPr>
      </w:pPr>
    </w:p>
    <w:p w14:paraId="306CD2BE" w14:textId="1B5082A2" w:rsidR="00191C3E" w:rsidRPr="00A608EE" w:rsidRDefault="00191C3E" w:rsidP="00191C3E">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4.B.2.1</w:t>
      </w:r>
    </w:p>
    <w:p w14:paraId="7D1BA4B3" w14:textId="314EA3BB" w:rsidR="001A42F0" w:rsidRPr="00A608EE" w:rsidRDefault="001A42F0" w:rsidP="00A27AAA">
      <w:pPr>
        <w:pStyle w:val="ListParagraph"/>
        <w:numPr>
          <w:ilvl w:val="0"/>
          <w:numId w:val="420"/>
        </w:numPr>
        <w:jc w:val="both"/>
        <w:rPr>
          <w:rFonts w:asciiTheme="majorHAnsi" w:hAnsiTheme="majorHAnsi"/>
          <w:szCs w:val="20"/>
          <w:lang w:eastAsia="fr-FR"/>
        </w:rPr>
      </w:pPr>
      <w:r w:rsidRPr="00A608EE">
        <w:rPr>
          <w:rFonts w:asciiTheme="majorHAnsi" w:hAnsiTheme="majorHAnsi"/>
          <w:b/>
          <w:bCs/>
          <w:szCs w:val="20"/>
          <w:lang w:eastAsia="fr-FR"/>
        </w:rPr>
        <w:t>[DI Focus]:</w:t>
      </w:r>
      <w:r w:rsidRPr="00A608EE">
        <w:rPr>
          <w:rFonts w:asciiTheme="majorHAnsi" w:hAnsiTheme="majorHAnsi"/>
          <w:szCs w:val="20"/>
          <w:lang w:eastAsia="fr-FR"/>
        </w:rPr>
        <w:t xml:space="preserve"> </w:t>
      </w:r>
      <w:hyperlink r:id="rId213" w:history="1">
        <w:r w:rsidRPr="00A608EE">
          <w:rPr>
            <w:rStyle w:val="Hyperlink"/>
            <w:rFonts w:asciiTheme="majorHAnsi" w:hAnsiTheme="majorHAnsi"/>
            <w:szCs w:val="20"/>
            <w:lang w:eastAsia="fr-FR"/>
          </w:rPr>
          <w:t>Asian Development Bank (ADB), ‘Implementing Inclusive Design Principles in Banking Organizations’: Includes case studies and examples of inclusive servicing models for persons with different types of impairments</w:t>
        </w:r>
      </w:hyperlink>
    </w:p>
    <w:p w14:paraId="3DF0D46F" w14:textId="0EA4B849" w:rsidR="00191C3E" w:rsidRPr="00A608EE" w:rsidRDefault="001A42F0" w:rsidP="00A27AAA">
      <w:pPr>
        <w:pStyle w:val="ListParagraph"/>
        <w:numPr>
          <w:ilvl w:val="0"/>
          <w:numId w:val="420"/>
        </w:numPr>
        <w:jc w:val="both"/>
        <w:rPr>
          <w:rFonts w:asciiTheme="majorHAnsi" w:hAnsiTheme="majorHAnsi"/>
          <w:szCs w:val="20"/>
          <w:lang w:eastAsia="fr-FR"/>
        </w:rPr>
      </w:pPr>
      <w:r w:rsidRPr="00A608EE">
        <w:rPr>
          <w:rFonts w:asciiTheme="majorHAnsi" w:hAnsiTheme="majorHAnsi"/>
          <w:b/>
          <w:bCs/>
          <w:szCs w:val="20"/>
          <w:lang w:eastAsia="fr-FR"/>
        </w:rPr>
        <w:t>[DI Focus]:</w:t>
      </w:r>
      <w:r w:rsidRPr="00A608EE">
        <w:rPr>
          <w:rFonts w:asciiTheme="majorHAnsi" w:hAnsiTheme="majorHAnsi"/>
          <w:szCs w:val="20"/>
          <w:lang w:eastAsia="fr-FR"/>
        </w:rPr>
        <w:t xml:space="preserve"> </w:t>
      </w:r>
      <w:hyperlink r:id="rId214" w:history="1">
        <w:r w:rsidRPr="00A608EE">
          <w:rPr>
            <w:rStyle w:val="Hyperlink"/>
            <w:rFonts w:asciiTheme="majorHAnsi" w:hAnsiTheme="majorHAnsi"/>
            <w:szCs w:val="20"/>
            <w:lang w:eastAsia="fr-FR"/>
          </w:rPr>
          <w:t>Sightsavers’ Research report from a study in Kenya includes findings on key barriers to accessing financial services experienced by persons with different types of impairments, and recommendations for servicing adaptations to mitigate these</w:t>
        </w:r>
      </w:hyperlink>
    </w:p>
    <w:p w14:paraId="10727854" w14:textId="77777777" w:rsidR="003E796B" w:rsidRPr="00A608EE" w:rsidRDefault="003E796B" w:rsidP="00EE208A">
      <w:pPr>
        <w:jc w:val="both"/>
        <w:rPr>
          <w:rFonts w:asciiTheme="majorHAnsi" w:hAnsiTheme="majorHAnsi"/>
          <w:szCs w:val="20"/>
        </w:rPr>
      </w:pPr>
    </w:p>
    <w:p w14:paraId="687A4F0C" w14:textId="724B0C6B" w:rsidR="008653BE" w:rsidRPr="00A608EE" w:rsidRDefault="008653BE" w:rsidP="00EE208A">
      <w:pPr>
        <w:pStyle w:val="Heading4"/>
        <w:spacing w:before="0" w:line="240" w:lineRule="auto"/>
        <w:jc w:val="both"/>
      </w:pPr>
      <w:r w:rsidRPr="00A608EE">
        <w:rPr>
          <w:rStyle w:val="text-primary"/>
        </w:rPr>
        <w:t>4.B.2.2</w:t>
      </w:r>
      <w:r w:rsidRPr="00A608EE">
        <w:t xml:space="preserve"> </w:t>
      </w:r>
      <w:r w:rsidR="009E7237" w:rsidRPr="00A608EE">
        <w:t>The provider gives clients a completed, signed copy of the contract and makes the contract accessible anytime in an online account or in physical form</w:t>
      </w:r>
      <w:r w:rsidR="0057776E" w:rsidRPr="00A608EE">
        <w:t>.</w:t>
      </w:r>
    </w:p>
    <w:p w14:paraId="5B1789CA" w14:textId="77777777" w:rsidR="00CE4822" w:rsidRPr="00A608EE" w:rsidRDefault="00CE4822" w:rsidP="00EE208A">
      <w:pPr>
        <w:jc w:val="both"/>
        <w:rPr>
          <w:rFonts w:asciiTheme="majorHAnsi" w:hAnsiTheme="majorHAnsi"/>
          <w:szCs w:val="20"/>
        </w:rPr>
      </w:pPr>
    </w:p>
    <w:p w14:paraId="205FFEED" w14:textId="03A1EEB6" w:rsidR="003E796B"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E796B" w:rsidRPr="00A608EE">
        <w:rPr>
          <w:rFonts w:asciiTheme="majorHAnsi" w:hAnsiTheme="majorHAnsi" w:cstheme="majorHAnsi"/>
          <w:b/>
          <w:bCs/>
          <w:color w:val="2145CC" w:themeColor="accent5" w:themeShade="BF"/>
          <w:sz w:val="20"/>
          <w:szCs w:val="20"/>
        </w:rPr>
        <w:t xml:space="preserve">ALINUS | SPI5 Entry | SPI5 Full | CP Commit | CP Full – Entry CP </w:t>
      </w:r>
      <w:bookmarkStart w:id="74" w:name="_Hlk226995804"/>
      <w:r w:rsidR="0083332E" w:rsidRPr="00A608EE">
        <w:rPr>
          <w:rFonts w:ascii="Work Sans" w:hAnsi="Work Sans"/>
          <w:b/>
          <w:bCs/>
          <w:color w:val="2145CC" w:themeColor="accent5" w:themeShade="BF"/>
          <w:sz w:val="20"/>
          <w:szCs w:val="20"/>
        </w:rPr>
        <w:t>| DI Focus</w:t>
      </w:r>
      <w:bookmarkEnd w:id="74"/>
    </w:p>
    <w:p w14:paraId="5191B5D7" w14:textId="77777777" w:rsidR="009E7237" w:rsidRPr="00A608EE" w:rsidRDefault="009E7237" w:rsidP="00A02AC4">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As soon as a contract for a financial product is finalized, the client should be provided with a copy of the fully executed contract. This contract can be a physical or digital copy (depending on the context and the client’s preference), but it must be complete, with no blank space and signed by both the provider and the client.</w:t>
      </w:r>
    </w:p>
    <w:p w14:paraId="2581F7AF" w14:textId="36BF7CA8" w:rsidR="009E7237" w:rsidRPr="00A608EE" w:rsidRDefault="009E723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 the case of digital loans, the provider saves the Key Facts Document and the loan agreement in a client account that the client can easily access anytime. This may be on a client's device or in hard copy, but internet links alone are not sufficient.</w:t>
      </w:r>
    </w:p>
    <w:p w14:paraId="5A400FC3"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45209DDD"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65088" behindDoc="1" locked="0" layoutInCell="1" allowOverlap="1" wp14:anchorId="0F5506D2" wp14:editId="119CD5C0">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62941969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4B5E521"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45CB2FA0" w14:textId="49E72941" w:rsidR="00FC6779" w:rsidRPr="00A608EE" w:rsidRDefault="00FC6779" w:rsidP="00A02AC4">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p>
    <w:p w14:paraId="019C7ABF" w14:textId="571117CE" w:rsidR="004E5AF5" w:rsidRPr="00A608EE" w:rsidRDefault="004E5AF5" w:rsidP="00A27AAA">
      <w:pPr>
        <w:pStyle w:val="NormalWeb"/>
        <w:numPr>
          <w:ilvl w:val="0"/>
          <w:numId w:val="39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The provider offers alternative mechanisms for registering client consent to a contract for clients who are unable to provide a signature. </w:t>
      </w:r>
    </w:p>
    <w:p w14:paraId="2C2F2084" w14:textId="4F7D19BB" w:rsidR="004E5AF5" w:rsidRPr="00A608EE" w:rsidRDefault="001A42F0" w:rsidP="00A27AAA">
      <w:pPr>
        <w:pStyle w:val="NormalWeb"/>
        <w:numPr>
          <w:ilvl w:val="0"/>
          <w:numId w:val="397"/>
        </w:numPr>
        <w:spacing w:before="0" w:beforeAutospacing="0" w:after="0" w:afterAutospacing="0"/>
        <w:jc w:val="both"/>
        <w:rPr>
          <w:rFonts w:asciiTheme="majorHAnsi" w:hAnsiTheme="majorHAnsi"/>
          <w:sz w:val="20"/>
          <w:szCs w:val="20"/>
        </w:rPr>
      </w:pPr>
      <w:r w:rsidRPr="00A608EE">
        <w:rPr>
          <w:noProof/>
        </w:rPr>
        <mc:AlternateContent>
          <mc:Choice Requires="wps">
            <w:drawing>
              <wp:anchor distT="0" distB="0" distL="114300" distR="114300" simplePos="0" relativeHeight="251716608" behindDoc="0" locked="0" layoutInCell="1" allowOverlap="1" wp14:anchorId="40C7C4EA" wp14:editId="0A25E9C7">
                <wp:simplePos x="0" y="0"/>
                <wp:positionH relativeFrom="margin">
                  <wp:align>left</wp:align>
                </wp:positionH>
                <wp:positionV relativeFrom="paragraph">
                  <wp:posOffset>454025</wp:posOffset>
                </wp:positionV>
                <wp:extent cx="1828800" cy="4343400"/>
                <wp:effectExtent l="0" t="0" r="24130" b="19050"/>
                <wp:wrapSquare wrapText="bothSides"/>
                <wp:docPr id="958828187" name="Cuadro de texto 1"/>
                <wp:cNvGraphicFramePr/>
                <a:graphic xmlns:a="http://schemas.openxmlformats.org/drawingml/2006/main">
                  <a:graphicData uri="http://schemas.microsoft.com/office/word/2010/wordprocessingShape">
                    <wps:wsp>
                      <wps:cNvSpPr txBox="1"/>
                      <wps:spPr>
                        <a:xfrm>
                          <a:off x="0" y="0"/>
                          <a:ext cx="1828800" cy="4343400"/>
                        </a:xfrm>
                        <a:prstGeom prst="rect">
                          <a:avLst/>
                        </a:prstGeom>
                        <a:noFill/>
                        <a:ln w="6350">
                          <a:solidFill>
                            <a:prstClr val="black"/>
                          </a:solidFill>
                        </a:ln>
                      </wps:spPr>
                      <wps:txbx>
                        <w:txbxContent>
                          <w:p w14:paraId="6B2294A4" w14:textId="6D49FA73" w:rsidR="004E5AF5" w:rsidRPr="00820B09" w:rsidRDefault="00EB123D" w:rsidP="004E5AF5">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E5AF5" w:rsidRPr="00820B09">
                              <w:rPr>
                                <w:rFonts w:asciiTheme="majorHAnsi" w:hAnsiTheme="majorHAnsi"/>
                                <w:b/>
                                <w:bCs/>
                                <w:sz w:val="20"/>
                                <w:szCs w:val="20"/>
                              </w:rPr>
                              <w:t xml:space="preserve">4.B.2.2 </w:t>
                            </w:r>
                          </w:p>
                          <w:p w14:paraId="75410A1B" w14:textId="48575D35" w:rsidR="00B11935" w:rsidRPr="00820B09" w:rsidRDefault="00B11935" w:rsidP="00E9554B">
                            <w:pPr>
                              <w:pStyle w:val="NormalWeb"/>
                              <w:jc w:val="both"/>
                              <w:rPr>
                                <w:rFonts w:asciiTheme="majorHAnsi" w:hAnsiTheme="majorHAnsi"/>
                                <w:sz w:val="20"/>
                                <w:szCs w:val="20"/>
                              </w:rPr>
                            </w:pPr>
                            <w:r w:rsidRPr="00820B09">
                              <w:rPr>
                                <w:rFonts w:asciiTheme="majorHAnsi" w:hAnsiTheme="majorHAnsi"/>
                                <w:sz w:val="20"/>
                                <w:szCs w:val="20"/>
                              </w:rPr>
                              <w:t xml:space="preserve">Policies and procedures that require signing a physical document for account opening or transaction authorization create barriers for persons with disabilities who cannot provide a written signature, or have difficulty providing a consistent signature, for instance due to physical impairments, impaired motor skills, or visual impairments. </w:t>
                            </w:r>
                          </w:p>
                          <w:p w14:paraId="1B77CC48" w14:textId="77777777" w:rsidR="00B11935" w:rsidRPr="00820B09" w:rsidRDefault="00B11935" w:rsidP="00B11935">
                            <w:pPr>
                              <w:pStyle w:val="NormalWeb"/>
                              <w:jc w:val="both"/>
                              <w:rPr>
                                <w:rFonts w:asciiTheme="majorHAnsi" w:hAnsiTheme="majorHAnsi"/>
                                <w:sz w:val="20"/>
                                <w:szCs w:val="20"/>
                              </w:rPr>
                            </w:pPr>
                            <w:r w:rsidRPr="00820B09">
                              <w:rPr>
                                <w:rFonts w:asciiTheme="majorHAnsi" w:hAnsiTheme="majorHAnsi"/>
                                <w:sz w:val="20"/>
                                <w:szCs w:val="20"/>
                              </w:rPr>
                              <w:t>You should provide a range of secure options for client identification, transaction verification and authorization in both physical and online settings, as persons with different and / or multiple types of impairments will require different solutions.</w:t>
                            </w:r>
                          </w:p>
                          <w:p w14:paraId="38580E31" w14:textId="42FEB524" w:rsidR="00B11935" w:rsidRPr="00820B09" w:rsidRDefault="00B11935" w:rsidP="00B11935">
                            <w:pPr>
                              <w:pStyle w:val="NormalWeb"/>
                              <w:jc w:val="both"/>
                              <w:rPr>
                                <w:rFonts w:asciiTheme="majorHAnsi" w:hAnsiTheme="majorHAnsi"/>
                                <w:sz w:val="20"/>
                                <w:szCs w:val="20"/>
                              </w:rPr>
                            </w:pPr>
                            <w:r w:rsidRPr="00820B09">
                              <w:rPr>
                                <w:rFonts w:asciiTheme="majorHAnsi" w:hAnsiTheme="majorHAnsi"/>
                                <w:sz w:val="20"/>
                                <w:szCs w:val="20"/>
                              </w:rPr>
                              <w:t>For in-person processes, alternatives to signature include thumbprint, providing a stamp for clients with disabilities, allowing consent to be provided verbally or by sign-language, recorded on video</w:t>
                            </w:r>
                            <w:r w:rsidR="00B001BB" w:rsidRPr="00820B09">
                              <w:rPr>
                                <w:rFonts w:asciiTheme="majorHAnsi" w:hAnsiTheme="majorHAnsi"/>
                                <w:sz w:val="20"/>
                                <w:szCs w:val="20"/>
                              </w:rPr>
                              <w:t>, or enabling electronic signature or verification methods e.g. through accessible portable devices.</w:t>
                            </w:r>
                          </w:p>
                          <w:p w14:paraId="2B97FF4D" w14:textId="13D033D5" w:rsidR="00B11935" w:rsidRPr="00820B09" w:rsidRDefault="00B001BB" w:rsidP="00B001BB">
                            <w:pPr>
                              <w:pStyle w:val="NormalWeb"/>
                              <w:jc w:val="both"/>
                              <w:rPr>
                                <w:rFonts w:asciiTheme="majorHAnsi" w:hAnsiTheme="majorHAnsi"/>
                                <w:sz w:val="20"/>
                                <w:szCs w:val="20"/>
                              </w:rPr>
                            </w:pPr>
                            <w:r w:rsidRPr="00820B09">
                              <w:rPr>
                                <w:rFonts w:asciiTheme="majorHAnsi" w:hAnsiTheme="majorHAnsi"/>
                                <w:sz w:val="20"/>
                                <w:szCs w:val="20"/>
                              </w:rPr>
                              <w:t>Accessible digital financial services offer greater flexibility through electronic account opening, log-in and transaction authorization processes. Ensure secure log-in can be completed through at least one alternative to biometric authentication, provide a range of authentication processes such as through SMS, voice recognition and biometrics, ensure electronic signature can be completed using accessible controls (e.g. using key-board only input and screen readers), and provide alternatives to visual captchas. See indicator 3.B.2.2 for more information on digital accessibility.</w:t>
                            </w:r>
                          </w:p>
                          <w:p w14:paraId="5FBF4E1B" w14:textId="6F0A3A7E" w:rsidR="001A42F0" w:rsidRPr="00820B09" w:rsidRDefault="001A42F0" w:rsidP="00B001BB">
                            <w:pPr>
                              <w:pStyle w:val="NormalWeb"/>
                              <w:jc w:val="both"/>
                              <w:rPr>
                                <w:rFonts w:asciiTheme="majorHAnsi" w:hAnsiTheme="majorHAnsi"/>
                                <w:sz w:val="20"/>
                                <w:szCs w:val="20"/>
                              </w:rPr>
                            </w:pPr>
                            <w:r w:rsidRPr="00820B09">
                              <w:rPr>
                                <w:rFonts w:asciiTheme="majorHAnsi" w:hAnsiTheme="majorHAnsi"/>
                                <w:sz w:val="20"/>
                                <w:szCs w:val="20"/>
                              </w:rPr>
                              <w:t>BFFI’s Disability Inclusion Guide for FSPs provides more information on alternative identification, verification and authentication mechanisms for accessibility to persons with different types of impairments.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C7C4EA" id="_x0000_s1057" type="#_x0000_t202" style="position:absolute;left:0;text-align:left;margin-left:0;margin-top:35.75pt;width:2in;height:342pt;z-index:251716608;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" filled="f" strokeweight=".5pt">
                <v:textbox>
                  <w:txbxContent>
                    <w:p w14:paraId="6B2294A4" w14:textId="6D49FA73" w:rsidR="004E5AF5" w:rsidRPr="00820B09" w:rsidRDefault="00EB123D" w:rsidP="004E5AF5">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E5AF5" w:rsidRPr="00820B09">
                        <w:rPr>
                          <w:rFonts w:asciiTheme="majorHAnsi" w:hAnsiTheme="majorHAnsi"/>
                          <w:b/>
                          <w:bCs/>
                          <w:sz w:val="20"/>
                          <w:szCs w:val="20"/>
                        </w:rPr>
                        <w:t xml:space="preserve">4.B.2.2 </w:t>
                      </w:r>
                    </w:p>
                    <w:p w14:paraId="75410A1B" w14:textId="48575D35" w:rsidR="00B11935" w:rsidRPr="00820B09" w:rsidRDefault="00B11935" w:rsidP="00E9554B">
                      <w:pPr>
                        <w:pStyle w:val="NormalWeb"/>
                        <w:jc w:val="both"/>
                        <w:rPr>
                          <w:rFonts w:asciiTheme="majorHAnsi" w:hAnsiTheme="majorHAnsi"/>
                          <w:sz w:val="20"/>
                          <w:szCs w:val="20"/>
                        </w:rPr>
                      </w:pPr>
                      <w:r w:rsidRPr="00820B09">
                        <w:rPr>
                          <w:rFonts w:asciiTheme="majorHAnsi" w:hAnsiTheme="majorHAnsi"/>
                          <w:sz w:val="20"/>
                          <w:szCs w:val="20"/>
                        </w:rPr>
                        <w:t xml:space="preserve">Policies and procedures that require signing a physical document for account opening or transaction authorization create barriers for persons with disabilities who cannot provide a written signature, or have difficulty providing a consistent signature, for instance due to physical impairments, impaired motor skills, or visual impairments. </w:t>
                      </w:r>
                    </w:p>
                    <w:p w14:paraId="1B77CC48" w14:textId="77777777" w:rsidR="00B11935" w:rsidRPr="00820B09" w:rsidRDefault="00B11935" w:rsidP="00B11935">
                      <w:pPr>
                        <w:pStyle w:val="NormalWeb"/>
                        <w:jc w:val="both"/>
                        <w:rPr>
                          <w:rFonts w:asciiTheme="majorHAnsi" w:hAnsiTheme="majorHAnsi"/>
                          <w:sz w:val="20"/>
                          <w:szCs w:val="20"/>
                        </w:rPr>
                      </w:pPr>
                      <w:r w:rsidRPr="00820B09">
                        <w:rPr>
                          <w:rFonts w:asciiTheme="majorHAnsi" w:hAnsiTheme="majorHAnsi"/>
                          <w:sz w:val="20"/>
                          <w:szCs w:val="20"/>
                        </w:rPr>
                        <w:t>You should provide a range of secure options for client identification, transaction verification and authorization in both physical and online settings, as persons with different and / or multiple types of impairments will require different solutions.</w:t>
                      </w:r>
                    </w:p>
                    <w:p w14:paraId="38580E31" w14:textId="42FEB524" w:rsidR="00B11935" w:rsidRPr="00820B09" w:rsidRDefault="00B11935" w:rsidP="00B11935">
                      <w:pPr>
                        <w:pStyle w:val="NormalWeb"/>
                        <w:jc w:val="both"/>
                        <w:rPr>
                          <w:rFonts w:asciiTheme="majorHAnsi" w:hAnsiTheme="majorHAnsi"/>
                          <w:sz w:val="20"/>
                          <w:szCs w:val="20"/>
                        </w:rPr>
                      </w:pPr>
                      <w:r w:rsidRPr="00820B09">
                        <w:rPr>
                          <w:rFonts w:asciiTheme="majorHAnsi" w:hAnsiTheme="majorHAnsi"/>
                          <w:sz w:val="20"/>
                          <w:szCs w:val="20"/>
                        </w:rPr>
                        <w:t>For in-person processes, alternatives to signature include thumbprint, providing a stamp for clients with disabilities, allowing consent to be provided verbally or by sign-language, recorded on video</w:t>
                      </w:r>
                      <w:r w:rsidR="00B001BB" w:rsidRPr="00820B09">
                        <w:rPr>
                          <w:rFonts w:asciiTheme="majorHAnsi" w:hAnsiTheme="majorHAnsi"/>
                          <w:sz w:val="20"/>
                          <w:szCs w:val="20"/>
                        </w:rPr>
                        <w:t>, or enabling electronic signature or verification methods e.g. through accessible portable devices.</w:t>
                      </w:r>
                    </w:p>
                    <w:p w14:paraId="2B97FF4D" w14:textId="13D033D5" w:rsidR="00B11935" w:rsidRPr="00820B09" w:rsidRDefault="00B001BB" w:rsidP="00B001BB">
                      <w:pPr>
                        <w:pStyle w:val="NormalWeb"/>
                        <w:jc w:val="both"/>
                        <w:rPr>
                          <w:rFonts w:asciiTheme="majorHAnsi" w:hAnsiTheme="majorHAnsi"/>
                          <w:sz w:val="20"/>
                          <w:szCs w:val="20"/>
                        </w:rPr>
                      </w:pPr>
                      <w:r w:rsidRPr="00820B09">
                        <w:rPr>
                          <w:rFonts w:asciiTheme="majorHAnsi" w:hAnsiTheme="majorHAnsi"/>
                          <w:sz w:val="20"/>
                          <w:szCs w:val="20"/>
                        </w:rPr>
                        <w:t>Accessible digital financial services offer greater flexibility through electronic account opening, log-in and transaction authorization processes. Ensure secure log-in can be completed through at least one alternative to biometric authentication, provide a range of authentication processes such as through SMS, voice recognition and biometrics, ensure electronic signature can be completed using accessible controls (e.g. using key-board only input and screen readers), and provide alternatives to visual captchas. See indicator 3.B.2.2 for more information on digital accessibility.</w:t>
                      </w:r>
                    </w:p>
                    <w:p w14:paraId="5FBF4E1B" w14:textId="6F0A3A7E" w:rsidR="001A42F0" w:rsidRPr="00820B09" w:rsidRDefault="001A42F0" w:rsidP="00B001BB">
                      <w:pPr>
                        <w:pStyle w:val="NormalWeb"/>
                        <w:jc w:val="both"/>
                        <w:rPr>
                          <w:rFonts w:asciiTheme="majorHAnsi" w:hAnsiTheme="majorHAnsi"/>
                          <w:sz w:val="20"/>
                          <w:szCs w:val="20"/>
                        </w:rPr>
                      </w:pPr>
                      <w:r w:rsidRPr="00820B09">
                        <w:rPr>
                          <w:rFonts w:asciiTheme="majorHAnsi" w:hAnsiTheme="majorHAnsi"/>
                          <w:sz w:val="20"/>
                          <w:szCs w:val="20"/>
                        </w:rPr>
                        <w:t>BFFI’s Disability Inclusion Guide for FSPs provides more information on alternative identification, verification and authentication mechanisms for accessibility to persons with different types of impairments.</w:t>
                      </w:r>
                    </w:p>
                  </w:txbxContent>
                </v:textbox>
                <w10:wrap type="square" anchorx="margin"/>
              </v:shape>
            </w:pict>
          </mc:Fallback>
        </mc:AlternateContent>
      </w:r>
      <w:r w:rsidR="004E5AF5" w:rsidRPr="00A608EE">
        <w:rPr>
          <w:rFonts w:asciiTheme="majorHAnsi" w:hAnsiTheme="majorHAnsi"/>
          <w:sz w:val="20"/>
          <w:szCs w:val="20"/>
        </w:rPr>
        <w:t>The provider makes a completed, signed copy of the contract available to clients with disabilities in accessible channels and formats (including online or physical documents).</w:t>
      </w:r>
    </w:p>
    <w:p w14:paraId="7E14F34C" w14:textId="4CAB0CE5" w:rsidR="004E5AF5" w:rsidRPr="00A608EE" w:rsidRDefault="004E5AF5" w:rsidP="004E5AF5">
      <w:pPr>
        <w:pStyle w:val="NormalWeb"/>
        <w:spacing w:before="0" w:beforeAutospacing="0" w:after="0" w:afterAutospacing="0"/>
        <w:jc w:val="both"/>
        <w:rPr>
          <w:rFonts w:asciiTheme="majorHAnsi" w:hAnsiTheme="majorHAnsi"/>
          <w:sz w:val="20"/>
          <w:szCs w:val="20"/>
        </w:rPr>
      </w:pPr>
    </w:p>
    <w:p w14:paraId="34926D83" w14:textId="3928060E" w:rsidR="004E5AF5" w:rsidRPr="00A608EE" w:rsidRDefault="004E5AF5" w:rsidP="004E5AF5">
      <w:pPr>
        <w:pStyle w:val="NormalWeb"/>
        <w:spacing w:before="0" w:beforeAutospacing="0" w:after="0" w:afterAutospacing="0"/>
        <w:jc w:val="both"/>
        <w:rPr>
          <w:rFonts w:asciiTheme="majorHAnsi" w:hAnsiTheme="majorHAnsi"/>
          <w:sz w:val="20"/>
          <w:szCs w:val="20"/>
        </w:rPr>
      </w:pPr>
    </w:p>
    <w:p w14:paraId="5266935F" w14:textId="2B9F9E20" w:rsidR="009E7237" w:rsidRPr="00A608EE" w:rsidRDefault="009E7237"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44308D9C" w14:textId="77777777" w:rsidR="009E7237" w:rsidRPr="00A608EE" w:rsidRDefault="009E7237" w:rsidP="00A27AAA">
      <w:pPr>
        <w:pStyle w:val="NormalWeb"/>
        <w:numPr>
          <w:ilvl w:val="0"/>
          <w:numId w:val="24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Score ’yes’ upon verification that (1) clients actually receive or know how to access their final complete contracts with no blank fields and signed by both parties and (2) in terms of being available at any time, the contracts can be given in physical form or it can be provided in digital form and stored in the clients’ accounts online, which clients could access through the mobile App, if this access is simple and understood by the client.</w:t>
      </w:r>
    </w:p>
    <w:p w14:paraId="15B57B4E" w14:textId="77777777" w:rsidR="009E7237" w:rsidRPr="00A608EE" w:rsidRDefault="009E7237" w:rsidP="00A27AAA">
      <w:pPr>
        <w:pStyle w:val="NormalWeb"/>
        <w:numPr>
          <w:ilvl w:val="0"/>
          <w:numId w:val="24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provider meets only one of the two requirements.</w:t>
      </w:r>
    </w:p>
    <w:p w14:paraId="6E482CCF" w14:textId="77777777" w:rsidR="009E7237" w:rsidRPr="00A608EE" w:rsidRDefault="009E7237" w:rsidP="00A27AAA">
      <w:pPr>
        <w:pStyle w:val="NormalWeb"/>
        <w:numPr>
          <w:ilvl w:val="0"/>
          <w:numId w:val="24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does not meet both requirements.</w:t>
      </w:r>
    </w:p>
    <w:p w14:paraId="74ACFE2B" w14:textId="77777777" w:rsidR="009E7237" w:rsidRPr="00A608EE" w:rsidRDefault="009E7237" w:rsidP="00EE208A">
      <w:pPr>
        <w:pStyle w:val="NormalWeb"/>
        <w:spacing w:before="0" w:beforeAutospacing="0" w:after="0" w:afterAutospacing="0"/>
        <w:jc w:val="both"/>
        <w:rPr>
          <w:rFonts w:asciiTheme="majorHAnsi" w:hAnsiTheme="majorHAnsi"/>
          <w:sz w:val="20"/>
          <w:szCs w:val="20"/>
        </w:rPr>
      </w:pPr>
    </w:p>
    <w:p w14:paraId="61EBFA5B" w14:textId="5EFEEBE8" w:rsidR="009E7237" w:rsidRPr="00A608EE" w:rsidRDefault="009E7237"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34F06A53" w14:textId="77777777" w:rsidR="009E7237" w:rsidRPr="00A608EE" w:rsidRDefault="009E7237" w:rsidP="00A27AAA">
      <w:pPr>
        <w:pStyle w:val="NormalWeb"/>
        <w:numPr>
          <w:ilvl w:val="0"/>
          <w:numId w:val="24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Transparency checklist, any checklist that field staff use to ensure they provide everything to clients.</w:t>
      </w:r>
    </w:p>
    <w:p w14:paraId="062BAFE6" w14:textId="77777777" w:rsidR="009E7237" w:rsidRPr="00A608EE" w:rsidRDefault="009E7237" w:rsidP="00A27AAA">
      <w:pPr>
        <w:pStyle w:val="NormalWeb"/>
        <w:numPr>
          <w:ilvl w:val="0"/>
          <w:numId w:val="24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All documents provided to clients.</w:t>
      </w:r>
    </w:p>
    <w:p w14:paraId="5507B171" w14:textId="77777777" w:rsidR="009E7237" w:rsidRPr="00A608EE" w:rsidRDefault="009E7237" w:rsidP="00A27AAA">
      <w:pPr>
        <w:pStyle w:val="NormalWeb"/>
        <w:numPr>
          <w:ilvl w:val="0"/>
          <w:numId w:val="24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Financial product policy &amp; procedure manuals.</w:t>
      </w:r>
    </w:p>
    <w:p w14:paraId="232F204F" w14:textId="77777777" w:rsidR="009E7237" w:rsidRPr="00A608EE" w:rsidRDefault="009E7237" w:rsidP="00A27AAA">
      <w:pPr>
        <w:pStyle w:val="NormalWeb"/>
        <w:numPr>
          <w:ilvl w:val="0"/>
          <w:numId w:val="24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concerned staff’ (trainers and loan officers).</w:t>
      </w:r>
    </w:p>
    <w:p w14:paraId="61F72B86" w14:textId="77777777" w:rsidR="009E7237" w:rsidRPr="00A608EE" w:rsidRDefault="009E7237" w:rsidP="00A27AAA">
      <w:pPr>
        <w:pStyle w:val="NormalWeb"/>
        <w:numPr>
          <w:ilvl w:val="0"/>
          <w:numId w:val="24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clients (to verify if they received their complete contracts).</w:t>
      </w:r>
    </w:p>
    <w:p w14:paraId="624D8FB1" w14:textId="77777777" w:rsidR="009E7237" w:rsidRPr="00A608EE" w:rsidRDefault="009E7237" w:rsidP="00A27AAA">
      <w:pPr>
        <w:pStyle w:val="NormalWeb"/>
        <w:numPr>
          <w:ilvl w:val="0"/>
          <w:numId w:val="24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Review of random sample client contracts.</w:t>
      </w:r>
    </w:p>
    <w:p w14:paraId="495BBA17" w14:textId="77777777" w:rsidR="009E7237" w:rsidRPr="00A608EE" w:rsidRDefault="009E7237" w:rsidP="00EE208A">
      <w:pPr>
        <w:pStyle w:val="NormalWeb"/>
        <w:spacing w:before="0" w:beforeAutospacing="0" w:after="0" w:afterAutospacing="0"/>
        <w:jc w:val="both"/>
        <w:rPr>
          <w:rFonts w:asciiTheme="majorHAnsi" w:hAnsiTheme="majorHAnsi"/>
          <w:sz w:val="20"/>
          <w:szCs w:val="20"/>
        </w:rPr>
      </w:pPr>
    </w:p>
    <w:p w14:paraId="548E553D" w14:textId="5D2AADD5" w:rsidR="009E7237" w:rsidRPr="00A608EE" w:rsidRDefault="009E7237"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7368DA20" w14:textId="77777777" w:rsidR="009E7237" w:rsidRPr="00A608EE" w:rsidRDefault="009E723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Results from the document checks and from the interviews with clients and staff.</w:t>
      </w:r>
    </w:p>
    <w:p w14:paraId="2A4EC8D1" w14:textId="77777777" w:rsidR="002A4025" w:rsidRPr="00A608EE" w:rsidRDefault="002A4025" w:rsidP="00EE208A">
      <w:pPr>
        <w:pStyle w:val="NormalWeb"/>
        <w:spacing w:before="0" w:beforeAutospacing="0" w:after="0" w:afterAutospacing="0"/>
        <w:jc w:val="both"/>
        <w:rPr>
          <w:rFonts w:asciiTheme="majorHAnsi" w:hAnsiTheme="majorHAnsi"/>
          <w:sz w:val="20"/>
          <w:szCs w:val="20"/>
        </w:rPr>
      </w:pPr>
    </w:p>
    <w:p w14:paraId="5EDC1BF6" w14:textId="77777777" w:rsidR="003E796B" w:rsidRPr="00A608EE" w:rsidRDefault="003E796B" w:rsidP="00EE208A">
      <w:pPr>
        <w:pStyle w:val="NormalWeb"/>
        <w:spacing w:before="0" w:beforeAutospacing="0" w:after="0" w:afterAutospacing="0"/>
        <w:jc w:val="both"/>
        <w:rPr>
          <w:rFonts w:asciiTheme="majorHAnsi" w:hAnsiTheme="majorHAnsi"/>
          <w:sz w:val="20"/>
          <w:szCs w:val="20"/>
        </w:rPr>
      </w:pPr>
    </w:p>
    <w:p w14:paraId="5C5E4C6F" w14:textId="6284FFB8" w:rsidR="008653BE" w:rsidRPr="00A608EE" w:rsidRDefault="008653BE" w:rsidP="00EE208A">
      <w:pPr>
        <w:pStyle w:val="Heading4"/>
        <w:spacing w:before="0" w:line="240" w:lineRule="auto"/>
        <w:jc w:val="both"/>
      </w:pPr>
      <w:r w:rsidRPr="00A608EE">
        <w:rPr>
          <w:rStyle w:val="text-primary"/>
        </w:rPr>
        <w:t>4.B.2.3</w:t>
      </w:r>
      <w:r w:rsidRPr="00A608EE">
        <w:t xml:space="preserve"> </w:t>
      </w:r>
      <w:r w:rsidR="009E7237" w:rsidRPr="00A608EE">
        <w:t>The provider gives clients clear and accurate account balance information in the following ways</w:t>
      </w:r>
      <w:r w:rsidR="00FB1700" w:rsidRPr="00A608EE">
        <w:t>:</w:t>
      </w:r>
    </w:p>
    <w:p w14:paraId="0F5CC5C8" w14:textId="0DE4797D" w:rsidR="005440A5" w:rsidRPr="00A608EE" w:rsidRDefault="008653BE"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rPr>
        <w:t>4.B.2.3.1</w:t>
      </w:r>
      <w:r w:rsidRPr="00A608EE">
        <w:rPr>
          <w:rFonts w:asciiTheme="majorHAnsi" w:hAnsiTheme="majorHAnsi"/>
          <w:i/>
          <w:sz w:val="20"/>
          <w:szCs w:val="20"/>
        </w:rPr>
        <w:t xml:space="preserve"> </w:t>
      </w:r>
      <w:r w:rsidR="009E7237" w:rsidRPr="00A608EE">
        <w:rPr>
          <w:rFonts w:asciiTheme="majorHAnsi" w:hAnsiTheme="majorHAnsi"/>
          <w:i/>
          <w:sz w:val="20"/>
          <w:szCs w:val="20"/>
        </w:rPr>
        <w:t>Providing access to their up-to-date loan or savings balance upon request</w:t>
      </w:r>
      <w:r w:rsidR="005440A5" w:rsidRPr="00A608EE">
        <w:rPr>
          <w:rFonts w:asciiTheme="majorHAnsi" w:hAnsiTheme="majorHAnsi"/>
          <w:i/>
          <w:sz w:val="20"/>
          <w:szCs w:val="20"/>
        </w:rPr>
        <w:t>.</w:t>
      </w:r>
    </w:p>
    <w:p w14:paraId="1BC18EB3" w14:textId="57B54CCD" w:rsidR="008658D7" w:rsidRPr="00A608EE" w:rsidRDefault="008653BE"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rPr>
        <w:t>4.B.2.3.2</w:t>
      </w:r>
      <w:r w:rsidRPr="00A608EE">
        <w:rPr>
          <w:rFonts w:asciiTheme="majorHAnsi" w:hAnsiTheme="majorHAnsi"/>
          <w:i/>
          <w:sz w:val="20"/>
          <w:szCs w:val="20"/>
        </w:rPr>
        <w:t xml:space="preserve"> </w:t>
      </w:r>
      <w:r w:rsidR="009E7237" w:rsidRPr="00A608EE">
        <w:rPr>
          <w:rFonts w:asciiTheme="majorHAnsi" w:hAnsiTheme="majorHAnsi"/>
          <w:i/>
          <w:sz w:val="20"/>
          <w:szCs w:val="20"/>
        </w:rPr>
        <w:t>Sending automatic messages to clients whenever there is an automatic deduction from the client account</w:t>
      </w:r>
      <w:r w:rsidR="008658D7" w:rsidRPr="00A608EE">
        <w:rPr>
          <w:rFonts w:asciiTheme="majorHAnsi" w:hAnsiTheme="majorHAnsi"/>
          <w:i/>
          <w:sz w:val="20"/>
          <w:szCs w:val="20"/>
        </w:rPr>
        <w:t>.</w:t>
      </w:r>
    </w:p>
    <w:p w14:paraId="733F9EC8" w14:textId="77777777" w:rsidR="009E7237" w:rsidRPr="00A608EE" w:rsidRDefault="008653BE"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rPr>
        <w:t>4.B.2.3.3</w:t>
      </w:r>
      <w:r w:rsidRPr="00A608EE">
        <w:rPr>
          <w:rFonts w:asciiTheme="majorHAnsi" w:hAnsiTheme="majorHAnsi"/>
          <w:i/>
          <w:sz w:val="20"/>
          <w:szCs w:val="20"/>
        </w:rPr>
        <w:t xml:space="preserve"> </w:t>
      </w:r>
      <w:r w:rsidR="009E7237" w:rsidRPr="00A608EE">
        <w:rPr>
          <w:rFonts w:asciiTheme="majorHAnsi" w:hAnsiTheme="majorHAnsi"/>
          <w:i/>
          <w:sz w:val="20"/>
          <w:szCs w:val="20"/>
        </w:rPr>
        <w:t>Providing receipts, on paper or electronically, for every transaction</w:t>
      </w:r>
    </w:p>
    <w:p w14:paraId="3E19E04A" w14:textId="6ABB4947" w:rsidR="008653BE" w:rsidRPr="00A608EE" w:rsidRDefault="008658D7" w:rsidP="00EE208A">
      <w:pPr>
        <w:pStyle w:val="NormalWeb"/>
        <w:spacing w:before="0" w:beforeAutospacing="0" w:after="0" w:afterAutospacing="0"/>
        <w:jc w:val="both"/>
        <w:rPr>
          <w:rFonts w:asciiTheme="majorHAnsi" w:hAnsiTheme="majorHAnsi"/>
          <w:i/>
          <w:iCs/>
          <w:sz w:val="20"/>
          <w:szCs w:val="20"/>
        </w:rPr>
      </w:pPr>
      <w:r w:rsidRPr="00A608EE">
        <w:rPr>
          <w:rFonts w:asciiTheme="majorHAnsi" w:hAnsiTheme="majorHAnsi"/>
          <w:i/>
          <w:sz w:val="20"/>
          <w:szCs w:val="20"/>
        </w:rPr>
        <w:t>.</w:t>
      </w:r>
    </w:p>
    <w:p w14:paraId="236CBD53" w14:textId="17EC62C5" w:rsidR="003E796B"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E796B" w:rsidRPr="00A608EE">
        <w:rPr>
          <w:rFonts w:asciiTheme="majorHAnsi" w:hAnsiTheme="majorHAnsi" w:cstheme="majorHAnsi"/>
          <w:b/>
          <w:bCs/>
          <w:color w:val="2145CC" w:themeColor="accent5" w:themeShade="BF"/>
          <w:sz w:val="20"/>
          <w:szCs w:val="20"/>
        </w:rPr>
        <w:t>ALINUS | SPI5 Entry | SPI5 Full | CP Commit | CP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1DA7E582" w14:textId="574C8591" w:rsidR="003E796B" w:rsidRPr="00A608EE" w:rsidRDefault="007431A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6A06E6"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w:t>
      </w:r>
      <w:r w:rsidR="003E796B" w:rsidRPr="00A608EE">
        <w:rPr>
          <w:rFonts w:asciiTheme="majorHAnsi" w:hAnsiTheme="majorHAnsi" w:cstheme="majorHAnsi"/>
          <w:b/>
          <w:bCs/>
          <w:color w:val="2145CC" w:themeColor="accent5" w:themeShade="BF"/>
          <w:sz w:val="20"/>
          <w:szCs w:val="20"/>
        </w:rPr>
        <w:t>4.B.2.3.1: SPI5 Entry | SPI5 Full | CP Full –</w:t>
      </w:r>
      <w:r w:rsidR="003452E4" w:rsidRPr="00A608EE">
        <w:rPr>
          <w:rFonts w:asciiTheme="majorHAnsi" w:hAnsiTheme="majorHAnsi" w:cstheme="majorHAnsi"/>
          <w:b/>
          <w:bCs/>
          <w:color w:val="2145CC" w:themeColor="accent5" w:themeShade="BF"/>
          <w:sz w:val="20"/>
          <w:szCs w:val="20"/>
        </w:rPr>
        <w:t xml:space="preserve"> </w:t>
      </w:r>
      <w:r w:rsidR="003E796B" w:rsidRPr="00A608EE">
        <w:rPr>
          <w:rFonts w:asciiTheme="majorHAnsi" w:hAnsiTheme="majorHAnsi" w:cstheme="majorHAnsi"/>
          <w:b/>
          <w:bCs/>
          <w:color w:val="2145CC" w:themeColor="accent5" w:themeShade="BF"/>
          <w:sz w:val="20"/>
          <w:szCs w:val="20"/>
        </w:rPr>
        <w:t xml:space="preserve">Progress CP </w:t>
      </w:r>
    </w:p>
    <w:p w14:paraId="4D1C6339" w14:textId="2CBFDB4B" w:rsidR="003E796B" w:rsidRPr="00A608EE" w:rsidRDefault="007431A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6A06E6"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w:t>
      </w:r>
      <w:r w:rsidR="003E796B" w:rsidRPr="00A608EE">
        <w:rPr>
          <w:rFonts w:asciiTheme="majorHAnsi" w:hAnsiTheme="majorHAnsi" w:cstheme="majorHAnsi"/>
          <w:b/>
          <w:bCs/>
          <w:color w:val="2145CC" w:themeColor="accent5" w:themeShade="BF"/>
          <w:sz w:val="20"/>
          <w:szCs w:val="20"/>
        </w:rPr>
        <w:t>4.B.2.3.2: SPI5 Entry | SPI5 Full | CP Full –</w:t>
      </w:r>
      <w:r w:rsidR="003452E4" w:rsidRPr="00A608EE">
        <w:rPr>
          <w:rFonts w:asciiTheme="majorHAnsi" w:hAnsiTheme="majorHAnsi" w:cstheme="majorHAnsi"/>
          <w:b/>
          <w:bCs/>
          <w:color w:val="2145CC" w:themeColor="accent5" w:themeShade="BF"/>
          <w:sz w:val="20"/>
          <w:szCs w:val="20"/>
        </w:rPr>
        <w:t xml:space="preserve"> </w:t>
      </w:r>
      <w:r w:rsidR="003E796B" w:rsidRPr="00A608EE">
        <w:rPr>
          <w:rFonts w:asciiTheme="majorHAnsi" w:hAnsiTheme="majorHAnsi" w:cstheme="majorHAnsi"/>
          <w:b/>
          <w:bCs/>
          <w:color w:val="2145CC" w:themeColor="accent5" w:themeShade="BF"/>
          <w:sz w:val="20"/>
          <w:szCs w:val="20"/>
        </w:rPr>
        <w:t xml:space="preserve">Advanced CP </w:t>
      </w:r>
    </w:p>
    <w:p w14:paraId="551767FC" w14:textId="3746A8A0" w:rsidR="003E796B" w:rsidRPr="00A608EE" w:rsidRDefault="007431A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6A06E6"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w:t>
      </w:r>
      <w:r w:rsidR="003E796B" w:rsidRPr="00A608EE">
        <w:rPr>
          <w:rFonts w:asciiTheme="majorHAnsi" w:hAnsiTheme="majorHAnsi" w:cstheme="majorHAnsi"/>
          <w:b/>
          <w:bCs/>
          <w:color w:val="2145CC" w:themeColor="accent5" w:themeShade="BF"/>
          <w:sz w:val="20"/>
          <w:szCs w:val="20"/>
        </w:rPr>
        <w:t xml:space="preserve">4.B.2.3.3: ALINUS | SPI5 Entry | SPI5 Full | CP Commit | CP Full – Entry CP </w:t>
      </w:r>
    </w:p>
    <w:p w14:paraId="7383D419" w14:textId="4CE2344D" w:rsidR="003E796B" w:rsidRPr="00A608EE" w:rsidRDefault="004E5AF5"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625443D7" w14:textId="77777777"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lang w:eastAsia="fr-FR"/>
        </w:rPr>
        <w:t>Clients have the right to understand their financial position in real time so they can best plan their financial transactions. The three details describe the ways in which the provider needs to share information with its clients or make it available to them upon request in either physical or digital form, depending on the provider’s capabilities and the clients’ preferences and capacities. All these elements should be provided with no additional fee for clients. If the provider considers it to be costly, then it should be integrated in the overall pricing strategy of products.</w:t>
      </w:r>
    </w:p>
    <w:p w14:paraId="0DA46373" w14:textId="77777777" w:rsidR="00666460" w:rsidRPr="00A608EE" w:rsidRDefault="00666460" w:rsidP="00EE208A">
      <w:pPr>
        <w:jc w:val="both"/>
        <w:rPr>
          <w:rFonts w:asciiTheme="majorHAnsi" w:hAnsiTheme="majorHAnsi"/>
          <w:sz w:val="20"/>
          <w:szCs w:val="20"/>
          <w:lang w:eastAsia="fr-FR"/>
        </w:rPr>
      </w:pPr>
    </w:p>
    <w:p w14:paraId="55BB723C" w14:textId="5EDE3501"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lang w:eastAsia="fr-FR"/>
        </w:rPr>
        <w:t>Clients should know the channels and means through which they can access their accounts balances / details. The main determinants here are:</w:t>
      </w:r>
    </w:p>
    <w:p w14:paraId="131A4D8D" w14:textId="77777777" w:rsidR="00666460" w:rsidRPr="00A608EE" w:rsidRDefault="00666460" w:rsidP="00A27AAA">
      <w:pPr>
        <w:numPr>
          <w:ilvl w:val="0"/>
          <w:numId w:val="250"/>
        </w:numPr>
        <w:jc w:val="both"/>
        <w:rPr>
          <w:rFonts w:asciiTheme="majorHAnsi" w:hAnsiTheme="majorHAnsi"/>
          <w:sz w:val="20"/>
          <w:szCs w:val="20"/>
          <w:lang w:eastAsia="fr-FR"/>
        </w:rPr>
      </w:pPr>
      <w:r w:rsidRPr="00A608EE">
        <w:rPr>
          <w:rFonts w:asciiTheme="majorHAnsi" w:hAnsiTheme="majorHAnsi"/>
          <w:sz w:val="20"/>
          <w:szCs w:val="20"/>
          <w:lang w:eastAsia="fr-FR"/>
        </w:rPr>
        <w:t>Accessibility: the provider should offer multiple channels through which clients can receive information so clients can pick one that is convenient and accessible for them.</w:t>
      </w:r>
    </w:p>
    <w:p w14:paraId="731DE752" w14:textId="77777777" w:rsidR="00666460" w:rsidRPr="00A608EE" w:rsidRDefault="00666460" w:rsidP="00A27AAA">
      <w:pPr>
        <w:numPr>
          <w:ilvl w:val="0"/>
          <w:numId w:val="250"/>
        </w:numPr>
        <w:jc w:val="both"/>
        <w:rPr>
          <w:rFonts w:asciiTheme="majorHAnsi" w:hAnsiTheme="majorHAnsi"/>
          <w:sz w:val="20"/>
          <w:szCs w:val="20"/>
          <w:lang w:eastAsia="fr-FR"/>
        </w:rPr>
      </w:pPr>
      <w:r w:rsidRPr="00A608EE">
        <w:rPr>
          <w:rFonts w:asciiTheme="majorHAnsi" w:hAnsiTheme="majorHAnsi"/>
          <w:sz w:val="20"/>
          <w:szCs w:val="20"/>
          <w:lang w:eastAsia="fr-FR"/>
        </w:rPr>
        <w:t>Accuracy: Up-to-date and accurate account information.</w:t>
      </w:r>
    </w:p>
    <w:p w14:paraId="5D403178" w14:textId="77777777" w:rsidR="00666460" w:rsidRPr="00A608EE" w:rsidRDefault="00666460" w:rsidP="00A27AAA">
      <w:pPr>
        <w:numPr>
          <w:ilvl w:val="0"/>
          <w:numId w:val="250"/>
        </w:numPr>
        <w:jc w:val="both"/>
        <w:rPr>
          <w:rFonts w:asciiTheme="majorHAnsi" w:hAnsiTheme="majorHAnsi"/>
          <w:sz w:val="20"/>
          <w:szCs w:val="20"/>
          <w:lang w:eastAsia="fr-FR"/>
        </w:rPr>
      </w:pPr>
      <w:r w:rsidRPr="00A608EE">
        <w:rPr>
          <w:rFonts w:asciiTheme="majorHAnsi" w:hAnsiTheme="majorHAnsi"/>
          <w:sz w:val="20"/>
          <w:szCs w:val="20"/>
          <w:lang w:eastAsia="fr-FR"/>
        </w:rPr>
        <w:t>Timely information: clients should be notified about any transaction on their accounts, especially in the event of automatic deductions so they can plan their other transactions accordingly.</w:t>
      </w:r>
    </w:p>
    <w:p w14:paraId="02B6AC07" w14:textId="77777777" w:rsidR="00666460" w:rsidRPr="00A608EE" w:rsidRDefault="00666460" w:rsidP="00A27AAA">
      <w:pPr>
        <w:numPr>
          <w:ilvl w:val="0"/>
          <w:numId w:val="250"/>
        </w:numPr>
        <w:jc w:val="both"/>
        <w:rPr>
          <w:rFonts w:asciiTheme="majorHAnsi" w:hAnsiTheme="majorHAnsi"/>
          <w:sz w:val="20"/>
          <w:szCs w:val="20"/>
          <w:lang w:eastAsia="fr-FR"/>
        </w:rPr>
      </w:pPr>
      <w:r w:rsidRPr="00A608EE">
        <w:rPr>
          <w:rFonts w:asciiTheme="majorHAnsi" w:hAnsiTheme="majorHAnsi"/>
          <w:sz w:val="20"/>
          <w:szCs w:val="20"/>
          <w:lang w:eastAsia="fr-FR"/>
        </w:rPr>
        <w:t>Documentation: providing clients with confirmations of transactions, whether through paper or electronic receipts is necessary.</w:t>
      </w:r>
    </w:p>
    <w:p w14:paraId="08FD900F" w14:textId="77777777" w:rsidR="00672763" w:rsidRPr="00A608EE" w:rsidRDefault="00672763" w:rsidP="00672763">
      <w:pPr>
        <w:jc w:val="both"/>
        <w:rPr>
          <w:rFonts w:asciiTheme="majorHAnsi" w:hAnsiTheme="majorHAnsi"/>
          <w:sz w:val="20"/>
          <w:szCs w:val="20"/>
          <w:lang w:eastAsia="fr-FR"/>
        </w:rPr>
      </w:pPr>
    </w:p>
    <w:p w14:paraId="5874E0D7" w14:textId="77777777" w:rsidR="00672763" w:rsidRPr="00A608EE" w:rsidRDefault="00672763" w:rsidP="00672763">
      <w:pPr>
        <w:jc w:val="both"/>
        <w:rPr>
          <w:rFonts w:asciiTheme="majorHAnsi" w:hAnsiTheme="majorHAnsi"/>
          <w:sz w:val="20"/>
          <w:szCs w:val="20"/>
          <w:lang w:eastAsia="fr-FR"/>
        </w:rPr>
      </w:pPr>
    </w:p>
    <w:p w14:paraId="09316E78" w14:textId="77777777" w:rsidR="00672763" w:rsidRPr="00A608EE" w:rsidRDefault="00672763" w:rsidP="00672763">
      <w:pPr>
        <w:jc w:val="both"/>
        <w:rPr>
          <w:rFonts w:asciiTheme="majorHAnsi" w:hAnsiTheme="majorHAnsi"/>
          <w:sz w:val="20"/>
          <w:szCs w:val="20"/>
          <w:lang w:eastAsia="fr-FR"/>
        </w:rPr>
      </w:pPr>
    </w:p>
    <w:p w14:paraId="4E287333" w14:textId="77777777" w:rsidR="00672763" w:rsidRPr="00A608EE" w:rsidRDefault="00672763" w:rsidP="00672763">
      <w:pPr>
        <w:jc w:val="both"/>
        <w:rPr>
          <w:rFonts w:asciiTheme="majorHAnsi" w:hAnsiTheme="majorHAnsi"/>
          <w:sz w:val="20"/>
          <w:szCs w:val="20"/>
          <w:lang w:eastAsia="fr-FR"/>
        </w:rPr>
      </w:pPr>
    </w:p>
    <w:p w14:paraId="5DD53B8F" w14:textId="77777777" w:rsidR="00672763" w:rsidRPr="00A608EE" w:rsidRDefault="00672763" w:rsidP="00672763">
      <w:pPr>
        <w:jc w:val="both"/>
        <w:rPr>
          <w:rFonts w:asciiTheme="majorHAnsi" w:hAnsiTheme="majorHAnsi"/>
          <w:sz w:val="20"/>
          <w:szCs w:val="20"/>
          <w:lang w:eastAsia="fr-FR"/>
        </w:rPr>
      </w:pPr>
    </w:p>
    <w:p w14:paraId="04A418B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67136" behindDoc="1" locked="0" layoutInCell="1" allowOverlap="1" wp14:anchorId="2654CEF7" wp14:editId="75106919">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21988706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2B375427" w14:textId="77777777" w:rsidR="00672763" w:rsidRPr="00A608EE" w:rsidRDefault="00672763" w:rsidP="00672763">
      <w:pPr>
        <w:jc w:val="both"/>
        <w:rPr>
          <w:rFonts w:asciiTheme="majorHAnsi" w:hAnsiTheme="majorHAnsi"/>
          <w:sz w:val="20"/>
          <w:szCs w:val="20"/>
          <w:lang w:eastAsia="fr-FR"/>
        </w:rPr>
      </w:pPr>
    </w:p>
    <w:p w14:paraId="09572CCB" w14:textId="1044BA0E" w:rsidR="004E5AF5"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4E5AF5" w:rsidRPr="00A608EE">
        <w:rPr>
          <w:rFonts w:asciiTheme="majorHAnsi" w:hAnsiTheme="majorHAnsi"/>
          <w:sz w:val="20"/>
          <w:szCs w:val="20"/>
          <w:lang w:eastAsia="fr-FR"/>
        </w:rPr>
        <w:t>The provider gives clients with disabilities clear and accurate balance information in accessible channels and formats (including online or physical documents and messages).</w:t>
      </w:r>
    </w:p>
    <w:p w14:paraId="472C54CE" w14:textId="77777777" w:rsidR="00B001BB" w:rsidRPr="00A608EE" w:rsidRDefault="00B001BB" w:rsidP="00B001BB">
      <w:pPr>
        <w:jc w:val="both"/>
        <w:rPr>
          <w:rFonts w:asciiTheme="majorHAnsi" w:hAnsiTheme="majorHAnsi"/>
          <w:sz w:val="20"/>
          <w:szCs w:val="20"/>
          <w:lang w:eastAsia="fr-FR"/>
        </w:rPr>
      </w:pPr>
    </w:p>
    <w:p w14:paraId="1AED7EBE" w14:textId="1D4A51AE" w:rsidR="00B001BB" w:rsidRPr="00A608EE" w:rsidRDefault="00B001BB" w:rsidP="00B001BB">
      <w:pPr>
        <w:jc w:val="both"/>
        <w:rPr>
          <w:rFonts w:asciiTheme="majorHAnsi" w:hAnsiTheme="majorHAnsi"/>
          <w:sz w:val="20"/>
          <w:szCs w:val="20"/>
          <w:lang w:eastAsia="fr-FR"/>
        </w:rPr>
      </w:pPr>
      <w:r w:rsidRPr="00A608EE">
        <w:rPr>
          <w:rFonts w:asciiTheme="majorHAnsi" w:hAnsiTheme="majorHAnsi"/>
          <w:sz w:val="20"/>
          <w:szCs w:val="20"/>
          <w:lang w:eastAsia="fr-FR"/>
        </w:rPr>
        <w:t>[See indicators 4.B.1.2 and 4.B.1.4 for more information about accessible channels and information formats]</w:t>
      </w:r>
    </w:p>
    <w:p w14:paraId="670D56F1" w14:textId="77777777" w:rsidR="004E5AF5" w:rsidRPr="00A608EE" w:rsidRDefault="004E5AF5" w:rsidP="00EE208A">
      <w:pPr>
        <w:jc w:val="both"/>
        <w:rPr>
          <w:rFonts w:asciiTheme="majorHAnsi" w:hAnsiTheme="majorHAnsi"/>
          <w:sz w:val="20"/>
          <w:szCs w:val="20"/>
          <w:lang w:eastAsia="fr-FR"/>
        </w:rPr>
      </w:pPr>
    </w:p>
    <w:p w14:paraId="34F23D71" w14:textId="34E71242" w:rsidR="00666460" w:rsidRPr="00A608EE" w:rsidRDefault="0066646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4C2BFB08" w14:textId="77777777"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lang w:eastAsia="fr-FR"/>
        </w:rPr>
        <w:t>This applies to both loans and savings products, and includes also payment services for 4.B.2.3.3.</w:t>
      </w:r>
    </w:p>
    <w:p w14:paraId="556E2ABC" w14:textId="77777777" w:rsidR="00666460" w:rsidRPr="00A608EE" w:rsidRDefault="00666460" w:rsidP="00EE208A">
      <w:pPr>
        <w:jc w:val="both"/>
        <w:rPr>
          <w:rFonts w:asciiTheme="majorHAnsi" w:hAnsiTheme="majorHAnsi"/>
          <w:sz w:val="20"/>
          <w:szCs w:val="20"/>
          <w:lang w:eastAsia="fr-FR"/>
        </w:rPr>
      </w:pPr>
    </w:p>
    <w:p w14:paraId="4E4A50BA" w14:textId="77777777"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4.B.2.3.1</w:t>
      </w:r>
    </w:p>
    <w:p w14:paraId="1407BBDA" w14:textId="77777777" w:rsidR="00666460" w:rsidRPr="00A608EE" w:rsidRDefault="00666460" w:rsidP="00A27AAA">
      <w:pPr>
        <w:numPr>
          <w:ilvl w:val="0"/>
          <w:numId w:val="251"/>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has an effective system in place that offers all clients access to their up-to-date loan and savings balances upon request via multiple channels.</w:t>
      </w:r>
    </w:p>
    <w:p w14:paraId="07BE4A3A" w14:textId="77777777" w:rsidR="00666460" w:rsidRPr="00A608EE" w:rsidRDefault="00666460" w:rsidP="00A27AAA">
      <w:pPr>
        <w:numPr>
          <w:ilvl w:val="0"/>
          <w:numId w:val="251"/>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provider’s system to offer access to up-to-date loan and savings balances is not functioning very well or if client can access one channel only.</w:t>
      </w:r>
    </w:p>
    <w:p w14:paraId="2A32571B" w14:textId="77777777" w:rsidR="00666460" w:rsidRPr="00A608EE" w:rsidRDefault="00666460" w:rsidP="00A27AAA">
      <w:pPr>
        <w:numPr>
          <w:ilvl w:val="0"/>
          <w:numId w:val="251"/>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has no system in place to provide up-to-date loan and savings balances.</w:t>
      </w:r>
    </w:p>
    <w:p w14:paraId="14CA6DE8" w14:textId="77777777" w:rsidR="00666460" w:rsidRPr="00A608EE" w:rsidRDefault="00666460" w:rsidP="00EE208A">
      <w:pPr>
        <w:jc w:val="both"/>
        <w:rPr>
          <w:rFonts w:asciiTheme="majorHAnsi" w:hAnsiTheme="majorHAnsi"/>
          <w:sz w:val="20"/>
          <w:szCs w:val="20"/>
          <w:u w:val="single"/>
          <w:lang w:eastAsia="fr-FR"/>
        </w:rPr>
      </w:pPr>
    </w:p>
    <w:p w14:paraId="68447DF3" w14:textId="6F1F09DE"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4.B.2.3.2</w:t>
      </w:r>
    </w:p>
    <w:p w14:paraId="26A0B6A2" w14:textId="77777777" w:rsidR="00666460" w:rsidRPr="00A608EE" w:rsidRDefault="00666460" w:rsidP="00A27AAA">
      <w:pPr>
        <w:numPr>
          <w:ilvl w:val="0"/>
          <w:numId w:val="252"/>
        </w:numPr>
        <w:jc w:val="both"/>
        <w:rPr>
          <w:rFonts w:asciiTheme="majorHAnsi" w:hAnsiTheme="majorHAnsi"/>
          <w:sz w:val="20"/>
          <w:szCs w:val="20"/>
          <w:lang w:eastAsia="fr-FR"/>
        </w:rPr>
      </w:pPr>
      <w:r w:rsidRPr="00A608EE">
        <w:rPr>
          <w:rFonts w:asciiTheme="majorHAnsi" w:hAnsiTheme="majorHAnsi"/>
          <w:sz w:val="20"/>
          <w:szCs w:val="20"/>
          <w:lang w:eastAsia="fr-FR"/>
        </w:rPr>
        <w:t>Score ‘N/A’, if the provider does not make automatic deductions from client accounts.</w:t>
      </w:r>
    </w:p>
    <w:p w14:paraId="7E8B3924" w14:textId="77777777" w:rsidR="00666460" w:rsidRPr="00A608EE" w:rsidRDefault="00666460" w:rsidP="00A27AAA">
      <w:pPr>
        <w:numPr>
          <w:ilvl w:val="0"/>
          <w:numId w:val="252"/>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sends automatic messages to all clients whose accounts were deducted automatically.</w:t>
      </w:r>
    </w:p>
    <w:p w14:paraId="3E1C278B" w14:textId="77777777" w:rsidR="00666460" w:rsidRPr="00A608EE" w:rsidRDefault="00666460" w:rsidP="00A27AAA">
      <w:pPr>
        <w:numPr>
          <w:ilvl w:val="0"/>
          <w:numId w:val="252"/>
        </w:numPr>
        <w:jc w:val="both"/>
        <w:rPr>
          <w:rFonts w:asciiTheme="majorHAnsi" w:hAnsiTheme="majorHAnsi"/>
          <w:sz w:val="20"/>
          <w:szCs w:val="20"/>
          <w:lang w:eastAsia="fr-FR"/>
        </w:rPr>
      </w:pPr>
      <w:r w:rsidRPr="00A608EE">
        <w:rPr>
          <w:rFonts w:asciiTheme="majorHAnsi" w:hAnsiTheme="majorHAnsi"/>
          <w:sz w:val="20"/>
          <w:szCs w:val="20"/>
          <w:lang w:eastAsia="fr-FR"/>
        </w:rPr>
        <w:t>Score ‘partially’, if not all clients receive automatic messages about automatic deductions from their loan and savings accounts.</w:t>
      </w:r>
    </w:p>
    <w:p w14:paraId="5925D6F0" w14:textId="77777777" w:rsidR="00666460" w:rsidRPr="00A608EE" w:rsidRDefault="00666460" w:rsidP="00A27AAA">
      <w:pPr>
        <w:numPr>
          <w:ilvl w:val="0"/>
          <w:numId w:val="252"/>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does not send automatic messages to clients upon automatic deductions from their loan and savings accounts.</w:t>
      </w:r>
    </w:p>
    <w:p w14:paraId="34A66936" w14:textId="77777777" w:rsidR="00666460" w:rsidRPr="00A608EE" w:rsidRDefault="00666460" w:rsidP="00EE208A">
      <w:pPr>
        <w:jc w:val="both"/>
        <w:rPr>
          <w:rFonts w:asciiTheme="majorHAnsi" w:hAnsiTheme="majorHAnsi"/>
          <w:sz w:val="20"/>
          <w:szCs w:val="20"/>
          <w:u w:val="single"/>
          <w:lang w:eastAsia="fr-FR"/>
        </w:rPr>
      </w:pPr>
    </w:p>
    <w:p w14:paraId="1BB38E0E" w14:textId="458FB1D7"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4.B.2.3.3</w:t>
      </w:r>
    </w:p>
    <w:p w14:paraId="525D72E5" w14:textId="77777777" w:rsidR="00666460" w:rsidRPr="00A608EE" w:rsidRDefault="00666460" w:rsidP="00A27AAA">
      <w:pPr>
        <w:numPr>
          <w:ilvl w:val="0"/>
          <w:numId w:val="253"/>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offers all clients receipts - on paper or digitally - for every transaction.</w:t>
      </w:r>
    </w:p>
    <w:p w14:paraId="660DA3CA" w14:textId="77777777" w:rsidR="00666460" w:rsidRPr="00A608EE" w:rsidRDefault="00666460" w:rsidP="00A27AAA">
      <w:pPr>
        <w:numPr>
          <w:ilvl w:val="0"/>
          <w:numId w:val="253"/>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provider offers receipts not for all types of transactions or not to all clients.</w:t>
      </w:r>
    </w:p>
    <w:p w14:paraId="34516C1A" w14:textId="77777777" w:rsidR="00666460" w:rsidRPr="00A608EE" w:rsidRDefault="00666460" w:rsidP="00A27AAA">
      <w:pPr>
        <w:numPr>
          <w:ilvl w:val="0"/>
          <w:numId w:val="253"/>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does not offer receipts for the transactions of clients.</w:t>
      </w:r>
    </w:p>
    <w:p w14:paraId="652C2244" w14:textId="77777777" w:rsidR="00666460" w:rsidRPr="00A608EE" w:rsidRDefault="00666460" w:rsidP="00EE208A">
      <w:pPr>
        <w:jc w:val="both"/>
        <w:rPr>
          <w:rFonts w:asciiTheme="majorHAnsi" w:hAnsiTheme="majorHAnsi"/>
          <w:sz w:val="20"/>
          <w:szCs w:val="20"/>
          <w:lang w:eastAsia="fr-FR"/>
        </w:rPr>
      </w:pPr>
    </w:p>
    <w:p w14:paraId="32ACF49E" w14:textId="31CB73F4" w:rsidR="00666460" w:rsidRPr="00A608EE" w:rsidRDefault="0066646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30311CB4" w14:textId="77777777" w:rsidR="00666460" w:rsidRPr="00A608EE" w:rsidRDefault="00666460" w:rsidP="00A27AAA">
      <w:pPr>
        <w:numPr>
          <w:ilvl w:val="0"/>
          <w:numId w:val="254"/>
        </w:numPr>
        <w:jc w:val="both"/>
        <w:rPr>
          <w:rFonts w:asciiTheme="majorHAnsi" w:hAnsiTheme="majorHAnsi"/>
          <w:sz w:val="20"/>
          <w:szCs w:val="20"/>
          <w:lang w:eastAsia="fr-FR"/>
        </w:rPr>
      </w:pPr>
      <w:r w:rsidRPr="00A608EE">
        <w:rPr>
          <w:rFonts w:asciiTheme="majorHAnsi" w:hAnsiTheme="majorHAnsi"/>
          <w:sz w:val="20"/>
          <w:szCs w:val="20"/>
          <w:lang w:eastAsia="fr-FR"/>
        </w:rPr>
        <w:t>Accounts management policy &amp; procedures.</w:t>
      </w:r>
    </w:p>
    <w:p w14:paraId="6726EDEB" w14:textId="77777777" w:rsidR="00666460" w:rsidRPr="00A608EE" w:rsidRDefault="00666460" w:rsidP="00A27AAA">
      <w:pPr>
        <w:numPr>
          <w:ilvl w:val="0"/>
          <w:numId w:val="254"/>
        </w:numPr>
        <w:jc w:val="both"/>
        <w:rPr>
          <w:rFonts w:asciiTheme="majorHAnsi" w:hAnsiTheme="majorHAnsi"/>
          <w:sz w:val="20"/>
          <w:szCs w:val="20"/>
          <w:lang w:eastAsia="fr-FR"/>
        </w:rPr>
      </w:pPr>
      <w:r w:rsidRPr="00A608EE">
        <w:rPr>
          <w:rFonts w:asciiTheme="majorHAnsi" w:hAnsiTheme="majorHAnsi"/>
          <w:sz w:val="20"/>
          <w:szCs w:val="20"/>
          <w:lang w:eastAsia="fr-FR"/>
        </w:rPr>
        <w:t>Branch/field observations and interviews with clients and branch/field staff to verify that this happens in practice.</w:t>
      </w:r>
    </w:p>
    <w:p w14:paraId="5B8249FA" w14:textId="77777777" w:rsidR="00666460" w:rsidRPr="00A608EE" w:rsidRDefault="00666460" w:rsidP="00A27AAA">
      <w:pPr>
        <w:numPr>
          <w:ilvl w:val="0"/>
          <w:numId w:val="254"/>
        </w:numPr>
        <w:jc w:val="both"/>
        <w:rPr>
          <w:rFonts w:asciiTheme="majorHAnsi" w:hAnsiTheme="majorHAnsi"/>
          <w:sz w:val="20"/>
          <w:szCs w:val="20"/>
          <w:lang w:eastAsia="fr-FR"/>
        </w:rPr>
      </w:pPr>
      <w:r w:rsidRPr="00A608EE">
        <w:rPr>
          <w:rFonts w:asciiTheme="majorHAnsi" w:hAnsiTheme="majorHAnsi"/>
          <w:sz w:val="20"/>
          <w:szCs w:val="20"/>
          <w:lang w:eastAsia="fr-FR"/>
        </w:rPr>
        <w:t>Review of the mobile App, if applicable.</w:t>
      </w:r>
    </w:p>
    <w:p w14:paraId="45FE3DA5" w14:textId="77777777" w:rsidR="00666460" w:rsidRPr="00A608EE" w:rsidRDefault="00666460" w:rsidP="00EE208A">
      <w:pPr>
        <w:jc w:val="both"/>
        <w:rPr>
          <w:rFonts w:asciiTheme="majorHAnsi" w:hAnsiTheme="majorHAnsi"/>
          <w:sz w:val="20"/>
          <w:szCs w:val="20"/>
          <w:lang w:eastAsia="fr-FR"/>
        </w:rPr>
      </w:pPr>
    </w:p>
    <w:p w14:paraId="305CF475" w14:textId="692B879B" w:rsidR="00666460" w:rsidRPr="00A608EE" w:rsidRDefault="0066646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791AF0E9" w14:textId="77777777" w:rsidR="00666460" w:rsidRPr="00A608EE" w:rsidRDefault="00666460" w:rsidP="00A27AAA">
      <w:pPr>
        <w:numPr>
          <w:ilvl w:val="0"/>
          <w:numId w:val="255"/>
        </w:numPr>
        <w:jc w:val="both"/>
        <w:rPr>
          <w:rFonts w:asciiTheme="majorHAnsi" w:hAnsiTheme="majorHAnsi"/>
          <w:sz w:val="20"/>
          <w:szCs w:val="20"/>
          <w:lang w:eastAsia="fr-FR"/>
        </w:rPr>
      </w:pPr>
      <w:r w:rsidRPr="00A608EE">
        <w:rPr>
          <w:rFonts w:asciiTheme="majorHAnsi" w:hAnsiTheme="majorHAnsi"/>
          <w:sz w:val="20"/>
          <w:szCs w:val="20"/>
          <w:lang w:eastAsia="fr-FR"/>
        </w:rPr>
        <w:t>Description of how the provider communicates up-to-date account balance information with clients.</w:t>
      </w:r>
    </w:p>
    <w:p w14:paraId="199914A1" w14:textId="77777777" w:rsidR="00666460" w:rsidRPr="00A608EE" w:rsidRDefault="00666460" w:rsidP="00A27AAA">
      <w:pPr>
        <w:numPr>
          <w:ilvl w:val="0"/>
          <w:numId w:val="255"/>
        </w:numPr>
        <w:jc w:val="both"/>
        <w:rPr>
          <w:rFonts w:asciiTheme="majorHAnsi" w:hAnsiTheme="majorHAnsi"/>
          <w:sz w:val="20"/>
          <w:szCs w:val="20"/>
          <w:lang w:eastAsia="fr-FR"/>
        </w:rPr>
      </w:pPr>
      <w:r w:rsidRPr="00A608EE">
        <w:rPr>
          <w:rFonts w:asciiTheme="majorHAnsi" w:hAnsiTheme="majorHAnsi"/>
          <w:sz w:val="20"/>
          <w:szCs w:val="20"/>
          <w:lang w:eastAsia="fr-FR"/>
        </w:rPr>
        <w:t>Description of the information available to clients and when the information is available by which channel.</w:t>
      </w:r>
    </w:p>
    <w:p w14:paraId="20B9333D" w14:textId="77777777" w:rsidR="00666460" w:rsidRPr="00A608EE" w:rsidRDefault="00666460" w:rsidP="00A27AAA">
      <w:pPr>
        <w:numPr>
          <w:ilvl w:val="0"/>
          <w:numId w:val="255"/>
        </w:numPr>
        <w:jc w:val="both"/>
        <w:rPr>
          <w:rFonts w:asciiTheme="majorHAnsi" w:hAnsiTheme="majorHAnsi"/>
          <w:sz w:val="20"/>
          <w:szCs w:val="20"/>
          <w:lang w:eastAsia="fr-FR"/>
        </w:rPr>
      </w:pPr>
      <w:r w:rsidRPr="00A608EE">
        <w:rPr>
          <w:rFonts w:asciiTheme="majorHAnsi" w:hAnsiTheme="majorHAnsi"/>
          <w:sz w:val="20"/>
          <w:szCs w:val="20"/>
          <w:lang w:eastAsia="fr-FR"/>
        </w:rPr>
        <w:t>Results from the interviews with clients and branch/field staff.</w:t>
      </w:r>
    </w:p>
    <w:p w14:paraId="408B0F01" w14:textId="77777777" w:rsidR="00666460" w:rsidRPr="00A608EE" w:rsidRDefault="00666460" w:rsidP="00EE208A">
      <w:pPr>
        <w:jc w:val="both"/>
        <w:rPr>
          <w:rFonts w:asciiTheme="majorHAnsi" w:hAnsiTheme="majorHAnsi"/>
          <w:sz w:val="20"/>
          <w:szCs w:val="20"/>
          <w:lang w:eastAsia="fr-FR"/>
        </w:rPr>
      </w:pPr>
    </w:p>
    <w:p w14:paraId="7BEF8153" w14:textId="06172249" w:rsidR="00666460" w:rsidRPr="00A608EE" w:rsidRDefault="0066646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4.B.2.3</w:t>
      </w:r>
    </w:p>
    <w:p w14:paraId="52B3B4DE" w14:textId="512826F2" w:rsidR="7C16D02A" w:rsidRPr="00A608EE" w:rsidRDefault="7C16D02A" w:rsidP="00A27AAA">
      <w:pPr>
        <w:numPr>
          <w:ilvl w:val="0"/>
          <w:numId w:val="19"/>
        </w:numPr>
        <w:jc w:val="both"/>
        <w:rPr>
          <w:sz w:val="20"/>
          <w:szCs w:val="20"/>
        </w:rPr>
      </w:pPr>
      <w:hyperlink r:id="rId215">
        <w:r w:rsidRPr="00A608EE">
          <w:rPr>
            <w:rStyle w:val="Hyperlink"/>
            <w:rFonts w:ascii="Work Sans" w:eastAsia="Work Sans" w:hAnsi="Work Sans" w:cs="Work Sans"/>
            <w:sz w:val="20"/>
            <w:szCs w:val="20"/>
          </w:rPr>
          <w:t>Gatsby Microfinance LTD. Provides Transparent Loan Information</w:t>
        </w:r>
      </w:hyperlink>
    </w:p>
    <w:p w14:paraId="262403A3" w14:textId="77777777" w:rsidR="00271D49" w:rsidRPr="00A608EE" w:rsidRDefault="00271D49" w:rsidP="00EE208A">
      <w:pPr>
        <w:jc w:val="both"/>
        <w:rPr>
          <w:rFonts w:asciiTheme="majorHAnsi" w:hAnsiTheme="majorHAnsi"/>
          <w:sz w:val="20"/>
          <w:szCs w:val="20"/>
        </w:rPr>
      </w:pPr>
    </w:p>
    <w:p w14:paraId="7130F24C" w14:textId="77777777" w:rsidR="007253B3" w:rsidRPr="00A608EE" w:rsidRDefault="007253B3" w:rsidP="00EE208A">
      <w:pPr>
        <w:jc w:val="both"/>
        <w:rPr>
          <w:rFonts w:asciiTheme="majorHAnsi" w:hAnsiTheme="majorHAnsi"/>
          <w:szCs w:val="20"/>
        </w:rPr>
      </w:pPr>
    </w:p>
    <w:p w14:paraId="0ED8CF8E" w14:textId="3B8E9E71" w:rsidR="008653BE" w:rsidRPr="00A608EE" w:rsidRDefault="008653BE" w:rsidP="00EE208A">
      <w:pPr>
        <w:pStyle w:val="Heading4"/>
        <w:spacing w:before="0" w:line="240" w:lineRule="auto"/>
        <w:jc w:val="both"/>
      </w:pPr>
      <w:r w:rsidRPr="00A608EE">
        <w:rPr>
          <w:rStyle w:val="text-primary"/>
        </w:rPr>
        <w:lastRenderedPageBreak/>
        <w:t>4.B.2.4</w:t>
      </w:r>
      <w:r w:rsidRPr="00A608EE">
        <w:t xml:space="preserve"> </w:t>
      </w:r>
      <w:r w:rsidR="00666460" w:rsidRPr="00A608EE">
        <w:t>If loan repayments are automatically debited from a client account, the provider sends clients a loan repayment reminder at least one day before loan repayments are due</w:t>
      </w:r>
      <w:r w:rsidR="008658D7" w:rsidRPr="00A608EE">
        <w:t>.</w:t>
      </w:r>
    </w:p>
    <w:p w14:paraId="5C215F29" w14:textId="77777777" w:rsidR="00CE4822" w:rsidRPr="00A608EE" w:rsidRDefault="00CE4822" w:rsidP="00EE208A">
      <w:pPr>
        <w:jc w:val="both"/>
        <w:rPr>
          <w:rFonts w:asciiTheme="majorHAnsi" w:hAnsiTheme="majorHAnsi"/>
          <w:szCs w:val="20"/>
        </w:rPr>
      </w:pPr>
    </w:p>
    <w:p w14:paraId="59D4E51D" w14:textId="5D883AC6" w:rsidR="007253B3" w:rsidRPr="00A608EE" w:rsidRDefault="004F5FC3"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7253B3" w:rsidRPr="00A608EE">
        <w:rPr>
          <w:rFonts w:asciiTheme="majorHAnsi" w:hAnsiTheme="majorHAnsi" w:cstheme="majorHAnsi"/>
          <w:b/>
          <w:bCs/>
          <w:color w:val="2145CC" w:themeColor="accent5" w:themeShade="BF"/>
          <w:sz w:val="20"/>
          <w:szCs w:val="20"/>
        </w:rPr>
        <w:t>SPI5 Full | CP Full – Entry CP</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36D003ED" w14:textId="1CFD4A23" w:rsidR="004E5AF5" w:rsidRPr="00A608EE" w:rsidRDefault="004E5AF5"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3BC790CC" w14:textId="77777777" w:rsidR="00CB2F38" w:rsidRPr="00A608EE" w:rsidRDefault="00CB2F38" w:rsidP="00EE208A">
      <w:pPr>
        <w:jc w:val="both"/>
        <w:rPr>
          <w:rFonts w:asciiTheme="majorHAnsi" w:hAnsiTheme="majorHAnsi"/>
          <w:sz w:val="20"/>
          <w:szCs w:val="20"/>
          <w:lang w:eastAsia="fr-FR"/>
        </w:rPr>
      </w:pPr>
    </w:p>
    <w:p w14:paraId="29949118" w14:textId="3D5688B6"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lang w:eastAsia="fr-FR"/>
        </w:rPr>
        <w:t>The repayment reminder is important so that the client can plan his transactions accordingly.</w:t>
      </w:r>
    </w:p>
    <w:p w14:paraId="34FA1EB8" w14:textId="77777777" w:rsidR="00666460" w:rsidRPr="00A608EE" w:rsidRDefault="00666460" w:rsidP="00EE208A">
      <w:pPr>
        <w:jc w:val="both"/>
        <w:rPr>
          <w:rFonts w:asciiTheme="majorHAnsi" w:hAnsiTheme="majorHAnsi"/>
          <w:sz w:val="20"/>
          <w:szCs w:val="20"/>
          <w:lang w:eastAsia="fr-FR"/>
        </w:rPr>
      </w:pPr>
    </w:p>
    <w:p w14:paraId="47DD9B35" w14:textId="0726F384" w:rsidR="00666460" w:rsidRPr="00A608EE" w:rsidRDefault="00666460" w:rsidP="00EE208A">
      <w:pPr>
        <w:jc w:val="both"/>
        <w:rPr>
          <w:rFonts w:asciiTheme="majorHAnsi" w:hAnsiTheme="majorHAnsi"/>
          <w:sz w:val="20"/>
          <w:szCs w:val="20"/>
          <w:lang w:eastAsia="fr-FR"/>
        </w:rPr>
      </w:pPr>
      <w:r w:rsidRPr="00A608EE">
        <w:rPr>
          <w:rFonts w:asciiTheme="majorHAnsi" w:hAnsiTheme="majorHAnsi"/>
          <w:sz w:val="20"/>
          <w:szCs w:val="20"/>
          <w:lang w:eastAsia="fr-FR"/>
        </w:rPr>
        <w:t>If the provider uses a third party to send SMSs to clients, the time frame for reminders and notifications should take that into account in case it delays delivery of the messages. The provider is required to verify the efficiency and the accuracy of the systems it uses to ensure that delivery of the notifications happens with enough lead time for the clients to take action and avoid any penalties. This also applies if the provider uses bank transfers based on agreements with clients and banks in which the clients have accounts.</w:t>
      </w:r>
    </w:p>
    <w:p w14:paraId="7FF5D9FF" w14:textId="77777777" w:rsidR="00672763" w:rsidRPr="00A608EE" w:rsidRDefault="00672763" w:rsidP="00EE208A">
      <w:pPr>
        <w:jc w:val="both"/>
        <w:rPr>
          <w:rFonts w:asciiTheme="majorHAnsi" w:hAnsiTheme="majorHAnsi"/>
          <w:sz w:val="20"/>
          <w:szCs w:val="20"/>
          <w:lang w:eastAsia="fr-FR"/>
        </w:rPr>
      </w:pPr>
    </w:p>
    <w:p w14:paraId="201C2AA0"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69184" behindDoc="1" locked="0" layoutInCell="1" allowOverlap="1" wp14:anchorId="739BF930" wp14:editId="2E0AF2C6">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068659487"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760104A5" w14:textId="77777777" w:rsidR="00672763" w:rsidRPr="00A608EE" w:rsidRDefault="00672763" w:rsidP="00EE208A">
      <w:pPr>
        <w:jc w:val="both"/>
        <w:rPr>
          <w:rFonts w:asciiTheme="majorHAnsi" w:hAnsiTheme="majorHAnsi"/>
          <w:sz w:val="20"/>
          <w:szCs w:val="20"/>
          <w:lang w:eastAsia="fr-FR"/>
        </w:rPr>
      </w:pPr>
    </w:p>
    <w:p w14:paraId="0A3902CC" w14:textId="0D90B643" w:rsidR="004E5AF5"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4E5AF5" w:rsidRPr="00A608EE">
        <w:rPr>
          <w:rFonts w:asciiTheme="majorHAnsi" w:hAnsiTheme="majorHAnsi"/>
          <w:sz w:val="20"/>
          <w:szCs w:val="20"/>
          <w:lang w:eastAsia="fr-FR"/>
        </w:rPr>
        <w:t>The provider gives clients with disabilities loan payment reminders in accessible channels and formats (including online or physical documents).</w:t>
      </w:r>
    </w:p>
    <w:p w14:paraId="026C9EEF" w14:textId="77777777" w:rsidR="00B001BB" w:rsidRPr="00A608EE" w:rsidRDefault="00B001BB" w:rsidP="00EE208A">
      <w:pPr>
        <w:jc w:val="both"/>
        <w:rPr>
          <w:rFonts w:asciiTheme="majorHAnsi" w:hAnsiTheme="majorHAnsi"/>
          <w:sz w:val="20"/>
          <w:szCs w:val="20"/>
          <w:lang w:eastAsia="fr-FR"/>
        </w:rPr>
      </w:pPr>
    </w:p>
    <w:p w14:paraId="24EF82F6" w14:textId="35C63FA4" w:rsidR="00B001BB" w:rsidRPr="00A608EE" w:rsidRDefault="00B001BB" w:rsidP="00EE208A">
      <w:pPr>
        <w:jc w:val="both"/>
        <w:rPr>
          <w:rFonts w:asciiTheme="majorHAnsi" w:hAnsiTheme="majorHAnsi"/>
          <w:sz w:val="20"/>
          <w:szCs w:val="20"/>
          <w:lang w:eastAsia="fr-FR"/>
        </w:rPr>
      </w:pPr>
      <w:r w:rsidRPr="00A608EE">
        <w:rPr>
          <w:rFonts w:asciiTheme="majorHAnsi" w:hAnsiTheme="majorHAnsi"/>
          <w:sz w:val="20"/>
          <w:szCs w:val="20"/>
          <w:lang w:eastAsia="fr-FR"/>
        </w:rPr>
        <w:t>[See indicators 4.B.1.2 and 4.B.1.4 for more information about accessible channels and information formats]</w:t>
      </w:r>
    </w:p>
    <w:p w14:paraId="05B1C2B4" w14:textId="77777777" w:rsidR="004E5AF5" w:rsidRPr="00A608EE" w:rsidRDefault="004E5AF5" w:rsidP="00EE208A">
      <w:pPr>
        <w:jc w:val="both"/>
        <w:rPr>
          <w:rFonts w:asciiTheme="majorHAnsi" w:hAnsiTheme="majorHAnsi"/>
          <w:sz w:val="20"/>
          <w:szCs w:val="20"/>
          <w:lang w:eastAsia="fr-FR"/>
        </w:rPr>
      </w:pPr>
    </w:p>
    <w:p w14:paraId="614AEA31" w14:textId="083DD9EA" w:rsidR="00666460" w:rsidRPr="00A608EE" w:rsidRDefault="0066646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1207549D" w14:textId="77777777" w:rsidR="00666460" w:rsidRPr="00A608EE" w:rsidRDefault="00666460" w:rsidP="00A27AAA">
      <w:pPr>
        <w:numPr>
          <w:ilvl w:val="0"/>
          <w:numId w:val="256"/>
        </w:numPr>
        <w:jc w:val="both"/>
        <w:rPr>
          <w:rFonts w:asciiTheme="majorHAnsi" w:hAnsiTheme="majorHAnsi"/>
          <w:sz w:val="20"/>
          <w:szCs w:val="20"/>
          <w:lang w:eastAsia="fr-FR"/>
        </w:rPr>
      </w:pPr>
      <w:r w:rsidRPr="00A608EE">
        <w:rPr>
          <w:rFonts w:asciiTheme="majorHAnsi" w:hAnsiTheme="majorHAnsi"/>
          <w:sz w:val="20"/>
          <w:szCs w:val="20"/>
          <w:lang w:eastAsia="fr-FR"/>
        </w:rPr>
        <w:t>Score ‘N/A”, if the provider does </w:t>
      </w:r>
      <w:r w:rsidRPr="00A608EE">
        <w:rPr>
          <w:rFonts w:asciiTheme="majorHAnsi" w:hAnsiTheme="majorHAnsi"/>
          <w:sz w:val="20"/>
          <w:szCs w:val="20"/>
          <w:u w:val="single"/>
          <w:lang w:eastAsia="fr-FR"/>
        </w:rPr>
        <w:t>not</w:t>
      </w:r>
      <w:r w:rsidRPr="00A608EE">
        <w:rPr>
          <w:rFonts w:asciiTheme="majorHAnsi" w:hAnsiTheme="majorHAnsi"/>
          <w:sz w:val="20"/>
          <w:szCs w:val="20"/>
          <w:lang w:eastAsia="fr-FR"/>
        </w:rPr>
        <w:t> apply automatic deductions for loan repayments by debiting client accounts.</w:t>
      </w:r>
    </w:p>
    <w:p w14:paraId="3E45B359" w14:textId="77777777" w:rsidR="00666460" w:rsidRPr="00A608EE" w:rsidRDefault="00666460" w:rsidP="00A27AAA">
      <w:pPr>
        <w:numPr>
          <w:ilvl w:val="0"/>
          <w:numId w:val="256"/>
        </w:numPr>
        <w:jc w:val="both"/>
        <w:rPr>
          <w:rFonts w:asciiTheme="majorHAnsi" w:hAnsiTheme="majorHAnsi"/>
          <w:sz w:val="20"/>
          <w:szCs w:val="20"/>
          <w:lang w:eastAsia="fr-FR"/>
        </w:rPr>
      </w:pPr>
      <w:r w:rsidRPr="00A608EE">
        <w:rPr>
          <w:rFonts w:asciiTheme="majorHAnsi" w:hAnsiTheme="majorHAnsi"/>
          <w:sz w:val="20"/>
          <w:szCs w:val="20"/>
          <w:lang w:eastAsia="fr-FR"/>
        </w:rPr>
        <w:t>Score ’yes’, if the (1) provider and/or its agent notifies all the clients of each automatic debit transaction (2) not later than 24 hours before loan repayments are due.</w:t>
      </w:r>
    </w:p>
    <w:p w14:paraId="12FE2C89" w14:textId="77777777" w:rsidR="00666460" w:rsidRPr="00A608EE" w:rsidRDefault="00666460" w:rsidP="00A27AAA">
      <w:pPr>
        <w:numPr>
          <w:ilvl w:val="0"/>
          <w:numId w:val="256"/>
        </w:numPr>
        <w:jc w:val="both"/>
        <w:rPr>
          <w:rFonts w:asciiTheme="majorHAnsi" w:hAnsiTheme="majorHAnsi"/>
          <w:sz w:val="20"/>
          <w:szCs w:val="20"/>
          <w:lang w:eastAsia="fr-FR"/>
        </w:rPr>
      </w:pPr>
      <w:r w:rsidRPr="00A608EE">
        <w:rPr>
          <w:rFonts w:asciiTheme="majorHAnsi" w:hAnsiTheme="majorHAnsi"/>
          <w:sz w:val="20"/>
          <w:szCs w:val="20"/>
          <w:lang w:eastAsia="fr-FR"/>
        </w:rPr>
        <w:t>Score ‘partially’, if one of the two requirements are not met. For instance, not all clients receive a notification or client receive a notification within less than 24 hours of the automatic account debiting.</w:t>
      </w:r>
    </w:p>
    <w:p w14:paraId="3BFF3705" w14:textId="77777777" w:rsidR="00666460" w:rsidRPr="00A608EE" w:rsidRDefault="00666460" w:rsidP="00A27AAA">
      <w:pPr>
        <w:numPr>
          <w:ilvl w:val="0"/>
          <w:numId w:val="256"/>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does not notify clients about automatic deductions for loan repayments.</w:t>
      </w:r>
    </w:p>
    <w:p w14:paraId="5466D673" w14:textId="77777777" w:rsidR="00666460" w:rsidRPr="00A608EE" w:rsidRDefault="00666460" w:rsidP="00EE208A">
      <w:pPr>
        <w:jc w:val="both"/>
        <w:rPr>
          <w:rFonts w:asciiTheme="majorHAnsi" w:hAnsiTheme="majorHAnsi"/>
          <w:sz w:val="20"/>
          <w:szCs w:val="20"/>
          <w:lang w:eastAsia="fr-FR"/>
        </w:rPr>
      </w:pPr>
    </w:p>
    <w:p w14:paraId="48EE9DF2" w14:textId="2DEC1177" w:rsidR="00666460" w:rsidRPr="00A608EE" w:rsidRDefault="0066646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052E32AC" w14:textId="77777777" w:rsidR="00666460" w:rsidRPr="00A608EE" w:rsidRDefault="00666460" w:rsidP="00A27AAA">
      <w:pPr>
        <w:numPr>
          <w:ilvl w:val="0"/>
          <w:numId w:val="257"/>
        </w:numPr>
        <w:jc w:val="both"/>
        <w:rPr>
          <w:rFonts w:asciiTheme="majorHAnsi" w:hAnsiTheme="majorHAnsi"/>
          <w:sz w:val="20"/>
          <w:szCs w:val="20"/>
          <w:lang w:eastAsia="fr-FR"/>
        </w:rPr>
      </w:pPr>
      <w:r w:rsidRPr="00A608EE">
        <w:rPr>
          <w:rFonts w:asciiTheme="majorHAnsi" w:hAnsiTheme="majorHAnsi"/>
          <w:sz w:val="20"/>
          <w:szCs w:val="20"/>
          <w:lang w:eastAsia="fr-FR"/>
        </w:rPr>
        <w:t>Communication process /procedures (pay attention to the time frame conditions).</w:t>
      </w:r>
    </w:p>
    <w:p w14:paraId="585A9739" w14:textId="77777777" w:rsidR="00666460" w:rsidRPr="00A608EE" w:rsidRDefault="00666460" w:rsidP="00A27AAA">
      <w:pPr>
        <w:numPr>
          <w:ilvl w:val="0"/>
          <w:numId w:val="257"/>
        </w:numPr>
        <w:jc w:val="both"/>
        <w:rPr>
          <w:rFonts w:asciiTheme="majorHAnsi" w:hAnsiTheme="majorHAnsi"/>
          <w:sz w:val="20"/>
          <w:szCs w:val="20"/>
          <w:lang w:eastAsia="fr-FR"/>
        </w:rPr>
      </w:pPr>
      <w:r w:rsidRPr="00A608EE">
        <w:rPr>
          <w:rFonts w:asciiTheme="majorHAnsi" w:hAnsiTheme="majorHAnsi"/>
          <w:sz w:val="20"/>
          <w:szCs w:val="20"/>
          <w:lang w:eastAsia="fr-FR"/>
        </w:rPr>
        <w:t>Channels used to notify clients about upcoming payments and/or deductions on their accounts.</w:t>
      </w:r>
    </w:p>
    <w:p w14:paraId="26683C07" w14:textId="77777777" w:rsidR="00666460" w:rsidRPr="00A608EE" w:rsidRDefault="00666460" w:rsidP="00A27AAA">
      <w:pPr>
        <w:numPr>
          <w:ilvl w:val="0"/>
          <w:numId w:val="257"/>
        </w:numPr>
        <w:jc w:val="both"/>
        <w:rPr>
          <w:rFonts w:asciiTheme="majorHAnsi" w:hAnsiTheme="majorHAnsi"/>
          <w:sz w:val="20"/>
          <w:szCs w:val="20"/>
          <w:lang w:eastAsia="fr-FR"/>
        </w:rPr>
      </w:pPr>
      <w:r w:rsidRPr="00A608EE">
        <w:rPr>
          <w:rFonts w:asciiTheme="majorHAnsi" w:hAnsiTheme="majorHAnsi"/>
          <w:sz w:val="20"/>
          <w:szCs w:val="20"/>
          <w:lang w:eastAsia="fr-FR"/>
        </w:rPr>
        <w:t>Interviews with staff who handle payments, IT, and client reminders.</w:t>
      </w:r>
    </w:p>
    <w:p w14:paraId="07D3959D" w14:textId="77777777" w:rsidR="00666460" w:rsidRPr="00A608EE" w:rsidRDefault="00666460" w:rsidP="00A27AAA">
      <w:pPr>
        <w:numPr>
          <w:ilvl w:val="0"/>
          <w:numId w:val="257"/>
        </w:numPr>
        <w:jc w:val="both"/>
        <w:rPr>
          <w:rFonts w:asciiTheme="majorHAnsi" w:hAnsiTheme="majorHAnsi"/>
          <w:sz w:val="20"/>
          <w:szCs w:val="20"/>
          <w:lang w:eastAsia="fr-FR"/>
        </w:rPr>
      </w:pPr>
      <w:r w:rsidRPr="00A608EE">
        <w:rPr>
          <w:rFonts w:asciiTheme="majorHAnsi" w:hAnsiTheme="majorHAnsi"/>
          <w:sz w:val="20"/>
          <w:szCs w:val="20"/>
          <w:lang w:eastAsia="fr-FR"/>
        </w:rPr>
        <w:t>Interviews with client whose accounts have been debited to ensure that they are notified at least 24 hours before the due date.</w:t>
      </w:r>
    </w:p>
    <w:p w14:paraId="5B1F5CEF" w14:textId="77777777" w:rsidR="00666460" w:rsidRPr="00A608EE" w:rsidRDefault="00666460" w:rsidP="00A27AAA">
      <w:pPr>
        <w:numPr>
          <w:ilvl w:val="0"/>
          <w:numId w:val="257"/>
        </w:numPr>
        <w:jc w:val="both"/>
        <w:rPr>
          <w:rFonts w:asciiTheme="majorHAnsi" w:hAnsiTheme="majorHAnsi"/>
          <w:sz w:val="20"/>
          <w:szCs w:val="20"/>
          <w:lang w:eastAsia="fr-FR"/>
        </w:rPr>
      </w:pPr>
      <w:r w:rsidRPr="00A608EE">
        <w:rPr>
          <w:rFonts w:asciiTheme="majorHAnsi" w:hAnsiTheme="majorHAnsi"/>
          <w:sz w:val="20"/>
          <w:szCs w:val="20"/>
          <w:lang w:eastAsia="fr-FR"/>
        </w:rPr>
        <w:t>Contracts with third parties, if applicable.</w:t>
      </w:r>
    </w:p>
    <w:p w14:paraId="31D75BDE" w14:textId="77777777" w:rsidR="00666460" w:rsidRPr="00A608EE" w:rsidRDefault="00666460" w:rsidP="00EE208A">
      <w:pPr>
        <w:jc w:val="both"/>
        <w:rPr>
          <w:rFonts w:asciiTheme="majorHAnsi" w:hAnsiTheme="majorHAnsi"/>
          <w:sz w:val="20"/>
          <w:szCs w:val="20"/>
          <w:lang w:eastAsia="fr-FR"/>
        </w:rPr>
      </w:pPr>
    </w:p>
    <w:p w14:paraId="5D3D1FCE" w14:textId="48CB1452" w:rsidR="00666460" w:rsidRPr="00A608EE" w:rsidRDefault="0066646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0CF9F9A8" w14:textId="77777777" w:rsidR="00666460" w:rsidRPr="00A608EE" w:rsidRDefault="00666460" w:rsidP="00A27AAA">
      <w:pPr>
        <w:numPr>
          <w:ilvl w:val="0"/>
          <w:numId w:val="258"/>
        </w:numPr>
        <w:jc w:val="both"/>
        <w:rPr>
          <w:rFonts w:asciiTheme="majorHAnsi" w:hAnsiTheme="majorHAnsi"/>
          <w:sz w:val="20"/>
          <w:szCs w:val="20"/>
          <w:lang w:eastAsia="fr-FR"/>
        </w:rPr>
      </w:pPr>
      <w:r w:rsidRPr="00A608EE">
        <w:rPr>
          <w:rFonts w:asciiTheme="majorHAnsi" w:hAnsiTheme="majorHAnsi"/>
          <w:sz w:val="20"/>
          <w:szCs w:val="20"/>
          <w:lang w:eastAsia="fr-FR"/>
        </w:rPr>
        <w:t>Reference to the part of the contract that covers this point in case of third-party agreement.</w:t>
      </w:r>
    </w:p>
    <w:p w14:paraId="6CEB5102" w14:textId="77777777" w:rsidR="00666460" w:rsidRPr="00A608EE" w:rsidRDefault="00666460" w:rsidP="00A27AAA">
      <w:pPr>
        <w:numPr>
          <w:ilvl w:val="0"/>
          <w:numId w:val="258"/>
        </w:numPr>
        <w:jc w:val="both"/>
        <w:rPr>
          <w:rFonts w:asciiTheme="majorHAnsi" w:hAnsiTheme="majorHAnsi"/>
          <w:sz w:val="20"/>
          <w:szCs w:val="15"/>
          <w:lang w:eastAsia="fr-FR"/>
        </w:rPr>
      </w:pPr>
      <w:r w:rsidRPr="00A608EE">
        <w:rPr>
          <w:rFonts w:asciiTheme="majorHAnsi" w:hAnsiTheme="majorHAnsi"/>
          <w:sz w:val="20"/>
          <w:szCs w:val="15"/>
          <w:lang w:eastAsia="fr-FR"/>
        </w:rPr>
        <w:t>Results from observation, review of documents, and interviews with staff and clients.</w:t>
      </w:r>
    </w:p>
    <w:p w14:paraId="71C72AF4" w14:textId="1008DA9E" w:rsidR="00DB482C" w:rsidRPr="00A608EE" w:rsidRDefault="00DB482C" w:rsidP="00EE208A">
      <w:pPr>
        <w:jc w:val="both"/>
        <w:rPr>
          <w:rFonts w:asciiTheme="majorHAnsi" w:hAnsiTheme="majorHAnsi"/>
          <w:szCs w:val="20"/>
        </w:rPr>
      </w:pPr>
    </w:p>
    <w:p w14:paraId="4D2A5759" w14:textId="77777777" w:rsidR="007253B3" w:rsidRPr="00A608EE" w:rsidRDefault="007253B3" w:rsidP="00EE208A">
      <w:pPr>
        <w:jc w:val="both"/>
        <w:rPr>
          <w:rFonts w:asciiTheme="majorHAnsi" w:hAnsiTheme="majorHAnsi"/>
          <w:szCs w:val="20"/>
        </w:rPr>
      </w:pPr>
    </w:p>
    <w:p w14:paraId="6BAB287B" w14:textId="0175194D" w:rsidR="00DB482C" w:rsidRPr="00A608EE" w:rsidRDefault="003E22F5" w:rsidP="00EE208A">
      <w:pPr>
        <w:pStyle w:val="Heading2"/>
        <w:spacing w:before="0" w:line="240" w:lineRule="auto"/>
        <w:jc w:val="both"/>
      </w:pPr>
      <w:bookmarkStart w:id="75" w:name="_Toc230938801"/>
      <w:r w:rsidRPr="00A608EE">
        <w:t>Standard 4C. The provider enforces fair and respectful treatment of clients.</w:t>
      </w:r>
      <w:bookmarkEnd w:id="75"/>
    </w:p>
    <w:p w14:paraId="6D08E237" w14:textId="77777777" w:rsidR="00F3275C" w:rsidRPr="00A608EE" w:rsidRDefault="00F3275C" w:rsidP="00EE208A">
      <w:pPr>
        <w:jc w:val="both"/>
        <w:rPr>
          <w:rFonts w:asciiTheme="majorHAnsi" w:hAnsiTheme="majorHAnsi"/>
          <w:szCs w:val="20"/>
        </w:rPr>
      </w:pPr>
    </w:p>
    <w:p w14:paraId="3D9233C7" w14:textId="11B2DFD2" w:rsidR="007253B3" w:rsidRPr="00A608EE" w:rsidRDefault="003E22F5" w:rsidP="00EE208A">
      <w:pPr>
        <w:jc w:val="both"/>
        <w:rPr>
          <w:rFonts w:asciiTheme="majorHAnsi" w:hAnsiTheme="majorHAnsi"/>
          <w:sz w:val="20"/>
          <w:szCs w:val="20"/>
          <w:lang w:eastAsia="fr-FR"/>
        </w:rPr>
      </w:pPr>
      <w:r w:rsidRPr="00A608EE">
        <w:rPr>
          <w:rFonts w:asciiTheme="majorHAnsi" w:hAnsiTheme="majorHAnsi"/>
          <w:sz w:val="20"/>
          <w:szCs w:val="20"/>
          <w:lang w:eastAsia="fr-FR"/>
        </w:rPr>
        <w:lastRenderedPageBreak/>
        <w:t>Providers and their agents must treat their clients fairly and respectfully. They will not discriminate. Providers will ensure adequate safeguards to detect and correct corruption as well as aggressive or abusive treatment by their employees and agents, particularly during the loan sales and debt collection processes.</w:t>
      </w:r>
    </w:p>
    <w:p w14:paraId="4568FA48" w14:textId="77777777" w:rsidR="003E22F5" w:rsidRPr="00A608EE" w:rsidRDefault="003E22F5" w:rsidP="00EE208A">
      <w:pPr>
        <w:jc w:val="both"/>
        <w:rPr>
          <w:rFonts w:asciiTheme="majorHAnsi" w:hAnsiTheme="majorHAnsi"/>
          <w:b/>
          <w:bCs/>
          <w:sz w:val="20"/>
          <w:szCs w:val="20"/>
        </w:rPr>
      </w:pPr>
      <w:r w:rsidRPr="00A608EE">
        <w:rPr>
          <w:rFonts w:asciiTheme="majorHAnsi" w:hAnsiTheme="majorHAnsi"/>
          <w:b/>
          <w:bCs/>
          <w:sz w:val="20"/>
          <w:szCs w:val="20"/>
        </w:rPr>
        <w:t>Resources for standard 4C</w:t>
      </w:r>
    </w:p>
    <w:p w14:paraId="67568847" w14:textId="77777777" w:rsidR="003E22F5" w:rsidRPr="00A608EE" w:rsidRDefault="003E22F5" w:rsidP="00A27AAA">
      <w:pPr>
        <w:numPr>
          <w:ilvl w:val="0"/>
          <w:numId w:val="259"/>
        </w:numPr>
        <w:jc w:val="both"/>
        <w:rPr>
          <w:rFonts w:asciiTheme="majorHAnsi" w:hAnsiTheme="majorHAnsi"/>
          <w:sz w:val="20"/>
          <w:szCs w:val="20"/>
          <w:lang w:val="es-ES"/>
        </w:rPr>
      </w:pPr>
      <w:hyperlink r:id="rId216" w:tgtFrame="_blank" w:history="1">
        <w:r w:rsidRPr="00A608EE">
          <w:rPr>
            <w:rStyle w:val="Hyperlink"/>
            <w:rFonts w:asciiTheme="majorHAnsi" w:hAnsiTheme="majorHAnsi"/>
            <w:sz w:val="20"/>
            <w:szCs w:val="20"/>
            <w:lang w:val="es-ES"/>
          </w:rPr>
          <w:t>Trato responsable a los clientes Ejerciendo la no discriminación</w:t>
        </w:r>
      </w:hyperlink>
    </w:p>
    <w:p w14:paraId="74203C4F" w14:textId="77454DF2" w:rsidR="003E22F5" w:rsidRPr="00A608EE" w:rsidRDefault="003E22F5" w:rsidP="00A27AAA">
      <w:pPr>
        <w:numPr>
          <w:ilvl w:val="0"/>
          <w:numId w:val="259"/>
        </w:numPr>
        <w:jc w:val="both"/>
        <w:rPr>
          <w:rFonts w:asciiTheme="majorHAnsi" w:hAnsiTheme="majorHAnsi"/>
          <w:sz w:val="20"/>
          <w:szCs w:val="20"/>
          <w:lang w:val="es-ES"/>
        </w:rPr>
      </w:pPr>
      <w:hyperlink r:id="rId217" w:tgtFrame="_blank" w:history="1">
        <w:r w:rsidRPr="00A608EE">
          <w:rPr>
            <w:rStyle w:val="Hyperlink"/>
            <w:rFonts w:asciiTheme="majorHAnsi" w:hAnsiTheme="majorHAnsi"/>
            <w:sz w:val="20"/>
            <w:szCs w:val="20"/>
            <w:lang w:val="es-ES"/>
          </w:rPr>
          <w:t>Capacitación sobre Derechos y Responsabilidades del cliente</w:t>
        </w:r>
      </w:hyperlink>
    </w:p>
    <w:p w14:paraId="6D326268" w14:textId="12020FAE" w:rsidR="003E22F5" w:rsidRPr="00A608EE" w:rsidRDefault="003E22F5" w:rsidP="00EE208A">
      <w:pPr>
        <w:jc w:val="both"/>
        <w:rPr>
          <w:rFonts w:asciiTheme="majorHAnsi" w:hAnsiTheme="majorHAnsi"/>
          <w:sz w:val="20"/>
          <w:szCs w:val="20"/>
        </w:rPr>
      </w:pPr>
      <w:r w:rsidRPr="00A608EE">
        <w:rPr>
          <w:rFonts w:asciiTheme="majorHAnsi" w:hAnsiTheme="majorHAnsi"/>
          <w:sz w:val="20"/>
          <w:szCs w:val="20"/>
        </w:rPr>
        <w:t>This standard has 3 essential practices:</w:t>
      </w:r>
    </w:p>
    <w:p w14:paraId="40F63321" w14:textId="505AD78C" w:rsidR="003E22F5" w:rsidRPr="00A608EE" w:rsidRDefault="003E22F5" w:rsidP="00A27AAA">
      <w:pPr>
        <w:numPr>
          <w:ilvl w:val="0"/>
          <w:numId w:val="260"/>
        </w:numPr>
        <w:jc w:val="both"/>
        <w:rPr>
          <w:rFonts w:asciiTheme="majorHAnsi" w:hAnsiTheme="majorHAnsi"/>
          <w:sz w:val="20"/>
          <w:szCs w:val="20"/>
        </w:rPr>
      </w:pPr>
      <w:r w:rsidRPr="00A608EE">
        <w:rPr>
          <w:rFonts w:asciiTheme="majorHAnsi" w:hAnsiTheme="majorHAnsi"/>
          <w:sz w:val="20"/>
          <w:szCs w:val="20"/>
        </w:rPr>
        <w:t>Essential practice 4.C.1: The provider's code of conduct requires fair and respectful treatment of clients.</w:t>
      </w:r>
    </w:p>
    <w:p w14:paraId="401462DD" w14:textId="5F1BBA88" w:rsidR="003E22F5" w:rsidRPr="00A608EE" w:rsidRDefault="003E22F5" w:rsidP="00A27AAA">
      <w:pPr>
        <w:numPr>
          <w:ilvl w:val="0"/>
          <w:numId w:val="260"/>
        </w:numPr>
        <w:jc w:val="both"/>
        <w:rPr>
          <w:rFonts w:asciiTheme="majorHAnsi" w:hAnsiTheme="majorHAnsi"/>
          <w:sz w:val="20"/>
          <w:szCs w:val="20"/>
        </w:rPr>
      </w:pPr>
      <w:r w:rsidRPr="00A608EE">
        <w:rPr>
          <w:rFonts w:asciiTheme="majorHAnsi" w:hAnsiTheme="majorHAnsi"/>
          <w:sz w:val="20"/>
          <w:szCs w:val="20"/>
        </w:rPr>
        <w:t>Essential practice 4.C.2: The provider does not use aggressive sales techniques.</w:t>
      </w:r>
    </w:p>
    <w:p w14:paraId="69218502" w14:textId="10C02C1F" w:rsidR="003E22F5" w:rsidRPr="00A608EE" w:rsidRDefault="003E22F5" w:rsidP="00A27AAA">
      <w:pPr>
        <w:numPr>
          <w:ilvl w:val="0"/>
          <w:numId w:val="260"/>
        </w:numPr>
        <w:jc w:val="both"/>
        <w:rPr>
          <w:rFonts w:asciiTheme="majorHAnsi" w:hAnsiTheme="majorHAnsi"/>
          <w:sz w:val="20"/>
          <w:szCs w:val="20"/>
        </w:rPr>
      </w:pPr>
      <w:r w:rsidRPr="00A608EE">
        <w:rPr>
          <w:rFonts w:asciiTheme="majorHAnsi" w:hAnsiTheme="majorHAnsi"/>
          <w:sz w:val="20"/>
          <w:szCs w:val="20"/>
        </w:rPr>
        <w:t>Essential practice 4.C.3: The provider protects clients' rights to respectful treatment during the loan collection process.</w:t>
      </w:r>
    </w:p>
    <w:p w14:paraId="64562E2F" w14:textId="77777777" w:rsidR="007253B3" w:rsidRPr="00A608EE" w:rsidRDefault="007253B3" w:rsidP="00EE208A">
      <w:pPr>
        <w:jc w:val="both"/>
        <w:rPr>
          <w:rFonts w:asciiTheme="majorHAnsi" w:hAnsiTheme="majorHAnsi"/>
          <w:szCs w:val="20"/>
        </w:rPr>
      </w:pPr>
    </w:p>
    <w:p w14:paraId="5676EDCE" w14:textId="2B10DB18" w:rsidR="00F3275C" w:rsidRPr="00A608EE" w:rsidRDefault="00DB482C" w:rsidP="00EE208A">
      <w:pPr>
        <w:pStyle w:val="Heading3"/>
        <w:spacing w:before="0" w:line="240" w:lineRule="auto"/>
        <w:jc w:val="both"/>
      </w:pPr>
      <w:bookmarkStart w:id="76" w:name="_Toc230938802"/>
      <w:r w:rsidRPr="00A608EE">
        <w:rPr>
          <w:rStyle w:val="text-primary"/>
        </w:rPr>
        <w:t xml:space="preserve">4.C.1 </w:t>
      </w:r>
      <w:r w:rsidR="003E22F5" w:rsidRPr="00A608EE">
        <w:t>The provider's code of conduct requires fair and respectful treatment of clients</w:t>
      </w:r>
      <w:r w:rsidR="00344DF0" w:rsidRPr="00A608EE">
        <w:t>.</w:t>
      </w:r>
      <w:bookmarkEnd w:id="76"/>
    </w:p>
    <w:p w14:paraId="792110D0" w14:textId="77777777" w:rsidR="007253B3" w:rsidRPr="00A608EE" w:rsidRDefault="007253B3" w:rsidP="00EE208A">
      <w:pPr>
        <w:pStyle w:val="NormalWeb"/>
        <w:spacing w:before="0" w:beforeAutospacing="0" w:after="0" w:afterAutospacing="0"/>
        <w:jc w:val="both"/>
        <w:rPr>
          <w:rFonts w:asciiTheme="majorHAnsi" w:hAnsiTheme="majorHAnsi"/>
          <w:sz w:val="20"/>
          <w:szCs w:val="20"/>
        </w:rPr>
      </w:pPr>
    </w:p>
    <w:p w14:paraId="13B4A18B" w14:textId="77777777" w:rsidR="003E22F5" w:rsidRPr="00A608EE" w:rsidRDefault="003E22F5"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Code of Conduct</w:t>
      </w:r>
    </w:p>
    <w:p w14:paraId="13A60B32" w14:textId="77777777" w:rsidR="003E22F5" w:rsidRPr="00A608EE" w:rsidRDefault="003E22F5"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 institutional Code of Conduct (or Code of Ethics) helps employees practice fair and respectful treatment of clients by defining clear standards of professional conduct that they must uphold. It should spell out expected behavior as well as the sanctions for violations of the Code. A written Code does not guarantee ethical conduct, but it is a first step toward formalizing an ethical organizational culture.</w:t>
      </w:r>
    </w:p>
    <w:p w14:paraId="276CE2CD" w14:textId="77777777" w:rsidR="003E22F5" w:rsidRPr="00A608EE" w:rsidRDefault="003E22F5" w:rsidP="00EE208A">
      <w:pPr>
        <w:pStyle w:val="NormalWeb"/>
        <w:spacing w:before="0" w:beforeAutospacing="0" w:after="0" w:afterAutospacing="0"/>
        <w:jc w:val="both"/>
        <w:rPr>
          <w:rFonts w:asciiTheme="majorHAnsi" w:hAnsiTheme="majorHAnsi"/>
          <w:sz w:val="20"/>
          <w:szCs w:val="20"/>
        </w:rPr>
      </w:pPr>
    </w:p>
    <w:p w14:paraId="64082B65" w14:textId="39450210" w:rsidR="003E22F5" w:rsidRPr="00A608EE" w:rsidRDefault="003E22F5"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Code should apply to all board members, managers, staff, and third-party providers (e.g., agents, debt collectors), to ensure that clients are protected when interacting with anyone working on behalf of the provider. All should sign it to formalize their agreement to abide by the ethical expectations described in the Code and receive training on it</w:t>
      </w:r>
    </w:p>
    <w:p w14:paraId="09BCF5B2" w14:textId="77777777" w:rsidR="003E22F5" w:rsidRPr="00A608EE" w:rsidRDefault="003E22F5" w:rsidP="00EE208A">
      <w:pPr>
        <w:pStyle w:val="NormalWeb"/>
        <w:spacing w:before="0" w:beforeAutospacing="0" w:after="0" w:afterAutospacing="0"/>
        <w:jc w:val="both"/>
        <w:rPr>
          <w:rFonts w:asciiTheme="majorHAnsi" w:hAnsiTheme="majorHAnsi"/>
          <w:sz w:val="20"/>
          <w:szCs w:val="20"/>
        </w:rPr>
      </w:pPr>
    </w:p>
    <w:p w14:paraId="28759E4E" w14:textId="32B5F677" w:rsidR="003E22F5" w:rsidRPr="00A608EE" w:rsidRDefault="003E22F5"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needs to train its agents, if they are not yet trained well by the third-party providers concerned on comparable Codes.</w:t>
      </w:r>
    </w:p>
    <w:p w14:paraId="6369B357" w14:textId="77777777" w:rsidR="003E22F5" w:rsidRPr="00A608EE" w:rsidRDefault="003E22F5" w:rsidP="00EE208A">
      <w:pPr>
        <w:pStyle w:val="NormalWeb"/>
        <w:spacing w:before="0" w:beforeAutospacing="0" w:after="0" w:afterAutospacing="0"/>
        <w:jc w:val="both"/>
        <w:rPr>
          <w:rFonts w:asciiTheme="majorHAnsi" w:hAnsiTheme="majorHAnsi"/>
          <w:sz w:val="20"/>
          <w:szCs w:val="20"/>
        </w:rPr>
      </w:pPr>
    </w:p>
    <w:p w14:paraId="4346DD4B" w14:textId="174594C9" w:rsidR="003E22F5" w:rsidRPr="00A608EE" w:rsidRDefault="003E22F5"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Training on the Code should use “real life” examples that highlight situations in which compliance with the Code may be difficult (e.g., when dealing with disrespectful clients; when asked by another staff member to commit minor fraud). For example, Sahayata Micro Finance Pvt. Ltd (India) uses “Customers’ Rights and Responsibilities Illustrations”—a series of simple pictures and texts that demonstrate five client rights and five client responsibilities, allowing trainees to discuss each scenario. Trainees are asked to read the card and decide which customer right is supported or violated by the behavior described. The cards are used to stimulate discussion among small groups of trainees and to test understanding of ethical behavior.</w:t>
      </w:r>
    </w:p>
    <w:p w14:paraId="34592A85" w14:textId="77777777" w:rsidR="003E22F5" w:rsidRPr="00A608EE" w:rsidRDefault="003E22F5" w:rsidP="00EE208A">
      <w:pPr>
        <w:pStyle w:val="NormalWeb"/>
        <w:spacing w:before="0" w:beforeAutospacing="0" w:after="0" w:afterAutospacing="0"/>
        <w:jc w:val="both"/>
        <w:rPr>
          <w:rFonts w:asciiTheme="majorHAnsi" w:hAnsiTheme="majorHAnsi"/>
          <w:sz w:val="20"/>
          <w:szCs w:val="20"/>
        </w:rPr>
      </w:pPr>
    </w:p>
    <w:p w14:paraId="737DB97E" w14:textId="5BC10B6E" w:rsidR="003E22F5" w:rsidRPr="00A608EE" w:rsidRDefault="003E22F5"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Non-discrimination</w:t>
      </w:r>
    </w:p>
    <w:p w14:paraId="0D1B1CC3" w14:textId="69120604" w:rsidR="003E22F5" w:rsidRPr="00A608EE" w:rsidRDefault="003E22F5"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Few providers have a complete non-discrimination policy that protects all the types of clients. Most do not expressly want to deny clients’ rights, but they are unaware of how institutional policies and staff behavior affect certain clients or they know they need to have a non-discrimination policy, but certain protected categories are sensitive given the region’s religion or cultural norms and therefore have been left out, e.g., homosexuality. Providers should put in place a non-discrimination policy to make clear the its expectations and to standardize behavior across all employees.</w:t>
      </w:r>
    </w:p>
    <w:p w14:paraId="136A166D" w14:textId="77777777" w:rsidR="003E22F5" w:rsidRPr="00A608EE" w:rsidRDefault="003E22F5" w:rsidP="00EE208A">
      <w:pPr>
        <w:pStyle w:val="NormalWeb"/>
        <w:spacing w:before="0" w:beforeAutospacing="0" w:after="0" w:afterAutospacing="0"/>
        <w:jc w:val="both"/>
        <w:rPr>
          <w:rFonts w:asciiTheme="majorHAnsi" w:hAnsiTheme="majorHAnsi"/>
          <w:sz w:val="20"/>
          <w:szCs w:val="20"/>
        </w:rPr>
      </w:pPr>
    </w:p>
    <w:p w14:paraId="642B2161" w14:textId="17E05002" w:rsidR="003E22F5" w:rsidRPr="00A608EE" w:rsidRDefault="003E22F5"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Discrimination is different from targeting clients for inclusion in a program (e.g., loans to women, savings accounts for youth). Targeting generally corrects an existing problem of exclusion, whereas discrimination involves treating a client or potential client differently and less favorably based on personal characteristics or affiliations. Terms and conditions for individuals should only differ based on: 1) risk-based analysis (e.g., rural farmers in frequently-flooded areas might be deemed too risky, or loans might be less expensive for repeat clients with stellar repayment histories); 2) target markets defined in the mission </w:t>
      </w:r>
      <w:r w:rsidRPr="00A608EE">
        <w:rPr>
          <w:rFonts w:asciiTheme="majorHAnsi" w:hAnsiTheme="majorHAnsi"/>
          <w:sz w:val="20"/>
          <w:szCs w:val="20"/>
        </w:rPr>
        <w:lastRenderedPageBreak/>
        <w:t>statement (e.g., “our mission is to serve youth in urban areas”); or 3) accommodations based on special needs (e.g., a person with limited mobility repays monthly instead of weekly, given her difficulty getting to the branch). Such differentiation should be applied consistently and transparently.</w:t>
      </w:r>
    </w:p>
    <w:p w14:paraId="68ADFD2E" w14:textId="77777777" w:rsidR="007253B3" w:rsidRPr="00A608EE" w:rsidRDefault="007253B3" w:rsidP="00EE208A">
      <w:pPr>
        <w:pStyle w:val="NormalWeb"/>
        <w:spacing w:before="0" w:beforeAutospacing="0" w:after="0" w:afterAutospacing="0"/>
        <w:jc w:val="both"/>
        <w:rPr>
          <w:rFonts w:asciiTheme="majorHAnsi" w:hAnsiTheme="majorHAnsi"/>
          <w:sz w:val="20"/>
          <w:szCs w:val="20"/>
        </w:rPr>
      </w:pPr>
    </w:p>
    <w:p w14:paraId="35B2D178" w14:textId="6FE1B063" w:rsidR="00344DF0" w:rsidRPr="00A608EE" w:rsidRDefault="007253B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w:t>
      </w:r>
    </w:p>
    <w:p w14:paraId="322E2C8A" w14:textId="5779D0E1" w:rsidR="488500BF" w:rsidRPr="00A608EE" w:rsidRDefault="488500BF" w:rsidP="00A27AAA">
      <w:pPr>
        <w:numPr>
          <w:ilvl w:val="0"/>
          <w:numId w:val="20"/>
        </w:numPr>
        <w:jc w:val="both"/>
        <w:rPr>
          <w:rFonts w:ascii="Work Sans" w:eastAsia="Work Sans" w:hAnsi="Work Sans" w:cs="Work Sans"/>
          <w:color w:val="000000" w:themeColor="background1"/>
          <w:sz w:val="20"/>
          <w:szCs w:val="20"/>
        </w:rPr>
      </w:pPr>
      <w:hyperlink r:id="rId218">
        <w:r w:rsidRPr="00A608EE">
          <w:rPr>
            <w:rStyle w:val="Hyperlink"/>
            <w:rFonts w:ascii="Work Sans" w:eastAsia="Work Sans" w:hAnsi="Work Sans" w:cs="Work Sans"/>
            <w:sz w:val="20"/>
            <w:szCs w:val="20"/>
          </w:rPr>
          <w:t>Smart Campaign Compliance Criteria for Code of Conduct</w:t>
        </w:r>
      </w:hyperlink>
    </w:p>
    <w:p w14:paraId="21A64419" w14:textId="043653E6" w:rsidR="488500BF" w:rsidRPr="00A608EE" w:rsidRDefault="488500BF" w:rsidP="00A27AAA">
      <w:pPr>
        <w:pStyle w:val="ListParagraph"/>
        <w:numPr>
          <w:ilvl w:val="0"/>
          <w:numId w:val="20"/>
        </w:numPr>
        <w:spacing w:after="0" w:line="240" w:lineRule="auto"/>
        <w:jc w:val="both"/>
        <w:rPr>
          <w:rFonts w:eastAsia="Work Sans"/>
          <w:color w:val="000000" w:themeColor="background1"/>
          <w:szCs w:val="20"/>
        </w:rPr>
      </w:pPr>
      <w:hyperlink r:id="rId219">
        <w:r w:rsidRPr="00A608EE">
          <w:rPr>
            <w:rStyle w:val="Hyperlink"/>
            <w:rFonts w:ascii="Work Sans" w:eastAsia="Work Sans" w:hAnsi="Work Sans" w:cs="Work Sans"/>
            <w:szCs w:val="20"/>
          </w:rPr>
          <w:t>Outline For a Code of Conduct</w:t>
        </w:r>
      </w:hyperlink>
    </w:p>
    <w:p w14:paraId="55C64145" w14:textId="77777777" w:rsidR="00BC2476" w:rsidRPr="00A608EE" w:rsidRDefault="00BC2476" w:rsidP="00EE208A">
      <w:pPr>
        <w:jc w:val="both"/>
        <w:rPr>
          <w:rFonts w:asciiTheme="majorHAnsi" w:hAnsiTheme="majorHAnsi"/>
          <w:szCs w:val="20"/>
        </w:rPr>
      </w:pPr>
    </w:p>
    <w:p w14:paraId="788BEE0C" w14:textId="77777777" w:rsidR="00CB2F38" w:rsidRPr="00A608EE" w:rsidRDefault="00CB2F38" w:rsidP="00EE208A">
      <w:pPr>
        <w:pStyle w:val="Heading4"/>
        <w:spacing w:before="0" w:line="240" w:lineRule="auto"/>
        <w:jc w:val="both"/>
        <w:rPr>
          <w:rStyle w:val="text-primary"/>
        </w:rPr>
      </w:pPr>
    </w:p>
    <w:p w14:paraId="2E7EC38C" w14:textId="25CB0502" w:rsidR="00DB482C" w:rsidRPr="00A608EE" w:rsidRDefault="00DB482C" w:rsidP="00EE208A">
      <w:pPr>
        <w:pStyle w:val="Heading4"/>
        <w:spacing w:before="0" w:line="240" w:lineRule="auto"/>
        <w:jc w:val="both"/>
      </w:pPr>
      <w:r w:rsidRPr="00A608EE">
        <w:rPr>
          <w:rStyle w:val="text-primary"/>
        </w:rPr>
        <w:t>4.C.1.2</w:t>
      </w:r>
      <w:r w:rsidRPr="00A608EE">
        <w:t xml:space="preserve"> </w:t>
      </w:r>
      <w:r w:rsidR="00F73BBF" w:rsidRPr="00A608EE">
        <w:t>The provider's policies prohibit the following</w:t>
      </w:r>
      <w:r w:rsidR="006F2C2A" w:rsidRPr="00A608EE">
        <w:t>:</w:t>
      </w:r>
    </w:p>
    <w:p w14:paraId="50208B41" w14:textId="58D08793" w:rsidR="00DB482C" w:rsidRPr="00A608EE" w:rsidRDefault="00DB482C"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4.C.1.2.1</w:t>
      </w:r>
      <w:r w:rsidRPr="00A608EE">
        <w:rPr>
          <w:rFonts w:asciiTheme="majorHAnsi" w:hAnsiTheme="majorHAnsi"/>
          <w:i/>
          <w:sz w:val="20"/>
          <w:szCs w:val="20"/>
        </w:rPr>
        <w:t xml:space="preserve"> </w:t>
      </w:r>
      <w:r w:rsidR="00F73BBF" w:rsidRPr="00A608EE">
        <w:rPr>
          <w:rFonts w:asciiTheme="majorHAnsi" w:hAnsiTheme="majorHAnsi"/>
          <w:i/>
          <w:sz w:val="20"/>
          <w:szCs w:val="20"/>
        </w:rPr>
        <w:t>Corruption, theft, kickbacks, fraud</w:t>
      </w:r>
    </w:p>
    <w:p w14:paraId="0B8B1BB3" w14:textId="06FF7403" w:rsidR="00DB482C" w:rsidRPr="00A608EE" w:rsidRDefault="488500BF"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iCs/>
          <w:sz w:val="20"/>
          <w:szCs w:val="20"/>
        </w:rPr>
        <w:t xml:space="preserve">4.C.1.2.2 </w:t>
      </w:r>
      <w:r w:rsidR="00F73BBF" w:rsidRPr="00A608EE">
        <w:rPr>
          <w:rFonts w:asciiTheme="majorHAnsi" w:hAnsiTheme="majorHAnsi"/>
          <w:i/>
          <w:iCs/>
          <w:sz w:val="20"/>
          <w:szCs w:val="20"/>
        </w:rPr>
        <w:t>Client intimidation: using abusive language, using physical force, limiting physical freedom, sexual harassment, shouting at the client, entering the client’s home uninvited, publicly humiliating the client, using threats.</w:t>
      </w:r>
    </w:p>
    <w:p w14:paraId="72B268C2" w14:textId="6840BFCE" w:rsidR="00DB482C" w:rsidRPr="00A608EE" w:rsidRDefault="00DB482C"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4.C.1.2.3</w:t>
      </w:r>
      <w:r w:rsidRPr="00A608EE">
        <w:rPr>
          <w:rFonts w:asciiTheme="majorHAnsi" w:hAnsiTheme="majorHAnsi"/>
          <w:i/>
          <w:sz w:val="20"/>
          <w:szCs w:val="20"/>
        </w:rPr>
        <w:t xml:space="preserve"> </w:t>
      </w:r>
      <w:r w:rsidR="00F73BBF" w:rsidRPr="00A608EE">
        <w:rPr>
          <w:rFonts w:asciiTheme="majorHAnsi" w:hAnsiTheme="majorHAnsi"/>
          <w:i/>
          <w:sz w:val="20"/>
          <w:szCs w:val="20"/>
        </w:rPr>
        <w:t>Discrimination against all internationally recognized Protected Categories. [Note: Protected Categories are as follows: People over 40 years old; Sex; Race/ethnicity/national extraction/social origin /caste; Religion; Health status, including HIV status; Disability; Sexual orientation; Political affiliation/opinion; Civil/marital status; Participation in a trade union.]</w:t>
      </w:r>
    </w:p>
    <w:p w14:paraId="546A70F3" w14:textId="77777777" w:rsidR="00C445CB" w:rsidRPr="00A608EE" w:rsidRDefault="00C445CB" w:rsidP="00EE208A">
      <w:pPr>
        <w:jc w:val="both"/>
        <w:rPr>
          <w:rFonts w:asciiTheme="majorHAnsi" w:hAnsiTheme="majorHAnsi"/>
          <w:szCs w:val="20"/>
        </w:rPr>
      </w:pPr>
    </w:p>
    <w:p w14:paraId="4DDEADB2" w14:textId="7CD7359C" w:rsidR="00A34684" w:rsidRPr="00A608EE" w:rsidRDefault="004F5FC3"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00A34684" w:rsidRPr="00A608EE">
        <w:rPr>
          <w:rFonts w:asciiTheme="majorHAnsi" w:hAnsiTheme="majorHAnsi" w:cstheme="majorHAnsi"/>
          <w:b/>
          <w:bCs/>
          <w:color w:val="2145CC" w:themeColor="accent5" w:themeShade="BF"/>
          <w:szCs w:val="20"/>
        </w:rPr>
        <w:t xml:space="preserve"> </w:t>
      </w:r>
      <w:r w:rsidR="00A34684" w:rsidRPr="00A608EE">
        <w:rPr>
          <w:rFonts w:asciiTheme="majorHAnsi" w:hAnsiTheme="majorHAnsi" w:cstheme="majorHAnsi"/>
          <w:b/>
          <w:bCs/>
          <w:color w:val="2145CC" w:themeColor="accent5" w:themeShade="BF"/>
          <w:sz w:val="20"/>
          <w:szCs w:val="20"/>
        </w:rPr>
        <w:t xml:space="preserve">ESG Risk | ALINUS | SPI5 Entry | SPI5 Full | CP Commit | CP Full </w:t>
      </w:r>
      <w:r w:rsidR="004A48FF" w:rsidRPr="00A608EE">
        <w:rPr>
          <w:rFonts w:ascii="Work Sans" w:hAnsi="Work Sans"/>
          <w:b/>
          <w:bCs/>
          <w:color w:val="2145CC" w:themeColor="accent5" w:themeShade="BF"/>
          <w:sz w:val="20"/>
          <w:szCs w:val="20"/>
        </w:rPr>
        <w:t>| DI Focus</w:t>
      </w:r>
    </w:p>
    <w:p w14:paraId="106E2B37" w14:textId="0C5E54FF" w:rsidR="00A34684" w:rsidRPr="00A608EE" w:rsidRDefault="00F73BBF"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All details</w:t>
      </w:r>
      <w:r w:rsidR="00A34684" w:rsidRPr="00A608EE">
        <w:rPr>
          <w:rFonts w:asciiTheme="majorHAnsi" w:hAnsiTheme="majorHAnsi" w:cstheme="majorHAnsi"/>
          <w:b/>
          <w:bCs/>
          <w:color w:val="2145CC" w:themeColor="accent5" w:themeShade="BF"/>
          <w:sz w:val="20"/>
          <w:szCs w:val="20"/>
        </w:rPr>
        <w:t xml:space="preserve">: Entry CP </w:t>
      </w:r>
    </w:p>
    <w:p w14:paraId="5D883824" w14:textId="3C11E43A" w:rsidR="00A34684" w:rsidRPr="00A608EE" w:rsidRDefault="004E5AF5"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2187A16B" w14:textId="77777777" w:rsidR="00F73BBF" w:rsidRPr="00A608EE" w:rsidRDefault="00F73BBF" w:rsidP="00EE208A">
      <w:pPr>
        <w:jc w:val="both"/>
        <w:rPr>
          <w:rFonts w:asciiTheme="majorHAnsi" w:hAnsiTheme="majorHAnsi"/>
          <w:sz w:val="20"/>
          <w:szCs w:val="20"/>
          <w:lang w:eastAsia="fr-FR"/>
        </w:rPr>
      </w:pPr>
      <w:r w:rsidRPr="00A608EE">
        <w:rPr>
          <w:rFonts w:asciiTheme="majorHAnsi" w:hAnsiTheme="majorHAnsi"/>
          <w:sz w:val="20"/>
          <w:szCs w:val="20"/>
          <w:lang w:eastAsia="fr-FR"/>
        </w:rPr>
        <w:t>Only by having an explicit policy in place can the provider ensure adherence by staff to these expectations, dissemination during trainings, and eventually control by Internal Audit.</w:t>
      </w:r>
    </w:p>
    <w:p w14:paraId="147422E6" w14:textId="77777777" w:rsidR="00F73BBF" w:rsidRPr="00A608EE" w:rsidRDefault="00F73BBF" w:rsidP="00EE208A">
      <w:pPr>
        <w:jc w:val="both"/>
        <w:rPr>
          <w:rFonts w:asciiTheme="majorHAnsi" w:hAnsiTheme="majorHAnsi"/>
          <w:sz w:val="20"/>
          <w:szCs w:val="20"/>
          <w:lang w:eastAsia="fr-FR"/>
        </w:rPr>
      </w:pPr>
    </w:p>
    <w:p w14:paraId="6B4844F5" w14:textId="0C618691" w:rsidR="00F73BBF" w:rsidRPr="00A608EE" w:rsidRDefault="00F73BBF" w:rsidP="00EE208A">
      <w:pPr>
        <w:jc w:val="both"/>
        <w:rPr>
          <w:rFonts w:asciiTheme="majorHAnsi" w:hAnsiTheme="majorHAnsi"/>
          <w:sz w:val="20"/>
          <w:szCs w:val="20"/>
          <w:lang w:eastAsia="fr-FR"/>
        </w:rPr>
      </w:pPr>
      <w:r w:rsidRPr="00A608EE">
        <w:rPr>
          <w:rFonts w:asciiTheme="majorHAnsi" w:hAnsiTheme="majorHAnsi"/>
          <w:sz w:val="20"/>
          <w:szCs w:val="20"/>
          <w:lang w:eastAsia="fr-FR"/>
        </w:rPr>
        <w:t>As a complement to setting ethical standards of behavior with clients, the provider should have a client non-discrimination policy that prohibits discrimination on the basis of “Protected Categories” as defined by the International Labour Organization which include in particular ethnicity, gender, age, disability, political affiliation, sexual orientation, caste, and religion. However, some of these categories are not protected by law in some countries. For example, “caste” is only applicable in South Asia and does not need to be included outside that region.</w:t>
      </w:r>
    </w:p>
    <w:p w14:paraId="2E584BD2" w14:textId="77777777" w:rsidR="00F73BBF" w:rsidRPr="00A608EE" w:rsidRDefault="00F73BBF" w:rsidP="00EE208A">
      <w:pPr>
        <w:jc w:val="both"/>
        <w:rPr>
          <w:rFonts w:asciiTheme="majorHAnsi" w:hAnsiTheme="majorHAnsi"/>
          <w:sz w:val="20"/>
          <w:szCs w:val="20"/>
          <w:lang w:eastAsia="fr-FR"/>
        </w:rPr>
      </w:pPr>
    </w:p>
    <w:p w14:paraId="684E2417" w14:textId="5AA4BFE1" w:rsidR="004E5AF5" w:rsidRPr="00A608EE" w:rsidRDefault="00F73BBF" w:rsidP="00EE208A">
      <w:pPr>
        <w:jc w:val="both"/>
        <w:rPr>
          <w:rFonts w:asciiTheme="majorHAnsi" w:hAnsiTheme="majorHAnsi"/>
          <w:sz w:val="20"/>
          <w:szCs w:val="20"/>
          <w:lang w:eastAsia="fr-FR"/>
        </w:rPr>
      </w:pPr>
      <w:r w:rsidRPr="00A608EE">
        <w:rPr>
          <w:rFonts w:asciiTheme="majorHAnsi" w:hAnsiTheme="majorHAnsi"/>
          <w:sz w:val="20"/>
          <w:szCs w:val="20"/>
          <w:lang w:eastAsia="fr-FR"/>
        </w:rPr>
        <w:t>In particular, unacceptable behaviors such as client intimidation should be clearly listed in an official document, to set clear expectations from staff, to be able to communicate them to clients (see indicator 4.C.1.3), and for Operations to have a reference for control and for Internal Audit to audit compliance.</w:t>
      </w:r>
    </w:p>
    <w:p w14:paraId="34656CA3" w14:textId="77777777" w:rsidR="00672763" w:rsidRPr="00A608EE" w:rsidRDefault="00672763" w:rsidP="00EE208A">
      <w:pPr>
        <w:jc w:val="both"/>
        <w:rPr>
          <w:rFonts w:asciiTheme="majorHAnsi" w:hAnsiTheme="majorHAnsi"/>
          <w:sz w:val="20"/>
          <w:szCs w:val="20"/>
          <w:lang w:eastAsia="fr-FR"/>
        </w:rPr>
      </w:pPr>
    </w:p>
    <w:p w14:paraId="0E27EE1E"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71232" behindDoc="1" locked="0" layoutInCell="1" allowOverlap="1" wp14:anchorId="2CE6B124" wp14:editId="2F0A0267">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419072325"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7F787F8" w14:textId="77777777" w:rsidR="00672763" w:rsidRPr="00A608EE" w:rsidRDefault="00672763" w:rsidP="00EE208A">
      <w:pPr>
        <w:jc w:val="both"/>
        <w:rPr>
          <w:rFonts w:asciiTheme="majorHAnsi" w:hAnsiTheme="majorHAnsi"/>
          <w:sz w:val="20"/>
          <w:szCs w:val="20"/>
          <w:lang w:eastAsia="fr-FR"/>
        </w:rPr>
      </w:pPr>
    </w:p>
    <w:p w14:paraId="0708AE75" w14:textId="77777777" w:rsidR="00CB225F" w:rsidRPr="00A608EE" w:rsidRDefault="00FC6779" w:rsidP="002F5F81">
      <w:pPr>
        <w:rPr>
          <w:rFonts w:ascii="Work Sans" w:hAnsi="Work Sans"/>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p>
    <w:p w14:paraId="22536A47" w14:textId="7DC1989D" w:rsidR="002F5F81" w:rsidRPr="00A608EE" w:rsidRDefault="002F5F81" w:rsidP="00A27AAA">
      <w:pPr>
        <w:pStyle w:val="ListParagraph"/>
        <w:numPr>
          <w:ilvl w:val="0"/>
          <w:numId w:val="387"/>
        </w:numPr>
        <w:rPr>
          <w:rFonts w:asciiTheme="majorHAnsi" w:hAnsiTheme="majorHAnsi"/>
          <w:szCs w:val="20"/>
          <w:lang w:eastAsia="fr-FR"/>
        </w:rPr>
      </w:pPr>
      <w:r w:rsidRPr="00A608EE">
        <w:rPr>
          <w:rFonts w:asciiTheme="majorHAnsi" w:hAnsiTheme="majorHAnsi"/>
          <w:szCs w:val="20"/>
          <w:lang w:eastAsia="fr-FR"/>
        </w:rPr>
        <w:t>The provider’s policies prohibit discrimination against persons with disabilities (including by denial of reasonable accommodations to access product and services).</w:t>
      </w:r>
    </w:p>
    <w:p w14:paraId="6D3BBDDE" w14:textId="3F1597A3" w:rsidR="003466FF" w:rsidRPr="00A608EE" w:rsidRDefault="002F5F81" w:rsidP="00A27AAA">
      <w:pPr>
        <w:pStyle w:val="ListParagraph"/>
        <w:numPr>
          <w:ilvl w:val="0"/>
          <w:numId w:val="387"/>
        </w:numPr>
        <w:rPr>
          <w:rFonts w:asciiTheme="majorHAnsi" w:hAnsiTheme="majorHAnsi"/>
          <w:szCs w:val="20"/>
          <w:lang w:eastAsia="fr-FR"/>
        </w:rPr>
      </w:pPr>
      <w:r w:rsidRPr="00A608EE">
        <w:rPr>
          <w:rFonts w:asciiTheme="majorHAnsi" w:hAnsiTheme="majorHAnsi"/>
          <w:szCs w:val="20"/>
          <w:lang w:eastAsia="fr-FR"/>
        </w:rPr>
        <w:t xml:space="preserve">The provider provides information about the prohibited behaviors in its code of </w:t>
      </w:r>
      <w:r w:rsidR="003466FF" w:rsidRPr="00A608EE">
        <w:rPr>
          <w:rFonts w:asciiTheme="majorHAnsi" w:hAnsiTheme="majorHAnsi"/>
          <w:szCs w:val="20"/>
          <w:lang w:eastAsia="fr-FR"/>
        </w:rPr>
        <w:t>conduct in</w:t>
      </w:r>
      <w:r w:rsidRPr="00A608EE">
        <w:rPr>
          <w:rFonts w:asciiTheme="majorHAnsi" w:hAnsiTheme="majorHAnsi"/>
          <w:szCs w:val="20"/>
          <w:lang w:eastAsia="fr-FR"/>
        </w:rPr>
        <w:t xml:space="preserve"> formats that are accessible for clients with different types of impairments (e.g. Easy-read, large print, braille, audio formats, oral information, sign language, accessible digital channels).</w:t>
      </w:r>
    </w:p>
    <w:p w14:paraId="7F2823E9" w14:textId="5F47C6A8" w:rsidR="00F73BBF" w:rsidRPr="00A608EE" w:rsidRDefault="002F5F81" w:rsidP="00A27AAA">
      <w:pPr>
        <w:pStyle w:val="ListParagraph"/>
        <w:numPr>
          <w:ilvl w:val="0"/>
          <w:numId w:val="387"/>
        </w:numPr>
        <w:rPr>
          <w:rFonts w:asciiTheme="majorHAnsi" w:hAnsiTheme="majorHAnsi"/>
          <w:szCs w:val="20"/>
          <w:lang w:eastAsia="fr-FR"/>
        </w:rPr>
      </w:pPr>
      <w:r w:rsidRPr="00A608EE">
        <w:rPr>
          <w:rFonts w:asciiTheme="majorHAnsi" w:hAnsiTheme="majorHAnsi"/>
          <w:szCs w:val="20"/>
          <w:lang w:eastAsia="fr-FR"/>
        </w:rPr>
        <w:t>Client-facing staff are trained in accessibility, inclusion and communication with clients with different types of impairments</w:t>
      </w:r>
      <w:r w:rsidR="0048604A" w:rsidRPr="00A608EE">
        <w:rPr>
          <w:rFonts w:asciiTheme="majorHAnsi" w:hAnsiTheme="majorHAnsi"/>
          <w:szCs w:val="20"/>
          <w:lang w:eastAsia="fr-FR"/>
        </w:rPr>
        <w:t>.</w:t>
      </w:r>
    </w:p>
    <w:p w14:paraId="48252788" w14:textId="0288D3E6" w:rsidR="00CB225F" w:rsidRPr="00A608EE" w:rsidRDefault="00CB225F" w:rsidP="00B001BB">
      <w:pPr>
        <w:jc w:val="both"/>
        <w:rPr>
          <w:rFonts w:asciiTheme="majorHAnsi" w:hAnsiTheme="majorHAnsi"/>
          <w:sz w:val="20"/>
          <w:szCs w:val="20"/>
          <w:lang w:eastAsia="fr-FR"/>
        </w:rPr>
      </w:pPr>
    </w:p>
    <w:p w14:paraId="24C1F874" w14:textId="2AFFAF60" w:rsidR="00CB225F" w:rsidRPr="00A608EE" w:rsidRDefault="004573C8" w:rsidP="00B001BB">
      <w:pPr>
        <w:jc w:val="both"/>
        <w:rPr>
          <w:rFonts w:asciiTheme="majorHAnsi" w:hAnsiTheme="majorHAnsi"/>
          <w:sz w:val="20"/>
          <w:szCs w:val="20"/>
          <w:lang w:eastAsia="fr-FR"/>
        </w:rPr>
      </w:pPr>
      <w:r w:rsidRPr="00A608EE">
        <w:rPr>
          <w:noProof/>
        </w:rPr>
        <w:lastRenderedPageBreak/>
        <mc:AlternateContent>
          <mc:Choice Requires="wps">
            <w:drawing>
              <wp:anchor distT="0" distB="0" distL="114300" distR="114300" simplePos="0" relativeHeight="251773952" behindDoc="0" locked="0" layoutInCell="1" allowOverlap="1" wp14:anchorId="5FC1F686" wp14:editId="08730D91">
                <wp:simplePos x="0" y="0"/>
                <wp:positionH relativeFrom="margin">
                  <wp:posOffset>-74295</wp:posOffset>
                </wp:positionH>
                <wp:positionV relativeFrom="paragraph">
                  <wp:posOffset>109855</wp:posOffset>
                </wp:positionV>
                <wp:extent cx="1828800" cy="7480300"/>
                <wp:effectExtent l="0" t="0" r="24130" b="25400"/>
                <wp:wrapSquare wrapText="bothSides"/>
                <wp:docPr id="629348300" name="Cuadro de texto 1"/>
                <wp:cNvGraphicFramePr/>
                <a:graphic xmlns:a="http://schemas.openxmlformats.org/drawingml/2006/main">
                  <a:graphicData uri="http://schemas.microsoft.com/office/word/2010/wordprocessingShape">
                    <wps:wsp>
                      <wps:cNvSpPr txBox="1"/>
                      <wps:spPr>
                        <a:xfrm>
                          <a:off x="0" y="0"/>
                          <a:ext cx="1828800" cy="7480300"/>
                        </a:xfrm>
                        <a:prstGeom prst="rect">
                          <a:avLst/>
                        </a:prstGeom>
                        <a:noFill/>
                        <a:ln w="6350">
                          <a:solidFill>
                            <a:prstClr val="black"/>
                          </a:solidFill>
                        </a:ln>
                      </wps:spPr>
                      <wps:txbx>
                        <w:txbxContent>
                          <w:p w14:paraId="74444E98" w14:textId="19A75E51" w:rsidR="004573C8" w:rsidRPr="00820B09" w:rsidRDefault="00EB123D" w:rsidP="004573C8">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573C8" w:rsidRPr="00820B09">
                              <w:rPr>
                                <w:rFonts w:asciiTheme="majorHAnsi" w:hAnsiTheme="majorHAnsi"/>
                                <w:b/>
                                <w:bCs/>
                                <w:sz w:val="20"/>
                                <w:szCs w:val="20"/>
                              </w:rPr>
                              <w:t xml:space="preserve">4.C.1.2 </w:t>
                            </w:r>
                          </w:p>
                          <w:p w14:paraId="7B8825CF"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As an essential good practice, FSPs should establish a non-discrimination policy that applies to the board, leadership, and all staff, contractors, and agents, and covers all organizational activities. This may be implemented either as a stand-alone policy or as part of a wider diversity, equity, and inclusion (DEI) or gender equality, disability and social inclusion (GEDSI) policy. </w:t>
                            </w:r>
                          </w:p>
                          <w:p w14:paraId="311F7B7F"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The non-discrimination policy should prohibit:</w:t>
                            </w:r>
                          </w:p>
                          <w:p w14:paraId="1FD1965F" w14:textId="77777777" w:rsidR="004573C8" w:rsidRPr="00820B09" w:rsidRDefault="004573C8" w:rsidP="00A27AAA">
                            <w:pPr>
                              <w:pStyle w:val="NormalWeb"/>
                              <w:numPr>
                                <w:ilvl w:val="0"/>
                                <w:numId w:val="412"/>
                              </w:numPr>
                              <w:jc w:val="both"/>
                              <w:rPr>
                                <w:rFonts w:asciiTheme="majorHAnsi" w:hAnsiTheme="majorHAnsi"/>
                                <w:sz w:val="20"/>
                                <w:szCs w:val="20"/>
                              </w:rPr>
                            </w:pPr>
                            <w:r w:rsidRPr="00820B09">
                              <w:rPr>
                                <w:rFonts w:asciiTheme="majorHAnsi" w:hAnsiTheme="majorHAnsi"/>
                                <w:sz w:val="20"/>
                                <w:szCs w:val="20"/>
                              </w:rPr>
                              <w:t xml:space="preserve">all forms of discrimination, both direct and indirect discrimination, on the basis of all protected categories, including disability  </w:t>
                            </w:r>
                          </w:p>
                          <w:p w14:paraId="46828F2E" w14:textId="77777777" w:rsidR="004573C8" w:rsidRPr="00820B09" w:rsidRDefault="004573C8" w:rsidP="00A27AAA">
                            <w:pPr>
                              <w:pStyle w:val="NormalWeb"/>
                              <w:numPr>
                                <w:ilvl w:val="0"/>
                                <w:numId w:val="412"/>
                              </w:numPr>
                              <w:jc w:val="both"/>
                              <w:rPr>
                                <w:rFonts w:asciiTheme="majorHAnsi" w:hAnsiTheme="majorHAnsi"/>
                                <w:sz w:val="20"/>
                                <w:szCs w:val="20"/>
                              </w:rPr>
                            </w:pPr>
                            <w:r w:rsidRPr="00820B09">
                              <w:rPr>
                                <w:rFonts w:asciiTheme="majorHAnsi" w:hAnsiTheme="majorHAnsi"/>
                                <w:sz w:val="20"/>
                                <w:szCs w:val="20"/>
                              </w:rPr>
                              <w:t>discrimination against persons with disabilities by denial of reasonable accommodations.</w:t>
                            </w:r>
                          </w:p>
                          <w:p w14:paraId="19BBBB4B"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Direct discrimination occurs where a person is treated less favorably explicitly because of their personal characteristics. This includes policies that restrict the right of persons with disabilities to access its products and services on an equal basis with others, for instance through: </w:t>
                            </w:r>
                          </w:p>
                          <w:p w14:paraId="520CEF15" w14:textId="77777777" w:rsidR="004573C8" w:rsidRPr="00820B09" w:rsidRDefault="004573C8" w:rsidP="00A27AAA">
                            <w:pPr>
                              <w:pStyle w:val="NormalWeb"/>
                              <w:numPr>
                                <w:ilvl w:val="0"/>
                                <w:numId w:val="413"/>
                              </w:numPr>
                              <w:jc w:val="both"/>
                              <w:rPr>
                                <w:rFonts w:asciiTheme="majorHAnsi" w:hAnsiTheme="majorHAnsi"/>
                                <w:sz w:val="20"/>
                                <w:szCs w:val="20"/>
                              </w:rPr>
                            </w:pPr>
                            <w:r w:rsidRPr="00820B09">
                              <w:rPr>
                                <w:rFonts w:asciiTheme="majorHAnsi" w:hAnsiTheme="majorHAnsi"/>
                                <w:sz w:val="20"/>
                                <w:szCs w:val="20"/>
                              </w:rPr>
                              <w:t xml:space="preserve">eligibility criteria with explicit exclusions based on types of impairments or medical conditions. </w:t>
                            </w:r>
                          </w:p>
                          <w:p w14:paraId="553CD35E" w14:textId="77777777" w:rsidR="004573C8" w:rsidRPr="00820B09" w:rsidRDefault="004573C8" w:rsidP="00A27AAA">
                            <w:pPr>
                              <w:pStyle w:val="NormalWeb"/>
                              <w:numPr>
                                <w:ilvl w:val="0"/>
                                <w:numId w:val="413"/>
                              </w:numPr>
                              <w:jc w:val="both"/>
                              <w:rPr>
                                <w:rFonts w:asciiTheme="majorHAnsi" w:hAnsiTheme="majorHAnsi"/>
                                <w:sz w:val="20"/>
                                <w:szCs w:val="20"/>
                              </w:rPr>
                            </w:pPr>
                            <w:r w:rsidRPr="00820B09">
                              <w:rPr>
                                <w:rFonts w:asciiTheme="majorHAnsi" w:hAnsiTheme="majorHAnsi"/>
                                <w:sz w:val="20"/>
                                <w:szCs w:val="20"/>
                              </w:rPr>
                              <w:t>requirements for persons with disabilities to appoint a third party as joint account-holder, or to make decisions or transactions on their behalf.</w:t>
                            </w:r>
                          </w:p>
                          <w:p w14:paraId="198595B7"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While such policies are often framed as client protection measures, they discriminate against persons with disabilities by denying their legal capacity and their right to control their own financial affairs, as articulated in the UN Convention on the Rights of Persons with Disabilities (UNCRPD). </w:t>
                            </w:r>
                          </w:p>
                          <w:p w14:paraId="34CD5BC8"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Indirect discrimination occurs where a policy or rule is applied to all persons, but puts persons with a particular characteristic at a disadvantage, For example,, mandating written signatures on contracts,  which disproportionately excludes persons who cannot provide a signature due to physical impairments; and not providing reasonable accommodations to enable them to use alternative identification mechanisms. </w:t>
                            </w:r>
                          </w:p>
                          <w:p w14:paraId="4546DA61"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The provider’s Code of Conduct should provide clear definitions and examples of unacceptable behaviors, including discrimination, and prohibit any form of abuse or exploitation of clients or community members, including threats, intimidation, physical violence, and sexual exploitation, abuse and harassment (SEAH). </w:t>
                            </w:r>
                          </w:p>
                          <w:p w14:paraId="135CF32E" w14:textId="366A74D8"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Information about unacceptable behaviors should be provided in in formats that are accessible for clients with different types of impairments, and client-facing staff should be trained to communicate this information to clients with disabilities in ways they can understand [See indicator 4.B.1.4 for more information about accessible information and communication formats]. </w:t>
                            </w:r>
                          </w:p>
                          <w:p w14:paraId="0BEC3DB2" w14:textId="77777777" w:rsidR="004573C8" w:rsidRPr="00820B09" w:rsidRDefault="004573C8" w:rsidP="004573C8">
                            <w:pPr>
                              <w:pStyle w:val="NormalWeb"/>
                              <w:jc w:val="both"/>
                              <w:rPr>
                                <w:rFonts w:asciiTheme="majorHAnsi" w:hAnsiTheme="majorHAnsi"/>
                                <w:sz w:val="20"/>
                                <w:szCs w:val="20"/>
                              </w:rPr>
                            </w:pPr>
                          </w:p>
                          <w:p w14:paraId="65701C10" w14:textId="77777777" w:rsidR="004573C8" w:rsidRPr="00820B09" w:rsidRDefault="004573C8" w:rsidP="004573C8">
                            <w:pPr>
                              <w:pStyle w:val="NormalWeb"/>
                              <w:jc w:val="both"/>
                              <w:rPr>
                                <w:rFonts w:asciiTheme="majorHAnsi" w:hAnsiTheme="majorHAnsi"/>
                                <w:sz w:val="20"/>
                                <w:szCs w:val="20"/>
                              </w:rPr>
                            </w:pPr>
                          </w:p>
                          <w:p w14:paraId="4A348318" w14:textId="77777777" w:rsidR="004573C8" w:rsidRPr="00820B09" w:rsidRDefault="004573C8" w:rsidP="004573C8">
                            <w:pPr>
                              <w:pStyle w:val="NormalWeb"/>
                              <w:jc w:val="both"/>
                              <w:rPr>
                                <w:rFonts w:asciiTheme="majorHAnsi" w:hAnsiTheme="majorHAnsi"/>
                                <w:sz w:val="20"/>
                                <w:szCs w:val="20"/>
                              </w:rPr>
                            </w:pPr>
                          </w:p>
                          <w:p w14:paraId="5B9610F9" w14:textId="77777777" w:rsidR="004573C8" w:rsidRPr="00820B09" w:rsidRDefault="004573C8" w:rsidP="004573C8">
                            <w:pPr>
                              <w:pStyle w:val="NormalWeb"/>
                              <w:jc w:val="both"/>
                              <w:rPr>
                                <w:rFonts w:asciiTheme="majorHAnsi" w:hAnsiTheme="majorHAnsi"/>
                                <w:sz w:val="20"/>
                                <w:szCs w:val="20"/>
                              </w:rPr>
                            </w:pPr>
                          </w:p>
                          <w:p w14:paraId="271617D2" w14:textId="77777777" w:rsidR="004573C8" w:rsidRPr="00820B09" w:rsidRDefault="004573C8" w:rsidP="004573C8">
                            <w:pPr>
                              <w:pStyle w:val="NormalWeb"/>
                              <w:jc w:val="both"/>
                              <w:rPr>
                                <w:rFonts w:asciiTheme="majorHAnsi" w:hAnsiTheme="majorHAnsi"/>
                                <w:sz w:val="20"/>
                                <w:szCs w:val="20"/>
                              </w:rPr>
                            </w:pPr>
                          </w:p>
                          <w:p w14:paraId="159C9454" w14:textId="77777777" w:rsidR="004573C8" w:rsidRPr="00820B09" w:rsidRDefault="004573C8" w:rsidP="004573C8">
                            <w:pPr>
                              <w:pStyle w:val="NormalWeb"/>
                              <w:jc w:val="both"/>
                              <w:rPr>
                                <w:rFonts w:asciiTheme="majorHAnsi" w:hAnsiTheme="majorHAnsi"/>
                                <w:sz w:val="20"/>
                                <w:szCs w:val="20"/>
                              </w:rPr>
                            </w:pPr>
                          </w:p>
                          <w:p w14:paraId="32F32778" w14:textId="77777777" w:rsidR="004573C8" w:rsidRPr="00820B09" w:rsidRDefault="004573C8" w:rsidP="004573C8">
                            <w:pPr>
                              <w:pStyle w:val="NormalWeb"/>
                              <w:jc w:val="both"/>
                              <w:rPr>
                                <w:rFonts w:asciiTheme="majorHAnsi" w:hAnsiTheme="majorHAnsi"/>
                                <w:sz w:val="20"/>
                                <w:szCs w:val="20"/>
                              </w:rPr>
                            </w:pPr>
                          </w:p>
                          <w:p w14:paraId="353DEEFA" w14:textId="77777777" w:rsidR="004573C8" w:rsidRPr="00820B09" w:rsidRDefault="004573C8" w:rsidP="004573C8">
                            <w:pPr>
                              <w:pStyle w:val="NormalWeb"/>
                              <w:jc w:val="both"/>
                              <w:rPr>
                                <w:rFonts w:asciiTheme="majorHAnsi" w:hAnsiTheme="majorHAnsi"/>
                                <w:sz w:val="20"/>
                                <w:szCs w:val="20"/>
                              </w:rPr>
                            </w:pPr>
                          </w:p>
                          <w:p w14:paraId="2405B222" w14:textId="77777777" w:rsidR="004573C8" w:rsidRPr="00820B09" w:rsidRDefault="004573C8" w:rsidP="004573C8">
                            <w:pPr>
                              <w:pStyle w:val="NormalWeb"/>
                              <w:jc w:val="both"/>
                              <w:rPr>
                                <w:rFonts w:asciiTheme="majorHAnsi" w:hAnsiTheme="majorHAnsi"/>
                                <w:sz w:val="20"/>
                                <w:szCs w:val="20"/>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C1F686" id="_x0000_s1058" type="#_x0000_t202" style="position:absolute;left:0;text-align:left;margin-left:-5.85pt;margin-top:8.65pt;width:2in;height:589pt;z-index:251773952;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" filled="f" strokeweight=".5pt">
                <v:textbox>
                  <w:txbxContent>
                    <w:p w14:paraId="74444E98" w14:textId="19A75E51" w:rsidR="004573C8" w:rsidRPr="00820B09" w:rsidRDefault="00EB123D" w:rsidP="004573C8">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4573C8" w:rsidRPr="00820B09">
                        <w:rPr>
                          <w:rFonts w:asciiTheme="majorHAnsi" w:hAnsiTheme="majorHAnsi"/>
                          <w:b/>
                          <w:bCs/>
                          <w:sz w:val="20"/>
                          <w:szCs w:val="20"/>
                        </w:rPr>
                        <w:t xml:space="preserve">4.C.1.2 </w:t>
                      </w:r>
                    </w:p>
                    <w:p w14:paraId="7B8825CF"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As an essential good practice, FSPs should establish a non-discrimination policy that applies to the board, leadership, and all staff, contractors, and agents, and covers all organizational activities. This may be implemented either as a stand-alone policy or as part of a wider diversity, equity, and inclusion (DEI) or gender equality, disability and social inclusion (GEDSI) policy. </w:t>
                      </w:r>
                    </w:p>
                    <w:p w14:paraId="311F7B7F"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The non-discrimination policy should prohibit:</w:t>
                      </w:r>
                    </w:p>
                    <w:p w14:paraId="1FD1965F" w14:textId="77777777" w:rsidR="004573C8" w:rsidRPr="00820B09" w:rsidRDefault="004573C8" w:rsidP="00A27AAA">
                      <w:pPr>
                        <w:pStyle w:val="NormalWeb"/>
                        <w:numPr>
                          <w:ilvl w:val="0"/>
                          <w:numId w:val="412"/>
                        </w:numPr>
                        <w:jc w:val="both"/>
                        <w:rPr>
                          <w:rFonts w:asciiTheme="majorHAnsi" w:hAnsiTheme="majorHAnsi"/>
                          <w:sz w:val="20"/>
                          <w:szCs w:val="20"/>
                        </w:rPr>
                      </w:pPr>
                      <w:r w:rsidRPr="00820B09">
                        <w:rPr>
                          <w:rFonts w:asciiTheme="majorHAnsi" w:hAnsiTheme="majorHAnsi"/>
                          <w:sz w:val="20"/>
                          <w:szCs w:val="20"/>
                        </w:rPr>
                        <w:t xml:space="preserve">all forms of discrimination, both direct and indirect discrimination, on the basis of all protected categories, including disability  </w:t>
                      </w:r>
                    </w:p>
                    <w:p w14:paraId="46828F2E" w14:textId="77777777" w:rsidR="004573C8" w:rsidRPr="00820B09" w:rsidRDefault="004573C8" w:rsidP="00A27AAA">
                      <w:pPr>
                        <w:pStyle w:val="NormalWeb"/>
                        <w:numPr>
                          <w:ilvl w:val="0"/>
                          <w:numId w:val="412"/>
                        </w:numPr>
                        <w:jc w:val="both"/>
                        <w:rPr>
                          <w:rFonts w:asciiTheme="majorHAnsi" w:hAnsiTheme="majorHAnsi"/>
                          <w:sz w:val="20"/>
                          <w:szCs w:val="20"/>
                        </w:rPr>
                      </w:pPr>
                      <w:r w:rsidRPr="00820B09">
                        <w:rPr>
                          <w:rFonts w:asciiTheme="majorHAnsi" w:hAnsiTheme="majorHAnsi"/>
                          <w:sz w:val="20"/>
                          <w:szCs w:val="20"/>
                        </w:rPr>
                        <w:t>discrimination against persons with disabilities by denial of reasonable accommodations.</w:t>
                      </w:r>
                    </w:p>
                    <w:p w14:paraId="19BBBB4B"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Direct discrimination occurs where a person is treated less favorably explicitly because of their personal characteristics. This includes policies that restrict the right of persons with disabilities to access its products and services on an equal basis with others, for instance through: </w:t>
                      </w:r>
                    </w:p>
                    <w:p w14:paraId="520CEF15" w14:textId="77777777" w:rsidR="004573C8" w:rsidRPr="00820B09" w:rsidRDefault="004573C8" w:rsidP="00A27AAA">
                      <w:pPr>
                        <w:pStyle w:val="NormalWeb"/>
                        <w:numPr>
                          <w:ilvl w:val="0"/>
                          <w:numId w:val="413"/>
                        </w:numPr>
                        <w:jc w:val="both"/>
                        <w:rPr>
                          <w:rFonts w:asciiTheme="majorHAnsi" w:hAnsiTheme="majorHAnsi"/>
                          <w:sz w:val="20"/>
                          <w:szCs w:val="20"/>
                        </w:rPr>
                      </w:pPr>
                      <w:r w:rsidRPr="00820B09">
                        <w:rPr>
                          <w:rFonts w:asciiTheme="majorHAnsi" w:hAnsiTheme="majorHAnsi"/>
                          <w:sz w:val="20"/>
                          <w:szCs w:val="20"/>
                        </w:rPr>
                        <w:t xml:space="preserve">eligibility criteria with explicit exclusions based on types of impairments or medical conditions. </w:t>
                      </w:r>
                    </w:p>
                    <w:p w14:paraId="553CD35E" w14:textId="77777777" w:rsidR="004573C8" w:rsidRPr="00820B09" w:rsidRDefault="004573C8" w:rsidP="00A27AAA">
                      <w:pPr>
                        <w:pStyle w:val="NormalWeb"/>
                        <w:numPr>
                          <w:ilvl w:val="0"/>
                          <w:numId w:val="413"/>
                        </w:numPr>
                        <w:jc w:val="both"/>
                        <w:rPr>
                          <w:rFonts w:asciiTheme="majorHAnsi" w:hAnsiTheme="majorHAnsi"/>
                          <w:sz w:val="20"/>
                          <w:szCs w:val="20"/>
                        </w:rPr>
                      </w:pPr>
                      <w:r w:rsidRPr="00820B09">
                        <w:rPr>
                          <w:rFonts w:asciiTheme="majorHAnsi" w:hAnsiTheme="majorHAnsi"/>
                          <w:sz w:val="20"/>
                          <w:szCs w:val="20"/>
                        </w:rPr>
                        <w:t>requirements for persons with disabilities to appoint a third party as joint account-holder, or to make decisions or transactions on their behalf.</w:t>
                      </w:r>
                    </w:p>
                    <w:p w14:paraId="198595B7"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While such policies are often framed as client protection measures, they discriminate against persons with disabilities by denying their legal capacity and their right to control their own financial affairs, as articulated in the UN Convention on the Rights of Persons with Disabilities (UNCRPD). </w:t>
                      </w:r>
                    </w:p>
                    <w:p w14:paraId="34CD5BC8"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Indirect discrimination occurs where a policy or rule is applied to all persons, but puts persons with a particular characteristic at a disadvantage, For example,, mandating written signatures on contracts,  which disproportionately excludes persons who cannot provide a signature due to physical impairments; and not providing reasonable accommodations to enable them to use alternative identification mechanisms. </w:t>
                      </w:r>
                    </w:p>
                    <w:p w14:paraId="4546DA61" w14:textId="77777777"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The provider’s Code of Conduct should provide clear definitions and examples of unacceptable behaviors, including discrimination, and prohibit any form of abuse or exploitation of clients or community members, including threats, intimidation, physical violence, and sexual exploitation, abuse and harassment (SEAH). </w:t>
                      </w:r>
                    </w:p>
                    <w:p w14:paraId="135CF32E" w14:textId="366A74D8" w:rsidR="004573C8" w:rsidRPr="00820B09" w:rsidRDefault="004573C8" w:rsidP="004573C8">
                      <w:pPr>
                        <w:pStyle w:val="NormalWeb"/>
                        <w:jc w:val="both"/>
                        <w:rPr>
                          <w:rFonts w:asciiTheme="majorHAnsi" w:hAnsiTheme="majorHAnsi"/>
                          <w:sz w:val="20"/>
                          <w:szCs w:val="20"/>
                        </w:rPr>
                      </w:pPr>
                      <w:r w:rsidRPr="00820B09">
                        <w:rPr>
                          <w:rFonts w:asciiTheme="majorHAnsi" w:hAnsiTheme="majorHAnsi"/>
                          <w:sz w:val="20"/>
                          <w:szCs w:val="20"/>
                        </w:rPr>
                        <w:t xml:space="preserve">Information about unacceptable behaviors should be provided in in formats that are accessible for clients with different types of impairments, and client-facing staff should be trained to communicate this information to clients with disabilities in ways they can understand [See indicator 4.B.1.4 for more information about accessible information and communication formats]. </w:t>
                      </w:r>
                    </w:p>
                    <w:p w14:paraId="0BEC3DB2" w14:textId="77777777" w:rsidR="004573C8" w:rsidRPr="00820B09" w:rsidRDefault="004573C8" w:rsidP="004573C8">
                      <w:pPr>
                        <w:pStyle w:val="NormalWeb"/>
                        <w:jc w:val="both"/>
                        <w:rPr>
                          <w:rFonts w:asciiTheme="majorHAnsi" w:hAnsiTheme="majorHAnsi"/>
                          <w:sz w:val="20"/>
                          <w:szCs w:val="20"/>
                        </w:rPr>
                      </w:pPr>
                    </w:p>
                    <w:p w14:paraId="65701C10" w14:textId="77777777" w:rsidR="004573C8" w:rsidRPr="00820B09" w:rsidRDefault="004573C8" w:rsidP="004573C8">
                      <w:pPr>
                        <w:pStyle w:val="NormalWeb"/>
                        <w:jc w:val="both"/>
                        <w:rPr>
                          <w:rFonts w:asciiTheme="majorHAnsi" w:hAnsiTheme="majorHAnsi"/>
                          <w:sz w:val="20"/>
                          <w:szCs w:val="20"/>
                        </w:rPr>
                      </w:pPr>
                    </w:p>
                    <w:p w14:paraId="4A348318" w14:textId="77777777" w:rsidR="004573C8" w:rsidRPr="00820B09" w:rsidRDefault="004573C8" w:rsidP="004573C8">
                      <w:pPr>
                        <w:pStyle w:val="NormalWeb"/>
                        <w:jc w:val="both"/>
                        <w:rPr>
                          <w:rFonts w:asciiTheme="majorHAnsi" w:hAnsiTheme="majorHAnsi"/>
                          <w:sz w:val="20"/>
                          <w:szCs w:val="20"/>
                        </w:rPr>
                      </w:pPr>
                    </w:p>
                    <w:p w14:paraId="5B9610F9" w14:textId="77777777" w:rsidR="004573C8" w:rsidRPr="00820B09" w:rsidRDefault="004573C8" w:rsidP="004573C8">
                      <w:pPr>
                        <w:pStyle w:val="NormalWeb"/>
                        <w:jc w:val="both"/>
                        <w:rPr>
                          <w:rFonts w:asciiTheme="majorHAnsi" w:hAnsiTheme="majorHAnsi"/>
                          <w:sz w:val="20"/>
                          <w:szCs w:val="20"/>
                        </w:rPr>
                      </w:pPr>
                    </w:p>
                    <w:p w14:paraId="271617D2" w14:textId="77777777" w:rsidR="004573C8" w:rsidRPr="00820B09" w:rsidRDefault="004573C8" w:rsidP="004573C8">
                      <w:pPr>
                        <w:pStyle w:val="NormalWeb"/>
                        <w:jc w:val="both"/>
                        <w:rPr>
                          <w:rFonts w:asciiTheme="majorHAnsi" w:hAnsiTheme="majorHAnsi"/>
                          <w:sz w:val="20"/>
                          <w:szCs w:val="20"/>
                        </w:rPr>
                      </w:pPr>
                    </w:p>
                    <w:p w14:paraId="159C9454" w14:textId="77777777" w:rsidR="004573C8" w:rsidRPr="00820B09" w:rsidRDefault="004573C8" w:rsidP="004573C8">
                      <w:pPr>
                        <w:pStyle w:val="NormalWeb"/>
                        <w:jc w:val="both"/>
                        <w:rPr>
                          <w:rFonts w:asciiTheme="majorHAnsi" w:hAnsiTheme="majorHAnsi"/>
                          <w:sz w:val="20"/>
                          <w:szCs w:val="20"/>
                        </w:rPr>
                      </w:pPr>
                    </w:p>
                    <w:p w14:paraId="32F32778" w14:textId="77777777" w:rsidR="004573C8" w:rsidRPr="00820B09" w:rsidRDefault="004573C8" w:rsidP="004573C8">
                      <w:pPr>
                        <w:pStyle w:val="NormalWeb"/>
                        <w:jc w:val="both"/>
                        <w:rPr>
                          <w:rFonts w:asciiTheme="majorHAnsi" w:hAnsiTheme="majorHAnsi"/>
                          <w:sz w:val="20"/>
                          <w:szCs w:val="20"/>
                        </w:rPr>
                      </w:pPr>
                    </w:p>
                    <w:p w14:paraId="353DEEFA" w14:textId="77777777" w:rsidR="004573C8" w:rsidRPr="00820B09" w:rsidRDefault="004573C8" w:rsidP="004573C8">
                      <w:pPr>
                        <w:pStyle w:val="NormalWeb"/>
                        <w:jc w:val="both"/>
                        <w:rPr>
                          <w:rFonts w:asciiTheme="majorHAnsi" w:hAnsiTheme="majorHAnsi"/>
                          <w:sz w:val="20"/>
                          <w:szCs w:val="20"/>
                        </w:rPr>
                      </w:pPr>
                    </w:p>
                    <w:p w14:paraId="2405B222" w14:textId="77777777" w:rsidR="004573C8" w:rsidRPr="00820B09" w:rsidRDefault="004573C8" w:rsidP="004573C8">
                      <w:pPr>
                        <w:pStyle w:val="NormalWeb"/>
                        <w:jc w:val="both"/>
                        <w:rPr>
                          <w:rFonts w:asciiTheme="majorHAnsi" w:hAnsiTheme="majorHAnsi"/>
                          <w:sz w:val="20"/>
                          <w:szCs w:val="20"/>
                        </w:rPr>
                      </w:pPr>
                    </w:p>
                  </w:txbxContent>
                </v:textbox>
                <w10:wrap type="square" anchorx="margin"/>
              </v:shape>
            </w:pict>
          </mc:Fallback>
        </mc:AlternateContent>
      </w:r>
    </w:p>
    <w:p w14:paraId="00B3A351" w14:textId="0F9A3C15" w:rsidR="00CB225F" w:rsidRPr="00A608EE" w:rsidRDefault="00CB225F" w:rsidP="00B001BB">
      <w:pPr>
        <w:jc w:val="both"/>
        <w:rPr>
          <w:rFonts w:asciiTheme="majorHAnsi" w:hAnsiTheme="majorHAnsi"/>
          <w:sz w:val="20"/>
          <w:szCs w:val="20"/>
          <w:lang w:eastAsia="fr-FR"/>
        </w:rPr>
      </w:pPr>
    </w:p>
    <w:p w14:paraId="74D49E8E" w14:textId="43F206B9" w:rsidR="00CB225F" w:rsidRPr="00A608EE" w:rsidRDefault="00CB225F" w:rsidP="00B001BB">
      <w:pPr>
        <w:jc w:val="both"/>
        <w:rPr>
          <w:rFonts w:asciiTheme="majorHAnsi" w:hAnsiTheme="majorHAnsi"/>
          <w:sz w:val="20"/>
          <w:szCs w:val="20"/>
          <w:lang w:eastAsia="fr-FR"/>
        </w:rPr>
      </w:pPr>
    </w:p>
    <w:p w14:paraId="74D926EF" w14:textId="7A41AB57" w:rsidR="00CB225F" w:rsidRPr="00A608EE" w:rsidRDefault="00CB225F" w:rsidP="00B001BB">
      <w:pPr>
        <w:jc w:val="both"/>
        <w:rPr>
          <w:rFonts w:asciiTheme="majorHAnsi" w:hAnsiTheme="majorHAnsi"/>
          <w:sz w:val="20"/>
          <w:szCs w:val="20"/>
          <w:lang w:eastAsia="fr-FR"/>
        </w:rPr>
      </w:pPr>
    </w:p>
    <w:p w14:paraId="25A4528C" w14:textId="77777777" w:rsidR="00CB225F" w:rsidRPr="00A608EE" w:rsidRDefault="00CB225F" w:rsidP="00B001BB">
      <w:pPr>
        <w:jc w:val="both"/>
        <w:rPr>
          <w:rFonts w:asciiTheme="majorHAnsi" w:hAnsiTheme="majorHAnsi"/>
          <w:sz w:val="20"/>
          <w:szCs w:val="20"/>
          <w:lang w:eastAsia="fr-FR"/>
        </w:rPr>
      </w:pPr>
    </w:p>
    <w:p w14:paraId="1AA3235F" w14:textId="77777777" w:rsidR="00CB225F" w:rsidRPr="00A608EE" w:rsidRDefault="00CB225F" w:rsidP="00B001BB">
      <w:pPr>
        <w:jc w:val="both"/>
        <w:rPr>
          <w:rFonts w:asciiTheme="majorHAnsi" w:hAnsiTheme="majorHAnsi"/>
          <w:sz w:val="20"/>
          <w:szCs w:val="20"/>
          <w:lang w:eastAsia="fr-FR"/>
        </w:rPr>
      </w:pPr>
    </w:p>
    <w:p w14:paraId="53D1DEDA" w14:textId="77777777" w:rsidR="00CB225F" w:rsidRPr="00A608EE" w:rsidRDefault="00CB225F" w:rsidP="00B001BB">
      <w:pPr>
        <w:jc w:val="both"/>
        <w:rPr>
          <w:rFonts w:asciiTheme="majorHAnsi" w:hAnsiTheme="majorHAnsi"/>
          <w:sz w:val="20"/>
          <w:szCs w:val="20"/>
          <w:lang w:eastAsia="fr-FR"/>
        </w:rPr>
      </w:pPr>
    </w:p>
    <w:p w14:paraId="2B30B8BE" w14:textId="77777777" w:rsidR="00CB225F" w:rsidRPr="00A608EE" w:rsidRDefault="00CB225F" w:rsidP="00B001BB">
      <w:pPr>
        <w:jc w:val="both"/>
        <w:rPr>
          <w:rFonts w:asciiTheme="majorHAnsi" w:hAnsiTheme="majorHAnsi"/>
          <w:sz w:val="20"/>
          <w:szCs w:val="20"/>
          <w:lang w:eastAsia="fr-FR"/>
        </w:rPr>
      </w:pPr>
    </w:p>
    <w:p w14:paraId="2EE965E2" w14:textId="2A288FF4" w:rsidR="00F73BBF" w:rsidRPr="00A608EE" w:rsidRDefault="00F73BB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lastRenderedPageBreak/>
        <w:t>Scoring guidance</w:t>
      </w:r>
    </w:p>
    <w:p w14:paraId="4AF651A3" w14:textId="77777777" w:rsidR="00F73BBF" w:rsidRPr="00A608EE" w:rsidRDefault="00F73BBF"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4.C.1.2.1</w:t>
      </w:r>
    </w:p>
    <w:p w14:paraId="66A6BF71" w14:textId="77777777" w:rsidR="00F73BBF" w:rsidRPr="00A608EE" w:rsidRDefault="00F73BBF" w:rsidP="00A27AAA">
      <w:pPr>
        <w:numPr>
          <w:ilvl w:val="0"/>
          <w:numId w:val="261"/>
        </w:numPr>
        <w:jc w:val="both"/>
        <w:rPr>
          <w:rFonts w:asciiTheme="majorHAnsi" w:hAnsiTheme="majorHAnsi"/>
          <w:sz w:val="20"/>
          <w:szCs w:val="20"/>
          <w:lang w:eastAsia="fr-FR"/>
        </w:rPr>
      </w:pPr>
      <w:r w:rsidRPr="00A608EE">
        <w:rPr>
          <w:rFonts w:asciiTheme="majorHAnsi" w:hAnsiTheme="majorHAnsi"/>
          <w:sz w:val="20"/>
          <w:szCs w:val="20"/>
          <w:lang w:eastAsia="fr-FR"/>
        </w:rPr>
        <w:t>Score ‘yes’, if (1) the provider has one or several written and clear policies (preferably approved by the board) that prohibit(s) corruption, theft, kickbacks, and fraud and outline(s) sanctions for each type and level of violation, (2) all employees are trained and aware of the policies, (3) compliance with the policies is checked and audited regularly, and (4) the sanctions are effectively enforced.</w:t>
      </w:r>
    </w:p>
    <w:p w14:paraId="260B3B1A" w14:textId="77777777" w:rsidR="00F73BBF" w:rsidRPr="00A608EE" w:rsidRDefault="00F73BBF" w:rsidP="00A27AAA">
      <w:pPr>
        <w:numPr>
          <w:ilvl w:val="0"/>
          <w:numId w:val="261"/>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above four requirements are not fully met. For instance, the policies are rather vague without defining clearly the actions prohibited and the corresponding sanctions or the employees are not fully aware of the policies or Internal Audit does not carry out compliance audits or the sanctions are not consistently enforced.</w:t>
      </w:r>
    </w:p>
    <w:p w14:paraId="17E72140" w14:textId="77777777" w:rsidR="00F73BBF" w:rsidRPr="00A608EE" w:rsidRDefault="00F73BBF" w:rsidP="00A27AAA">
      <w:pPr>
        <w:numPr>
          <w:ilvl w:val="0"/>
          <w:numId w:val="261"/>
        </w:numPr>
        <w:jc w:val="both"/>
        <w:rPr>
          <w:rFonts w:asciiTheme="majorHAnsi" w:hAnsiTheme="majorHAnsi"/>
          <w:sz w:val="20"/>
          <w:szCs w:val="20"/>
          <w:lang w:eastAsia="fr-FR"/>
        </w:rPr>
      </w:pPr>
      <w:r w:rsidRPr="00A608EE">
        <w:rPr>
          <w:rFonts w:asciiTheme="majorHAnsi" w:hAnsiTheme="majorHAnsi"/>
          <w:sz w:val="20"/>
          <w:szCs w:val="20"/>
          <w:lang w:eastAsia="fr-FR"/>
        </w:rPr>
        <w:t>Score ‘no’, if the above four requirements are largely not met. For instance, lack of written policies and/or employees are largely not aware of it and/or compliance is not checked/audited and/or sanctions are not enforced.</w:t>
      </w:r>
    </w:p>
    <w:p w14:paraId="305F6A07" w14:textId="77777777" w:rsidR="00F73BBF" w:rsidRPr="00A608EE" w:rsidRDefault="00F73BBF" w:rsidP="00EE208A">
      <w:pPr>
        <w:jc w:val="both"/>
        <w:rPr>
          <w:rFonts w:asciiTheme="majorHAnsi" w:hAnsiTheme="majorHAnsi"/>
          <w:sz w:val="20"/>
          <w:szCs w:val="20"/>
          <w:u w:val="single"/>
          <w:lang w:eastAsia="fr-FR"/>
        </w:rPr>
      </w:pPr>
    </w:p>
    <w:p w14:paraId="18F34EB2" w14:textId="25C92364" w:rsidR="00F73BBF" w:rsidRPr="00A608EE" w:rsidRDefault="00F73BBF"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4.C.1.2.2</w:t>
      </w:r>
    </w:p>
    <w:p w14:paraId="491ED037" w14:textId="77777777" w:rsidR="00F73BBF" w:rsidRPr="00A608EE" w:rsidRDefault="00F73BBF" w:rsidP="00A27AAA">
      <w:pPr>
        <w:numPr>
          <w:ilvl w:val="0"/>
          <w:numId w:val="262"/>
        </w:numPr>
        <w:jc w:val="both"/>
        <w:rPr>
          <w:rFonts w:asciiTheme="majorHAnsi" w:hAnsiTheme="majorHAnsi"/>
          <w:sz w:val="20"/>
          <w:szCs w:val="20"/>
          <w:lang w:eastAsia="fr-FR"/>
        </w:rPr>
      </w:pPr>
      <w:r w:rsidRPr="00A608EE">
        <w:rPr>
          <w:rFonts w:asciiTheme="majorHAnsi" w:hAnsiTheme="majorHAnsi"/>
          <w:sz w:val="20"/>
          <w:szCs w:val="20"/>
          <w:lang w:eastAsia="fr-FR"/>
        </w:rPr>
        <w:t>Score ‘yes’, if (1) the provider has one or several written and clear policies (preferably approved by the board) that prohibit(s) client intimidation (like listed in the above detail) and outline(s) sanctions for breaches, (2) all employees are trained and aware of the policies, (3) compliance with the policies is checked and audited regularly, and (4) the sanctions are effectively enforced.</w:t>
      </w:r>
    </w:p>
    <w:p w14:paraId="3E26A7BF" w14:textId="77777777" w:rsidR="00F73BBF" w:rsidRPr="00A608EE" w:rsidRDefault="00F73BBF" w:rsidP="00A27AAA">
      <w:pPr>
        <w:numPr>
          <w:ilvl w:val="0"/>
          <w:numId w:val="262"/>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above four requirements are not fully met. For instance, the policies are rather vague without defining clearly client intimidation and the corresponding sanctions or the employees are not fully aware of the policies or Internal Audit does not carry out compliance audits or the sanctions are not consistently enforced.</w:t>
      </w:r>
    </w:p>
    <w:p w14:paraId="6BFE1516" w14:textId="77777777" w:rsidR="00F73BBF" w:rsidRPr="00A608EE" w:rsidRDefault="00F73BBF" w:rsidP="00A27AAA">
      <w:pPr>
        <w:numPr>
          <w:ilvl w:val="0"/>
          <w:numId w:val="262"/>
        </w:numPr>
        <w:jc w:val="both"/>
        <w:rPr>
          <w:rFonts w:asciiTheme="majorHAnsi" w:hAnsiTheme="majorHAnsi"/>
          <w:sz w:val="20"/>
          <w:szCs w:val="20"/>
          <w:lang w:eastAsia="fr-FR"/>
        </w:rPr>
      </w:pPr>
      <w:r w:rsidRPr="00A608EE">
        <w:rPr>
          <w:rFonts w:asciiTheme="majorHAnsi" w:hAnsiTheme="majorHAnsi"/>
          <w:sz w:val="20"/>
          <w:szCs w:val="20"/>
          <w:lang w:eastAsia="fr-FR"/>
        </w:rPr>
        <w:t>Score ‘no’, if the above four requirements are largely not met. For instance, lack of written policies and/or employees are largely not aware of it and/or compliance is not checked/audited and/or sanctions are not enforced.</w:t>
      </w:r>
    </w:p>
    <w:p w14:paraId="55C56FA6" w14:textId="77777777" w:rsidR="00F73BBF" w:rsidRPr="00A608EE" w:rsidRDefault="00F73BBF" w:rsidP="00EE208A">
      <w:pPr>
        <w:jc w:val="both"/>
        <w:rPr>
          <w:rFonts w:asciiTheme="majorHAnsi" w:hAnsiTheme="majorHAnsi"/>
          <w:sz w:val="20"/>
          <w:szCs w:val="20"/>
          <w:u w:val="single"/>
          <w:lang w:eastAsia="fr-FR"/>
        </w:rPr>
      </w:pPr>
    </w:p>
    <w:p w14:paraId="0D7BF0DF" w14:textId="603469A3" w:rsidR="00F73BBF" w:rsidRPr="00A608EE" w:rsidRDefault="00F73BBF"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4.C.1.2.3</w:t>
      </w:r>
    </w:p>
    <w:p w14:paraId="66D4427F" w14:textId="77777777" w:rsidR="00F73BBF" w:rsidRPr="00A608EE" w:rsidRDefault="00F73BBF" w:rsidP="00A27AAA">
      <w:pPr>
        <w:numPr>
          <w:ilvl w:val="0"/>
          <w:numId w:val="263"/>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(1) has a written and clear Client Non-Discrimination policy that spells out all of the ‘Protected Categories’ (listed in the above detail), (2) has trained all employees on it, (3) controls and audits regularly compliance with this policy, (4) includes sanctions for breaches.</w:t>
      </w:r>
    </w:p>
    <w:p w14:paraId="7807F7C5" w14:textId="77777777" w:rsidR="00F73BBF" w:rsidRPr="00A608EE" w:rsidRDefault="00F73BBF" w:rsidP="00A27AAA">
      <w:pPr>
        <w:numPr>
          <w:ilvl w:val="0"/>
          <w:numId w:val="263"/>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above four requirements are not fully met. For instance, the policy is rather vague without defining clearly the ‘Protected Categories’ or the employees are not fully aware of the policy or compliance with the policy is not controlled and audited regularly.</w:t>
      </w:r>
    </w:p>
    <w:p w14:paraId="64B94783" w14:textId="77777777" w:rsidR="00F73BBF" w:rsidRPr="00A608EE" w:rsidRDefault="00F73BBF" w:rsidP="00A27AAA">
      <w:pPr>
        <w:numPr>
          <w:ilvl w:val="0"/>
          <w:numId w:val="263"/>
        </w:numPr>
        <w:jc w:val="both"/>
        <w:rPr>
          <w:rFonts w:asciiTheme="majorHAnsi" w:hAnsiTheme="majorHAnsi"/>
          <w:sz w:val="20"/>
          <w:szCs w:val="20"/>
          <w:lang w:eastAsia="fr-FR"/>
        </w:rPr>
      </w:pPr>
      <w:r w:rsidRPr="00A608EE">
        <w:rPr>
          <w:rFonts w:asciiTheme="majorHAnsi" w:hAnsiTheme="majorHAnsi"/>
          <w:sz w:val="20"/>
          <w:szCs w:val="20"/>
          <w:lang w:eastAsia="fr-FR"/>
        </w:rPr>
        <w:t>Score ‘no’, if the above four requirements are largely not met. For instance, lack of a written policy and/or employees are largely not aware of it and/or compliance is not checked/audited.</w:t>
      </w:r>
    </w:p>
    <w:p w14:paraId="6D047CCB" w14:textId="77777777" w:rsidR="00F73BBF" w:rsidRPr="00A608EE" w:rsidRDefault="00F73BBF" w:rsidP="00EE208A">
      <w:pPr>
        <w:jc w:val="both"/>
        <w:rPr>
          <w:rFonts w:asciiTheme="majorHAnsi" w:hAnsiTheme="majorHAnsi"/>
          <w:sz w:val="20"/>
          <w:szCs w:val="20"/>
          <w:lang w:eastAsia="fr-FR"/>
        </w:rPr>
      </w:pPr>
    </w:p>
    <w:p w14:paraId="32F94BAD" w14:textId="55C7CCB1" w:rsidR="00F73BBF" w:rsidRPr="00A608EE" w:rsidRDefault="00F73BB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20D8F295" w14:textId="77777777" w:rsidR="00F73BBF" w:rsidRPr="00A608EE" w:rsidRDefault="00F73BBF" w:rsidP="00A27AAA">
      <w:pPr>
        <w:numPr>
          <w:ilvl w:val="0"/>
          <w:numId w:val="264"/>
        </w:numPr>
        <w:jc w:val="both"/>
        <w:rPr>
          <w:rFonts w:asciiTheme="majorHAnsi" w:hAnsiTheme="majorHAnsi"/>
          <w:sz w:val="20"/>
          <w:szCs w:val="20"/>
          <w:lang w:eastAsia="fr-FR"/>
        </w:rPr>
      </w:pPr>
      <w:r w:rsidRPr="00A608EE">
        <w:rPr>
          <w:rFonts w:asciiTheme="majorHAnsi" w:hAnsiTheme="majorHAnsi"/>
          <w:sz w:val="20"/>
          <w:szCs w:val="20"/>
          <w:lang w:eastAsia="fr-FR"/>
        </w:rPr>
        <w:t>Code of Conduct, HR policy, Client Non-Discrimination policy, loan collections policy, etc.</w:t>
      </w:r>
    </w:p>
    <w:p w14:paraId="3DDF0397" w14:textId="77777777" w:rsidR="00F73BBF" w:rsidRPr="00A608EE" w:rsidRDefault="00F73BBF" w:rsidP="00A27AAA">
      <w:pPr>
        <w:numPr>
          <w:ilvl w:val="0"/>
          <w:numId w:val="264"/>
        </w:numPr>
        <w:jc w:val="both"/>
        <w:rPr>
          <w:rFonts w:asciiTheme="majorHAnsi" w:hAnsiTheme="majorHAnsi"/>
          <w:sz w:val="20"/>
          <w:szCs w:val="20"/>
          <w:lang w:eastAsia="fr-FR"/>
        </w:rPr>
      </w:pPr>
      <w:r w:rsidRPr="00A608EE">
        <w:rPr>
          <w:rFonts w:asciiTheme="majorHAnsi" w:hAnsiTheme="majorHAnsi"/>
          <w:sz w:val="20"/>
          <w:szCs w:val="20"/>
          <w:lang w:eastAsia="fr-FR"/>
        </w:rPr>
        <w:t>The document that contains the list of unacceptable behaviors in client relationship.</w:t>
      </w:r>
    </w:p>
    <w:p w14:paraId="2F9979F2" w14:textId="77777777" w:rsidR="00F73BBF" w:rsidRPr="00A608EE" w:rsidRDefault="00F73BBF" w:rsidP="00A27AAA">
      <w:pPr>
        <w:numPr>
          <w:ilvl w:val="0"/>
          <w:numId w:val="264"/>
        </w:numPr>
        <w:jc w:val="both"/>
        <w:rPr>
          <w:rFonts w:asciiTheme="majorHAnsi" w:hAnsiTheme="majorHAnsi"/>
          <w:sz w:val="20"/>
          <w:szCs w:val="20"/>
          <w:lang w:eastAsia="fr-FR"/>
        </w:rPr>
      </w:pPr>
      <w:r w:rsidRPr="00A608EE">
        <w:rPr>
          <w:rFonts w:asciiTheme="majorHAnsi" w:hAnsiTheme="majorHAnsi"/>
          <w:sz w:val="20"/>
          <w:szCs w:val="20"/>
          <w:lang w:eastAsia="fr-FR"/>
        </w:rPr>
        <w:t>Check with Human Resources to verify if staff sign a document acknowledging that they have read, understood and agree to abide by these policies.</w:t>
      </w:r>
    </w:p>
    <w:p w14:paraId="2DE7F455" w14:textId="77777777" w:rsidR="00F73BBF" w:rsidRPr="00A608EE" w:rsidRDefault="00F73BBF" w:rsidP="00A27AAA">
      <w:pPr>
        <w:numPr>
          <w:ilvl w:val="0"/>
          <w:numId w:val="264"/>
        </w:numPr>
        <w:jc w:val="both"/>
        <w:rPr>
          <w:rFonts w:asciiTheme="majorHAnsi" w:hAnsiTheme="majorHAnsi"/>
          <w:sz w:val="20"/>
          <w:szCs w:val="20"/>
          <w:lang w:eastAsia="fr-FR"/>
        </w:rPr>
      </w:pPr>
      <w:r w:rsidRPr="00A608EE">
        <w:rPr>
          <w:rFonts w:asciiTheme="majorHAnsi" w:hAnsiTheme="majorHAnsi"/>
          <w:sz w:val="20"/>
          <w:szCs w:val="20"/>
          <w:lang w:eastAsia="fr-FR"/>
        </w:rPr>
        <w:t>Employee files with confirmation that they have read and will abide by these policies.</w:t>
      </w:r>
    </w:p>
    <w:p w14:paraId="0E0AF78E" w14:textId="77777777" w:rsidR="00F73BBF" w:rsidRPr="00A608EE" w:rsidRDefault="00F73BBF" w:rsidP="00EE208A">
      <w:pPr>
        <w:jc w:val="both"/>
        <w:rPr>
          <w:rFonts w:asciiTheme="majorHAnsi" w:hAnsiTheme="majorHAnsi"/>
          <w:sz w:val="20"/>
          <w:szCs w:val="20"/>
          <w:lang w:eastAsia="fr-FR"/>
        </w:rPr>
      </w:pPr>
    </w:p>
    <w:p w14:paraId="36953C4B" w14:textId="00245CDB" w:rsidR="00F73BBF" w:rsidRPr="00A608EE" w:rsidRDefault="00F73BB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1636D3CD" w14:textId="77777777" w:rsidR="00F73BBF" w:rsidRPr="00A608EE" w:rsidRDefault="00F73BBF" w:rsidP="00A27AAA">
      <w:pPr>
        <w:numPr>
          <w:ilvl w:val="0"/>
          <w:numId w:val="265"/>
        </w:numPr>
        <w:jc w:val="both"/>
        <w:rPr>
          <w:rFonts w:asciiTheme="majorHAnsi" w:hAnsiTheme="majorHAnsi"/>
          <w:sz w:val="20"/>
          <w:szCs w:val="20"/>
          <w:lang w:eastAsia="fr-FR"/>
        </w:rPr>
      </w:pPr>
      <w:r w:rsidRPr="00A608EE">
        <w:rPr>
          <w:rFonts w:asciiTheme="majorHAnsi" w:hAnsiTheme="majorHAnsi"/>
          <w:sz w:val="20"/>
          <w:szCs w:val="20"/>
          <w:lang w:eastAsia="fr-FR"/>
        </w:rPr>
        <w:t>Description / list of the unacceptable (and acceptable) staff behaviors towards clients.</w:t>
      </w:r>
    </w:p>
    <w:p w14:paraId="50682F0C" w14:textId="77777777" w:rsidR="00F73BBF" w:rsidRPr="00A608EE" w:rsidRDefault="00F73BBF" w:rsidP="00A27AAA">
      <w:pPr>
        <w:numPr>
          <w:ilvl w:val="0"/>
          <w:numId w:val="265"/>
        </w:numPr>
        <w:jc w:val="both"/>
        <w:rPr>
          <w:rFonts w:asciiTheme="majorHAnsi" w:hAnsiTheme="majorHAnsi"/>
          <w:sz w:val="20"/>
          <w:szCs w:val="20"/>
          <w:lang w:eastAsia="fr-FR"/>
        </w:rPr>
      </w:pPr>
      <w:r w:rsidRPr="00A608EE">
        <w:rPr>
          <w:rFonts w:asciiTheme="majorHAnsi" w:hAnsiTheme="majorHAnsi"/>
          <w:sz w:val="20"/>
          <w:szCs w:val="20"/>
          <w:lang w:eastAsia="fr-FR"/>
        </w:rPr>
        <w:t>The page number and name of the various documents where these lists are found.</w:t>
      </w:r>
    </w:p>
    <w:p w14:paraId="16596FD8" w14:textId="4DB85EBB" w:rsidR="00F73BBF" w:rsidRPr="00A608EE" w:rsidRDefault="00F73BBF" w:rsidP="00A27AAA">
      <w:pPr>
        <w:numPr>
          <w:ilvl w:val="0"/>
          <w:numId w:val="265"/>
        </w:numPr>
        <w:jc w:val="both"/>
        <w:rPr>
          <w:rFonts w:asciiTheme="majorHAnsi" w:hAnsiTheme="majorHAnsi"/>
          <w:sz w:val="20"/>
          <w:szCs w:val="20"/>
          <w:lang w:eastAsia="fr-FR"/>
        </w:rPr>
      </w:pPr>
      <w:r w:rsidRPr="00A608EE">
        <w:rPr>
          <w:rFonts w:asciiTheme="majorHAnsi" w:hAnsiTheme="majorHAnsi"/>
          <w:sz w:val="20"/>
          <w:szCs w:val="20"/>
          <w:lang w:eastAsia="fr-FR"/>
        </w:rPr>
        <w:t>The sections of the Code of Conduct / Collections policy / Loan Policy manual that cover corruption, intimidation, and discrimination.</w:t>
      </w:r>
    </w:p>
    <w:p w14:paraId="38FAF1AB" w14:textId="16F37EF0" w:rsidR="00F73BBF" w:rsidRPr="00A608EE" w:rsidRDefault="00F73BB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lastRenderedPageBreak/>
        <w:t>Resources for indicator 4.C.1.2</w:t>
      </w:r>
    </w:p>
    <w:p w14:paraId="20C11B7B" w14:textId="77777777" w:rsidR="00290456" w:rsidRPr="00A608EE" w:rsidRDefault="00290456" w:rsidP="00A27AAA">
      <w:pPr>
        <w:numPr>
          <w:ilvl w:val="0"/>
          <w:numId w:val="70"/>
        </w:numPr>
        <w:jc w:val="both"/>
        <w:rPr>
          <w:rFonts w:asciiTheme="majorHAnsi" w:hAnsiTheme="majorHAnsi"/>
          <w:sz w:val="20"/>
          <w:szCs w:val="20"/>
        </w:rPr>
      </w:pPr>
      <w:hyperlink r:id="rId220" w:history="1">
        <w:r w:rsidRPr="00A608EE">
          <w:rPr>
            <w:rStyle w:val="Hyperlink"/>
            <w:rFonts w:asciiTheme="majorHAnsi" w:hAnsiTheme="majorHAnsi"/>
            <w:sz w:val="20"/>
            <w:szCs w:val="20"/>
          </w:rPr>
          <w:t>Aski Sanctions Code of Conduct Violations</w:t>
        </w:r>
      </w:hyperlink>
    </w:p>
    <w:p w14:paraId="2B480C36" w14:textId="77777777" w:rsidR="00290456" w:rsidRPr="00A608EE" w:rsidRDefault="00290456" w:rsidP="00A27AAA">
      <w:pPr>
        <w:numPr>
          <w:ilvl w:val="0"/>
          <w:numId w:val="70"/>
        </w:numPr>
        <w:jc w:val="both"/>
        <w:rPr>
          <w:rFonts w:asciiTheme="majorHAnsi" w:hAnsiTheme="majorHAnsi"/>
          <w:sz w:val="20"/>
          <w:szCs w:val="20"/>
        </w:rPr>
      </w:pPr>
      <w:hyperlink r:id="rId221" w:history="1">
        <w:r w:rsidRPr="00A608EE">
          <w:rPr>
            <w:rStyle w:val="Hyperlink"/>
            <w:rFonts w:asciiTheme="majorHAnsi" w:hAnsiTheme="majorHAnsi"/>
            <w:sz w:val="20"/>
            <w:szCs w:val="20"/>
          </w:rPr>
          <w:t>Examples of Discriminatory Policies and Staff Behaviors</w:t>
        </w:r>
      </w:hyperlink>
    </w:p>
    <w:p w14:paraId="75141CB9" w14:textId="77777777" w:rsidR="00F10CED" w:rsidRPr="00A608EE" w:rsidRDefault="00F10CED" w:rsidP="00EE208A">
      <w:pPr>
        <w:jc w:val="both"/>
        <w:rPr>
          <w:rFonts w:asciiTheme="majorHAnsi" w:hAnsiTheme="majorHAnsi"/>
          <w:szCs w:val="20"/>
        </w:rPr>
      </w:pPr>
    </w:p>
    <w:p w14:paraId="3C044395" w14:textId="27965D88" w:rsidR="00DB482C" w:rsidRPr="00A608EE" w:rsidRDefault="00DB482C" w:rsidP="00EE208A">
      <w:pPr>
        <w:pStyle w:val="Heading4"/>
        <w:spacing w:before="0" w:line="240" w:lineRule="auto"/>
        <w:jc w:val="both"/>
      </w:pPr>
      <w:r w:rsidRPr="00A608EE">
        <w:rPr>
          <w:rStyle w:val="text-primary"/>
        </w:rPr>
        <w:t>4.C.1.4</w:t>
      </w:r>
      <w:r w:rsidRPr="00A608EE">
        <w:t xml:space="preserve"> </w:t>
      </w:r>
      <w:r w:rsidR="001F349C" w:rsidRPr="00A608EE">
        <w:t>If the provider partners with third parties, it reviews the third party's code of conduct prior to signing a contract to check for commitment to fair and respectful treatment of clients</w:t>
      </w:r>
      <w:r w:rsidR="00865F86" w:rsidRPr="00A608EE">
        <w:t>.</w:t>
      </w:r>
    </w:p>
    <w:p w14:paraId="52FD722A" w14:textId="77777777" w:rsidR="00C445CB" w:rsidRPr="00A608EE" w:rsidRDefault="00C445CB" w:rsidP="00EE208A">
      <w:pPr>
        <w:jc w:val="both"/>
        <w:rPr>
          <w:rFonts w:asciiTheme="majorHAnsi" w:hAnsiTheme="majorHAnsi"/>
          <w:szCs w:val="20"/>
        </w:rPr>
      </w:pPr>
    </w:p>
    <w:p w14:paraId="4320BCAC" w14:textId="28C5CD57" w:rsidR="00B5668E" w:rsidRPr="00A608EE" w:rsidRDefault="004F5FC3"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B5668E" w:rsidRPr="00A608EE">
        <w:rPr>
          <w:rFonts w:asciiTheme="majorHAnsi" w:hAnsiTheme="majorHAnsi" w:cstheme="majorHAnsi"/>
          <w:b/>
          <w:bCs/>
          <w:color w:val="2145CC" w:themeColor="accent5" w:themeShade="BF"/>
          <w:sz w:val="20"/>
          <w:szCs w:val="20"/>
        </w:rPr>
        <w:t>SPI5 Full | CP Full</w:t>
      </w:r>
      <w:r w:rsidR="0083332E" w:rsidRPr="00A608EE">
        <w:rPr>
          <w:rFonts w:asciiTheme="majorHAnsi" w:hAnsiTheme="majorHAnsi" w:cstheme="majorHAnsi"/>
          <w:b/>
          <w:bCs/>
          <w:color w:val="2145CC" w:themeColor="accent5" w:themeShade="BF"/>
          <w:sz w:val="20"/>
          <w:szCs w:val="20"/>
        </w:rPr>
        <w:t xml:space="preserve"> </w:t>
      </w:r>
      <w:r w:rsidR="0083332E" w:rsidRPr="00A608EE">
        <w:rPr>
          <w:rFonts w:ascii="Work Sans" w:hAnsi="Work Sans"/>
          <w:b/>
          <w:bCs/>
          <w:color w:val="2145CC" w:themeColor="accent5" w:themeShade="BF"/>
          <w:sz w:val="20"/>
          <w:szCs w:val="20"/>
        </w:rPr>
        <w:t>| DI Focus</w:t>
      </w:r>
    </w:p>
    <w:p w14:paraId="25EAA5D8" w14:textId="77777777" w:rsidR="0083332E" w:rsidRPr="00A608EE" w:rsidRDefault="0083332E" w:rsidP="00EE208A">
      <w:pPr>
        <w:jc w:val="both"/>
        <w:rPr>
          <w:rFonts w:asciiTheme="majorHAnsi" w:hAnsiTheme="majorHAnsi"/>
          <w:sz w:val="20"/>
          <w:szCs w:val="20"/>
          <w:lang w:eastAsia="fr-FR"/>
        </w:rPr>
      </w:pPr>
    </w:p>
    <w:p w14:paraId="0F448489" w14:textId="5694CF89" w:rsidR="001F349C" w:rsidRPr="00A608EE" w:rsidRDefault="001F349C" w:rsidP="00EE208A">
      <w:pPr>
        <w:jc w:val="both"/>
        <w:rPr>
          <w:rFonts w:asciiTheme="majorHAnsi" w:hAnsiTheme="majorHAnsi"/>
          <w:sz w:val="20"/>
          <w:szCs w:val="20"/>
          <w:lang w:eastAsia="fr-FR"/>
        </w:rPr>
      </w:pPr>
      <w:r w:rsidRPr="00A608EE">
        <w:rPr>
          <w:rFonts w:asciiTheme="majorHAnsi" w:hAnsiTheme="majorHAnsi"/>
          <w:sz w:val="20"/>
          <w:szCs w:val="20"/>
          <w:lang w:eastAsia="fr-FR"/>
        </w:rPr>
        <w:t>The goal of this indicator is to ensure that any external service providers are held to the same standards for fair and respectful treatment of clients as the provider. Third-party providers can be debt collectors, agent networks, MNOs, insurance companies, and other financial institutions such as commercial, development and microfinance banks, postal offices, etc.</w:t>
      </w:r>
    </w:p>
    <w:p w14:paraId="529D3397" w14:textId="77777777" w:rsidR="001F349C" w:rsidRPr="00A608EE" w:rsidRDefault="001F349C" w:rsidP="00EE208A">
      <w:pPr>
        <w:jc w:val="both"/>
        <w:rPr>
          <w:rFonts w:asciiTheme="majorHAnsi" w:hAnsiTheme="majorHAnsi"/>
          <w:sz w:val="20"/>
          <w:szCs w:val="20"/>
          <w:lang w:eastAsia="fr-FR"/>
        </w:rPr>
      </w:pPr>
      <w:r w:rsidRPr="00A608EE">
        <w:rPr>
          <w:rFonts w:asciiTheme="majorHAnsi" w:hAnsiTheme="majorHAnsi"/>
          <w:sz w:val="20"/>
          <w:szCs w:val="20"/>
          <w:lang w:eastAsia="fr-FR"/>
        </w:rPr>
        <w:t>Partnering with third parties or other service providers requires taking the necessary precautions to ensure that they share the provider’s commitment to client protection. The provider is directly responsible for verifying that the partners apply all necessary practices in terms of fair and respectful treatment of clients: the third-party provider is required to have a Code of Conduct - or any similar document - that governs the business conduct towards clients or their adherence to the provider’s Code of Conduct can be written into the contract that governs the relationship between the provider and the third-party provider.</w:t>
      </w:r>
    </w:p>
    <w:p w14:paraId="73D10E0E" w14:textId="77777777" w:rsidR="001F349C" w:rsidRPr="00A608EE" w:rsidRDefault="001F349C" w:rsidP="00EE208A">
      <w:pPr>
        <w:jc w:val="both"/>
        <w:rPr>
          <w:rFonts w:asciiTheme="majorHAnsi" w:hAnsiTheme="majorHAnsi"/>
          <w:sz w:val="20"/>
          <w:szCs w:val="20"/>
          <w:lang w:eastAsia="fr-FR"/>
        </w:rPr>
      </w:pPr>
      <w:r w:rsidRPr="00A608EE">
        <w:rPr>
          <w:rFonts w:asciiTheme="majorHAnsi" w:hAnsiTheme="majorHAnsi"/>
          <w:sz w:val="20"/>
          <w:szCs w:val="20"/>
          <w:lang w:eastAsia="fr-FR"/>
        </w:rPr>
        <w:t>This might require developing specific contractual terms for the partnership that cover client protection requirements.  In some cases, providers can impose their own business conduct/ behavior and make it an integral part of the agreements and make additional efforts to train the third-party's staff on expected behavior towards clients. The two key questions are: (1) what is the policy/procedure that is in place for acquiring partners and third-party providers? and (2) how do providers confirm that all necessary steps have been taken so that the third-party providers comply with client protection?</w:t>
      </w:r>
    </w:p>
    <w:p w14:paraId="36152600" w14:textId="77777777" w:rsidR="001F349C" w:rsidRPr="00A608EE" w:rsidRDefault="001F349C" w:rsidP="00EE208A">
      <w:pPr>
        <w:jc w:val="both"/>
        <w:rPr>
          <w:rFonts w:asciiTheme="majorHAnsi" w:hAnsiTheme="majorHAnsi"/>
          <w:sz w:val="20"/>
          <w:szCs w:val="20"/>
          <w:lang w:eastAsia="fr-FR"/>
        </w:rPr>
      </w:pPr>
      <w:r w:rsidRPr="00A608EE">
        <w:rPr>
          <w:rFonts w:asciiTheme="majorHAnsi" w:hAnsiTheme="majorHAnsi"/>
          <w:sz w:val="20"/>
          <w:szCs w:val="20"/>
          <w:lang w:eastAsia="fr-FR"/>
        </w:rPr>
        <w:t>In addition, it is the provider’s responsibility to monitor its external provider’s behavior towards its clients, including handling client complaints related to the services and treatment they receive from the third-party providers (refer to 4.E.3.3). The provider should review the Code of Conduct of third parties for commitment to respectful treatment of clients before they sign a contract.</w:t>
      </w:r>
    </w:p>
    <w:p w14:paraId="32E9D28A" w14:textId="77777777" w:rsidR="00672763" w:rsidRPr="00A608EE" w:rsidRDefault="00672763" w:rsidP="00EE208A">
      <w:pPr>
        <w:jc w:val="both"/>
        <w:rPr>
          <w:rFonts w:asciiTheme="majorHAnsi" w:hAnsiTheme="majorHAnsi"/>
          <w:sz w:val="20"/>
          <w:szCs w:val="20"/>
          <w:lang w:eastAsia="fr-FR"/>
        </w:rPr>
      </w:pPr>
    </w:p>
    <w:p w14:paraId="5F2DA5ED"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73280" behindDoc="1" locked="0" layoutInCell="1" allowOverlap="1" wp14:anchorId="7543596C" wp14:editId="44ACAA31">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60322303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38B3A780" w14:textId="77777777" w:rsidR="00672763" w:rsidRPr="00A608EE" w:rsidRDefault="00672763" w:rsidP="00EE208A">
      <w:pPr>
        <w:jc w:val="both"/>
        <w:rPr>
          <w:rFonts w:asciiTheme="majorHAnsi" w:hAnsiTheme="majorHAnsi"/>
          <w:sz w:val="20"/>
          <w:szCs w:val="20"/>
          <w:lang w:eastAsia="fr-FR"/>
        </w:rPr>
      </w:pPr>
    </w:p>
    <w:p w14:paraId="0AD756D5" w14:textId="0C9062DF" w:rsidR="00F56588" w:rsidRPr="00A608EE" w:rsidRDefault="00FC6779" w:rsidP="007A189A">
      <w:pPr>
        <w:pStyle w:val="paragraph"/>
        <w:spacing w:before="0" w:beforeAutospacing="0" w:after="0" w:afterAutospacing="0"/>
        <w:jc w:val="both"/>
        <w:textAlignment w:val="baseline"/>
      </w:pPr>
      <w:r w:rsidRPr="00A608EE">
        <w:rPr>
          <w:rFonts w:ascii="Work Sans" w:hAnsi="Work Sans"/>
          <w:b/>
          <w:bCs/>
          <w:sz w:val="20"/>
          <w:szCs w:val="20"/>
        </w:rPr>
        <w:t>DI Indicator:</w:t>
      </w:r>
      <w:r w:rsidRPr="00A608EE">
        <w:rPr>
          <w:rFonts w:ascii="Work Sans" w:hAnsi="Work Sans"/>
          <w:sz w:val="20"/>
          <w:szCs w:val="20"/>
        </w:rPr>
        <w:t xml:space="preserve"> </w:t>
      </w:r>
      <w:r w:rsidR="00F56588" w:rsidRPr="00A608EE">
        <w:rPr>
          <w:rFonts w:asciiTheme="majorHAnsi" w:hAnsiTheme="majorHAnsi"/>
          <w:sz w:val="20"/>
          <w:szCs w:val="20"/>
        </w:rPr>
        <w:t>If the provider partners with third parties, it reviews the third party's code of conduct prior to signing a contract to check for commitment to fair and respectful treatment of clients, including clients with disabilities.</w:t>
      </w:r>
    </w:p>
    <w:p w14:paraId="59EF721A" w14:textId="3C3E3FB5" w:rsidR="007A189A" w:rsidRPr="00A608EE" w:rsidRDefault="007A189A" w:rsidP="00EE208A">
      <w:pPr>
        <w:jc w:val="both"/>
        <w:rPr>
          <w:rFonts w:asciiTheme="majorHAnsi" w:hAnsiTheme="majorHAnsi"/>
          <w:b/>
          <w:bCs/>
          <w:szCs w:val="20"/>
          <w:lang w:eastAsia="fr-FR"/>
        </w:rPr>
      </w:pPr>
    </w:p>
    <w:p w14:paraId="645F8BAA" w14:textId="53A05C83" w:rsidR="001F349C" w:rsidRPr="00A608EE" w:rsidRDefault="001F349C"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407DE567" w14:textId="77777777" w:rsidR="001F349C" w:rsidRPr="00A608EE" w:rsidRDefault="001F349C" w:rsidP="00A27AAA">
      <w:pPr>
        <w:numPr>
          <w:ilvl w:val="0"/>
          <w:numId w:val="266"/>
        </w:numPr>
        <w:jc w:val="both"/>
        <w:rPr>
          <w:rFonts w:asciiTheme="majorHAnsi" w:hAnsiTheme="majorHAnsi"/>
          <w:sz w:val="20"/>
          <w:szCs w:val="20"/>
          <w:lang w:eastAsia="fr-FR"/>
        </w:rPr>
      </w:pPr>
      <w:r w:rsidRPr="00A608EE">
        <w:rPr>
          <w:rFonts w:asciiTheme="majorHAnsi" w:hAnsiTheme="majorHAnsi"/>
          <w:sz w:val="20"/>
          <w:szCs w:val="20"/>
          <w:lang w:eastAsia="fr-FR"/>
        </w:rPr>
        <w:t>Score ‘N/A’, if the provider does </w:t>
      </w:r>
      <w:r w:rsidRPr="00A608EE">
        <w:rPr>
          <w:rFonts w:asciiTheme="majorHAnsi" w:hAnsiTheme="majorHAnsi"/>
          <w:sz w:val="20"/>
          <w:szCs w:val="20"/>
          <w:u w:val="single"/>
          <w:lang w:eastAsia="fr-FR"/>
        </w:rPr>
        <w:t>not</w:t>
      </w:r>
      <w:r w:rsidRPr="00A608EE">
        <w:rPr>
          <w:rFonts w:asciiTheme="majorHAnsi" w:hAnsiTheme="majorHAnsi"/>
          <w:sz w:val="20"/>
          <w:szCs w:val="20"/>
          <w:lang w:eastAsia="fr-FR"/>
        </w:rPr>
        <w:t> use third-party providers in any of its processes.</w:t>
      </w:r>
    </w:p>
    <w:p w14:paraId="38D688CB" w14:textId="77777777" w:rsidR="001F349C" w:rsidRPr="00A608EE" w:rsidRDefault="001F349C" w:rsidP="00A27AAA">
      <w:pPr>
        <w:numPr>
          <w:ilvl w:val="0"/>
          <w:numId w:val="266"/>
        </w:numPr>
        <w:jc w:val="both"/>
        <w:rPr>
          <w:rFonts w:asciiTheme="majorHAnsi" w:hAnsiTheme="majorHAnsi"/>
          <w:sz w:val="20"/>
          <w:szCs w:val="20"/>
          <w:lang w:eastAsia="fr-FR"/>
        </w:rPr>
      </w:pPr>
      <w:r w:rsidRPr="00A608EE">
        <w:rPr>
          <w:rFonts w:asciiTheme="majorHAnsi" w:hAnsiTheme="majorHAnsi"/>
          <w:sz w:val="20"/>
          <w:szCs w:val="20"/>
          <w:lang w:eastAsia="fr-FR"/>
        </w:rPr>
        <w:t>Score ’yes’, if (1) the commitment to all expected rules for fair and respectful treatment of clients is part of the agreements between the provider and its third-party providers, (2) the staff of the third-party providers is well trained on how to treat clients fairly and respectfully, and (3) the provider monitors regularly the client treatment of its third-party providers.</w:t>
      </w:r>
    </w:p>
    <w:p w14:paraId="194AAE90" w14:textId="77777777" w:rsidR="001F349C" w:rsidRPr="00A608EE" w:rsidRDefault="001F349C" w:rsidP="00A27AAA">
      <w:pPr>
        <w:numPr>
          <w:ilvl w:val="0"/>
          <w:numId w:val="266"/>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above three requirements are not fully met. For instance, the agreements between the provider and its third-party providers do not cover all expected rules for fair and respectful treatment of clients or the staff of the third-party providers are not adequately trained on how to treat clients fairly and respectfully or the provider does not monitor regularly the client treatment of the staff of its third-party providers.</w:t>
      </w:r>
    </w:p>
    <w:p w14:paraId="6117837B" w14:textId="77777777" w:rsidR="001F349C" w:rsidRPr="00A608EE" w:rsidRDefault="001F349C" w:rsidP="00A27AAA">
      <w:pPr>
        <w:numPr>
          <w:ilvl w:val="0"/>
          <w:numId w:val="266"/>
        </w:numPr>
        <w:jc w:val="both"/>
        <w:rPr>
          <w:rFonts w:asciiTheme="majorHAnsi" w:hAnsiTheme="majorHAnsi"/>
          <w:sz w:val="20"/>
          <w:szCs w:val="20"/>
          <w:lang w:eastAsia="fr-FR"/>
        </w:rPr>
      </w:pPr>
      <w:r w:rsidRPr="00A608EE">
        <w:rPr>
          <w:rFonts w:asciiTheme="majorHAnsi" w:hAnsiTheme="majorHAnsi"/>
          <w:sz w:val="20"/>
          <w:szCs w:val="20"/>
          <w:lang w:eastAsia="fr-FR"/>
        </w:rPr>
        <w:t xml:space="preserve">Score ‘no’, if the agreements between the provider and its third-party providers fail to cover the expected rules for fair and respectful treatment of clients and/or the </w:t>
      </w:r>
      <w:r w:rsidRPr="00A608EE">
        <w:rPr>
          <w:rFonts w:asciiTheme="majorHAnsi" w:hAnsiTheme="majorHAnsi"/>
          <w:sz w:val="20"/>
          <w:szCs w:val="20"/>
          <w:lang w:eastAsia="fr-FR"/>
        </w:rPr>
        <w:lastRenderedPageBreak/>
        <w:t>staff of the third-party providers are not trained on how to treat clients fairly and respectfully and/or the provider does not monitor the client treatment of the staff of its third-party providers.</w:t>
      </w:r>
    </w:p>
    <w:p w14:paraId="3033F08F" w14:textId="77777777" w:rsidR="001F349C" w:rsidRPr="00A608EE" w:rsidRDefault="001F349C" w:rsidP="00EE208A">
      <w:pPr>
        <w:jc w:val="both"/>
        <w:rPr>
          <w:rFonts w:asciiTheme="majorHAnsi" w:hAnsiTheme="majorHAnsi"/>
          <w:sz w:val="20"/>
          <w:szCs w:val="20"/>
          <w:lang w:eastAsia="fr-FR"/>
        </w:rPr>
      </w:pPr>
    </w:p>
    <w:p w14:paraId="5E1BF639" w14:textId="15F6980D" w:rsidR="001F349C" w:rsidRPr="00A608EE" w:rsidRDefault="001F349C"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71C1E22A" w14:textId="77777777" w:rsidR="001F349C" w:rsidRPr="00A608EE" w:rsidRDefault="001F349C" w:rsidP="00A27AAA">
      <w:pPr>
        <w:numPr>
          <w:ilvl w:val="0"/>
          <w:numId w:val="267"/>
        </w:numPr>
        <w:jc w:val="both"/>
        <w:rPr>
          <w:rFonts w:asciiTheme="majorHAnsi" w:hAnsiTheme="majorHAnsi"/>
          <w:sz w:val="20"/>
          <w:szCs w:val="20"/>
          <w:lang w:eastAsia="fr-FR"/>
        </w:rPr>
      </w:pPr>
      <w:r w:rsidRPr="00A608EE">
        <w:rPr>
          <w:rFonts w:asciiTheme="majorHAnsi" w:hAnsiTheme="majorHAnsi"/>
          <w:sz w:val="20"/>
          <w:szCs w:val="20"/>
          <w:lang w:eastAsia="fr-FR"/>
        </w:rPr>
        <w:t>All Contracts with third party providers.</w:t>
      </w:r>
    </w:p>
    <w:p w14:paraId="360E4FF5" w14:textId="77777777" w:rsidR="001F349C" w:rsidRPr="00A608EE" w:rsidRDefault="001F349C" w:rsidP="00A27AAA">
      <w:pPr>
        <w:numPr>
          <w:ilvl w:val="0"/>
          <w:numId w:val="267"/>
        </w:numPr>
        <w:jc w:val="both"/>
        <w:rPr>
          <w:rFonts w:asciiTheme="majorHAnsi" w:hAnsiTheme="majorHAnsi"/>
          <w:sz w:val="20"/>
          <w:szCs w:val="20"/>
          <w:lang w:eastAsia="fr-FR"/>
        </w:rPr>
      </w:pPr>
      <w:r w:rsidRPr="00A608EE">
        <w:rPr>
          <w:rFonts w:asciiTheme="majorHAnsi" w:hAnsiTheme="majorHAnsi"/>
          <w:sz w:val="20"/>
          <w:szCs w:val="20"/>
          <w:lang w:eastAsia="fr-FR"/>
        </w:rPr>
        <w:t>Procurement / partnerships policies and procedures.</w:t>
      </w:r>
    </w:p>
    <w:p w14:paraId="5E1E36A7" w14:textId="77777777" w:rsidR="001F349C" w:rsidRPr="00A608EE" w:rsidRDefault="001F349C" w:rsidP="00A27AAA">
      <w:pPr>
        <w:numPr>
          <w:ilvl w:val="0"/>
          <w:numId w:val="267"/>
        </w:numPr>
        <w:jc w:val="both"/>
        <w:rPr>
          <w:rFonts w:asciiTheme="majorHAnsi" w:hAnsiTheme="majorHAnsi"/>
          <w:sz w:val="20"/>
          <w:szCs w:val="20"/>
          <w:lang w:eastAsia="fr-FR"/>
        </w:rPr>
      </w:pPr>
      <w:r w:rsidRPr="00A608EE">
        <w:rPr>
          <w:rFonts w:asciiTheme="majorHAnsi" w:hAnsiTheme="majorHAnsi"/>
          <w:sz w:val="20"/>
          <w:szCs w:val="20"/>
          <w:lang w:eastAsia="fr-FR"/>
        </w:rPr>
        <w:t>Interviews with managers of the relationships with the third-party providers.</w:t>
      </w:r>
    </w:p>
    <w:p w14:paraId="48239DE7" w14:textId="77777777" w:rsidR="001F349C" w:rsidRPr="00A608EE" w:rsidRDefault="001F349C" w:rsidP="00A27AAA">
      <w:pPr>
        <w:numPr>
          <w:ilvl w:val="0"/>
          <w:numId w:val="267"/>
        </w:numPr>
        <w:jc w:val="both"/>
        <w:rPr>
          <w:rFonts w:asciiTheme="majorHAnsi" w:hAnsiTheme="majorHAnsi"/>
          <w:sz w:val="20"/>
          <w:szCs w:val="20"/>
          <w:lang w:eastAsia="fr-FR"/>
        </w:rPr>
      </w:pPr>
      <w:r w:rsidRPr="00A608EE">
        <w:rPr>
          <w:rFonts w:asciiTheme="majorHAnsi" w:hAnsiTheme="majorHAnsi"/>
          <w:sz w:val="20"/>
          <w:szCs w:val="20"/>
          <w:lang w:eastAsia="fr-FR"/>
        </w:rPr>
        <w:t>Interviews with clients in relations with third-party providers, if possible.</w:t>
      </w:r>
    </w:p>
    <w:p w14:paraId="667AF42F" w14:textId="77777777" w:rsidR="001F349C" w:rsidRPr="00A608EE" w:rsidRDefault="001F349C" w:rsidP="00EE208A">
      <w:pPr>
        <w:jc w:val="both"/>
        <w:rPr>
          <w:rFonts w:asciiTheme="majorHAnsi" w:hAnsiTheme="majorHAnsi"/>
          <w:sz w:val="20"/>
          <w:szCs w:val="20"/>
          <w:lang w:eastAsia="fr-FR"/>
        </w:rPr>
      </w:pPr>
    </w:p>
    <w:p w14:paraId="196D7CB7" w14:textId="2468E08B" w:rsidR="001F349C" w:rsidRPr="00A608EE" w:rsidRDefault="001F349C"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18562B22" w14:textId="77777777" w:rsidR="001F349C" w:rsidRPr="00A608EE" w:rsidRDefault="001F349C" w:rsidP="00A27AAA">
      <w:pPr>
        <w:numPr>
          <w:ilvl w:val="0"/>
          <w:numId w:val="268"/>
        </w:numPr>
        <w:jc w:val="both"/>
        <w:rPr>
          <w:rFonts w:asciiTheme="majorHAnsi" w:hAnsiTheme="majorHAnsi"/>
          <w:sz w:val="20"/>
          <w:szCs w:val="20"/>
          <w:lang w:eastAsia="fr-FR"/>
        </w:rPr>
      </w:pPr>
      <w:r w:rsidRPr="00A608EE">
        <w:rPr>
          <w:rFonts w:asciiTheme="majorHAnsi" w:hAnsiTheme="majorHAnsi"/>
          <w:sz w:val="20"/>
          <w:szCs w:val="20"/>
          <w:lang w:eastAsia="fr-FR"/>
        </w:rPr>
        <w:t>All contracts between the financial provider and its third-party providers.</w:t>
      </w:r>
    </w:p>
    <w:p w14:paraId="3CC18919" w14:textId="77777777" w:rsidR="001F349C" w:rsidRPr="00A608EE" w:rsidRDefault="001F349C" w:rsidP="00A27AAA">
      <w:pPr>
        <w:numPr>
          <w:ilvl w:val="0"/>
          <w:numId w:val="268"/>
        </w:numPr>
        <w:jc w:val="both"/>
        <w:rPr>
          <w:rFonts w:asciiTheme="majorHAnsi" w:hAnsiTheme="majorHAnsi"/>
          <w:sz w:val="20"/>
          <w:szCs w:val="20"/>
          <w:lang w:eastAsia="fr-FR"/>
        </w:rPr>
      </w:pPr>
      <w:r w:rsidRPr="00A608EE">
        <w:rPr>
          <w:rFonts w:asciiTheme="majorHAnsi" w:hAnsiTheme="majorHAnsi"/>
          <w:sz w:val="20"/>
          <w:szCs w:val="20"/>
          <w:lang w:eastAsia="fr-FR"/>
        </w:rPr>
        <w:t>If available, quotes from the third-party providers’ Code of Conduct referring to fair treatment of clients.</w:t>
      </w:r>
    </w:p>
    <w:p w14:paraId="67B56470" w14:textId="77777777" w:rsidR="001F349C" w:rsidRPr="00A608EE" w:rsidRDefault="001F349C" w:rsidP="00A27AAA">
      <w:pPr>
        <w:numPr>
          <w:ilvl w:val="0"/>
          <w:numId w:val="268"/>
        </w:numPr>
        <w:jc w:val="both"/>
        <w:rPr>
          <w:rFonts w:asciiTheme="majorHAnsi" w:hAnsiTheme="majorHAnsi"/>
          <w:sz w:val="20"/>
          <w:szCs w:val="20"/>
          <w:lang w:eastAsia="fr-FR"/>
        </w:rPr>
      </w:pPr>
      <w:r w:rsidRPr="00A608EE">
        <w:rPr>
          <w:rFonts w:asciiTheme="majorHAnsi" w:hAnsiTheme="majorHAnsi"/>
          <w:sz w:val="20"/>
          <w:szCs w:val="20"/>
          <w:lang w:eastAsia="fr-FR"/>
        </w:rPr>
        <w:t>Results from interviews with client and staff of third-party providers, if possible.</w:t>
      </w:r>
    </w:p>
    <w:p w14:paraId="34DB0D28" w14:textId="77777777" w:rsidR="001F349C" w:rsidRPr="00A608EE" w:rsidRDefault="001F349C" w:rsidP="00A27AAA">
      <w:pPr>
        <w:numPr>
          <w:ilvl w:val="0"/>
          <w:numId w:val="268"/>
        </w:numPr>
        <w:jc w:val="both"/>
        <w:rPr>
          <w:rFonts w:asciiTheme="majorHAnsi" w:hAnsiTheme="majorHAnsi"/>
          <w:sz w:val="20"/>
          <w:szCs w:val="20"/>
          <w:lang w:eastAsia="fr-FR"/>
        </w:rPr>
      </w:pPr>
      <w:r w:rsidRPr="00A608EE">
        <w:rPr>
          <w:rFonts w:asciiTheme="majorHAnsi" w:hAnsiTheme="majorHAnsi"/>
          <w:sz w:val="20"/>
          <w:szCs w:val="20"/>
          <w:lang w:eastAsia="fr-FR"/>
        </w:rPr>
        <w:t>Results from internal monitoring systems.</w:t>
      </w:r>
    </w:p>
    <w:p w14:paraId="529483A8" w14:textId="77777777" w:rsidR="001F349C" w:rsidRPr="00A608EE" w:rsidRDefault="001F349C" w:rsidP="00A27AAA">
      <w:pPr>
        <w:numPr>
          <w:ilvl w:val="0"/>
          <w:numId w:val="268"/>
        </w:numPr>
        <w:jc w:val="both"/>
        <w:rPr>
          <w:rFonts w:asciiTheme="majorHAnsi" w:hAnsiTheme="majorHAnsi"/>
          <w:sz w:val="20"/>
          <w:szCs w:val="20"/>
          <w:lang w:eastAsia="fr-FR"/>
        </w:rPr>
      </w:pPr>
      <w:r w:rsidRPr="00A608EE">
        <w:rPr>
          <w:rFonts w:asciiTheme="majorHAnsi" w:hAnsiTheme="majorHAnsi"/>
          <w:sz w:val="20"/>
          <w:szCs w:val="20"/>
          <w:lang w:eastAsia="fr-FR"/>
        </w:rPr>
        <w:t>Results from client satisfaction and exit studies.</w:t>
      </w:r>
    </w:p>
    <w:p w14:paraId="2BF70BD9" w14:textId="77777777" w:rsidR="00FA5329" w:rsidRPr="00A608EE" w:rsidRDefault="00FA5329" w:rsidP="00EE208A">
      <w:pPr>
        <w:jc w:val="both"/>
        <w:rPr>
          <w:rFonts w:asciiTheme="majorHAnsi" w:hAnsiTheme="majorHAnsi"/>
          <w:sz w:val="20"/>
          <w:szCs w:val="20"/>
        </w:rPr>
      </w:pPr>
    </w:p>
    <w:p w14:paraId="17E003A9" w14:textId="1C772698" w:rsidR="00DB482C" w:rsidRPr="00A608EE" w:rsidRDefault="488500BF" w:rsidP="00EE208A">
      <w:pPr>
        <w:jc w:val="both"/>
        <w:rPr>
          <w:rFonts w:asciiTheme="majorHAnsi" w:hAnsiTheme="majorHAnsi"/>
          <w:b/>
          <w:bCs/>
          <w:sz w:val="20"/>
          <w:szCs w:val="20"/>
        </w:rPr>
      </w:pPr>
      <w:r w:rsidRPr="00A608EE">
        <w:rPr>
          <w:rFonts w:asciiTheme="majorHAnsi" w:hAnsiTheme="majorHAnsi"/>
          <w:b/>
          <w:bCs/>
          <w:sz w:val="20"/>
          <w:szCs w:val="20"/>
        </w:rPr>
        <w:t xml:space="preserve">Resources </w:t>
      </w:r>
      <w:r w:rsidR="001F349C" w:rsidRPr="00A608EE">
        <w:rPr>
          <w:rFonts w:asciiTheme="majorHAnsi" w:hAnsiTheme="majorHAnsi"/>
          <w:b/>
          <w:bCs/>
          <w:sz w:val="20"/>
          <w:szCs w:val="20"/>
        </w:rPr>
        <w:t>for indicator</w:t>
      </w:r>
      <w:r w:rsidRPr="00A608EE">
        <w:rPr>
          <w:rFonts w:asciiTheme="majorHAnsi" w:hAnsiTheme="majorHAnsi"/>
          <w:b/>
          <w:bCs/>
          <w:sz w:val="20"/>
          <w:szCs w:val="20"/>
        </w:rPr>
        <w:t xml:space="preserve"> 4.C.1.4</w:t>
      </w:r>
    </w:p>
    <w:p w14:paraId="4E402199" w14:textId="7CEF8EAF" w:rsidR="488500BF" w:rsidRPr="00A608EE" w:rsidRDefault="488500BF" w:rsidP="00A27AAA">
      <w:pPr>
        <w:numPr>
          <w:ilvl w:val="0"/>
          <w:numId w:val="21"/>
        </w:numPr>
        <w:jc w:val="both"/>
        <w:rPr>
          <w:rFonts w:ascii="Work Sans" w:eastAsia="Work Sans" w:hAnsi="Work Sans" w:cs="Work Sans"/>
          <w:color w:val="000000" w:themeColor="background1"/>
          <w:sz w:val="20"/>
          <w:szCs w:val="20"/>
        </w:rPr>
      </w:pPr>
      <w:hyperlink r:id="rId222">
        <w:r w:rsidRPr="00A608EE">
          <w:rPr>
            <w:rStyle w:val="Hyperlink"/>
            <w:rFonts w:ascii="Work Sans" w:eastAsia="Work Sans" w:hAnsi="Work Sans" w:cs="Work Sans"/>
            <w:sz w:val="20"/>
            <w:szCs w:val="20"/>
          </w:rPr>
          <w:t>Tujijenge Displays a Customer Service Charter</w:t>
        </w:r>
      </w:hyperlink>
    </w:p>
    <w:p w14:paraId="1036D7E5" w14:textId="50B655C8" w:rsidR="488500BF" w:rsidRPr="00A608EE" w:rsidRDefault="488500BF" w:rsidP="00A27AAA">
      <w:pPr>
        <w:pStyle w:val="ListParagraph"/>
        <w:numPr>
          <w:ilvl w:val="0"/>
          <w:numId w:val="21"/>
        </w:numPr>
        <w:spacing w:after="0" w:line="240" w:lineRule="auto"/>
        <w:jc w:val="both"/>
        <w:rPr>
          <w:rFonts w:eastAsia="Work Sans"/>
          <w:color w:val="000000" w:themeColor="background1"/>
          <w:szCs w:val="20"/>
        </w:rPr>
      </w:pPr>
      <w:hyperlink r:id="rId223">
        <w:r w:rsidRPr="00A608EE">
          <w:rPr>
            <w:rStyle w:val="Hyperlink"/>
            <w:rFonts w:ascii="Work Sans" w:eastAsia="Work Sans" w:hAnsi="Work Sans" w:cs="Work Sans"/>
            <w:szCs w:val="20"/>
          </w:rPr>
          <w:t>Aski Sanctions Code of Conduct Violations</w:t>
        </w:r>
      </w:hyperlink>
    </w:p>
    <w:p w14:paraId="76FB360D" w14:textId="3FEAD8F9" w:rsidR="488500BF" w:rsidRPr="00A608EE" w:rsidRDefault="488500BF" w:rsidP="00A27AAA">
      <w:pPr>
        <w:pStyle w:val="ListParagraph"/>
        <w:numPr>
          <w:ilvl w:val="0"/>
          <w:numId w:val="21"/>
        </w:numPr>
        <w:spacing w:after="0" w:line="240" w:lineRule="auto"/>
        <w:jc w:val="both"/>
        <w:rPr>
          <w:rFonts w:eastAsia="Work Sans"/>
          <w:color w:val="000000" w:themeColor="background1"/>
          <w:szCs w:val="20"/>
        </w:rPr>
      </w:pPr>
      <w:hyperlink r:id="rId224">
        <w:r w:rsidRPr="00A608EE">
          <w:rPr>
            <w:rStyle w:val="Hyperlink"/>
            <w:rFonts w:ascii="Work Sans" w:eastAsia="Work Sans" w:hAnsi="Work Sans" w:cs="Work Sans"/>
            <w:szCs w:val="20"/>
          </w:rPr>
          <w:t>Examples of Discriminatory Policies and Staff Behaviors</w:t>
        </w:r>
      </w:hyperlink>
    </w:p>
    <w:p w14:paraId="0EE99A8C" w14:textId="0A484289" w:rsidR="003F6B5F" w:rsidRPr="00A608EE" w:rsidRDefault="003F6B5F" w:rsidP="00EE208A">
      <w:pPr>
        <w:jc w:val="both"/>
        <w:rPr>
          <w:rFonts w:asciiTheme="majorHAnsi" w:hAnsiTheme="majorHAnsi" w:cstheme="majorHAnsi"/>
          <w:sz w:val="20"/>
          <w:szCs w:val="20"/>
        </w:rPr>
      </w:pPr>
    </w:p>
    <w:p w14:paraId="054B7E5A" w14:textId="77777777" w:rsidR="00CA33F7" w:rsidRPr="00A608EE" w:rsidRDefault="00CA33F7" w:rsidP="00EE208A">
      <w:pPr>
        <w:jc w:val="both"/>
        <w:rPr>
          <w:rFonts w:asciiTheme="majorHAnsi" w:hAnsiTheme="majorHAnsi" w:cstheme="majorHAnsi"/>
          <w:szCs w:val="20"/>
        </w:rPr>
      </w:pPr>
    </w:p>
    <w:p w14:paraId="75D78B44" w14:textId="1A00EF2A" w:rsidR="003F6B5F" w:rsidRPr="00A608EE" w:rsidRDefault="003F6B5F" w:rsidP="00EE208A">
      <w:pPr>
        <w:pStyle w:val="Heading3"/>
        <w:spacing w:before="0" w:line="240" w:lineRule="auto"/>
        <w:jc w:val="both"/>
      </w:pPr>
      <w:bookmarkStart w:id="77" w:name="_Toc230938803"/>
      <w:r w:rsidRPr="00A608EE">
        <w:rPr>
          <w:rStyle w:val="text-primary"/>
        </w:rPr>
        <w:t xml:space="preserve">4.C.2 </w:t>
      </w:r>
      <w:r w:rsidR="00591194" w:rsidRPr="00A608EE">
        <w:t>The provider does not use aggressive sales techniques</w:t>
      </w:r>
      <w:r w:rsidR="00EF5EA7" w:rsidRPr="00A608EE">
        <w:t>.</w:t>
      </w:r>
      <w:bookmarkEnd w:id="77"/>
    </w:p>
    <w:p w14:paraId="5DC0C5FB" w14:textId="77777777" w:rsidR="003F6B5F" w:rsidRPr="00A608EE" w:rsidRDefault="003F6B5F" w:rsidP="00EE208A">
      <w:pPr>
        <w:jc w:val="both"/>
        <w:rPr>
          <w:rFonts w:asciiTheme="majorHAnsi" w:hAnsiTheme="majorHAnsi"/>
          <w:szCs w:val="20"/>
        </w:rPr>
      </w:pPr>
    </w:p>
    <w:p w14:paraId="1C73E4C1" w14:textId="77777777" w:rsidR="00591194" w:rsidRPr="00A608EE" w:rsidRDefault="005911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Aggressive sales techniques can be particularly damaging for low-income clients and those with limited financial capability, as they may be more likely to buy products due to sales pressure rather than because the product is a good “fit.” Aggressive sales can mean larger outreach and bigger portfolio, but it can also lead to higher rates of default and lower customer satisfaction when client’s end up with products they don’t need and/or do not understand.  In recruiting new clients, the provider must never resort to deceptive or aggressive practices because it will not lead to healthy growth in the medium or long term.</w:t>
      </w:r>
    </w:p>
    <w:p w14:paraId="2B333AF3" w14:textId="77777777" w:rsidR="00591194" w:rsidRPr="00A608EE" w:rsidRDefault="00591194" w:rsidP="00EE208A">
      <w:pPr>
        <w:pStyle w:val="NormalWeb"/>
        <w:spacing w:before="0" w:beforeAutospacing="0" w:after="0" w:afterAutospacing="0"/>
        <w:jc w:val="both"/>
        <w:rPr>
          <w:rFonts w:asciiTheme="majorHAnsi" w:hAnsiTheme="majorHAnsi"/>
          <w:sz w:val="20"/>
          <w:szCs w:val="20"/>
        </w:rPr>
      </w:pPr>
    </w:p>
    <w:p w14:paraId="251B8367" w14:textId="2C649EF7" w:rsidR="00591194" w:rsidRPr="00A608EE" w:rsidRDefault="005911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Examples of aggressive sales include:</w:t>
      </w:r>
    </w:p>
    <w:p w14:paraId="2B8CBE3E" w14:textId="77777777" w:rsidR="00591194" w:rsidRPr="00A608EE" w:rsidRDefault="00591194" w:rsidP="00A27AAA">
      <w:pPr>
        <w:pStyle w:val="NormalWeb"/>
        <w:numPr>
          <w:ilvl w:val="0"/>
          <w:numId w:val="26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Putting pressure on a client to take a product she/he does not need/want like: calling every day, visiting the client’s home or business very frequently, following them in the street, etc.</w:t>
      </w:r>
    </w:p>
    <w:p w14:paraId="516B105D" w14:textId="77777777" w:rsidR="00591194" w:rsidRPr="00A608EE" w:rsidRDefault="00591194" w:rsidP="00A27AAA">
      <w:pPr>
        <w:pStyle w:val="NormalWeb"/>
        <w:numPr>
          <w:ilvl w:val="0"/>
          <w:numId w:val="26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Telling clients that there is a time limit on a specific offer (“you must sign today, because the price will go up tomorrow”).</w:t>
      </w:r>
    </w:p>
    <w:p w14:paraId="135F9056" w14:textId="77777777" w:rsidR="00591194" w:rsidRPr="00A608EE" w:rsidRDefault="00591194" w:rsidP="00A27AAA">
      <w:pPr>
        <w:pStyle w:val="NormalWeb"/>
        <w:numPr>
          <w:ilvl w:val="0"/>
          <w:numId w:val="26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Adding a side-product, bundled with a product the client has chosen, without informing the client (e.g.: adding an insurance without telling the client).</w:t>
      </w:r>
    </w:p>
    <w:p w14:paraId="5430F0D5" w14:textId="77777777" w:rsidR="00591194" w:rsidRPr="00A608EE" w:rsidRDefault="00591194" w:rsidP="00A27AAA">
      <w:pPr>
        <w:pStyle w:val="NormalWeb"/>
        <w:numPr>
          <w:ilvl w:val="0"/>
          <w:numId w:val="26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Continuing to pursue a client who has clearly declined a product.</w:t>
      </w:r>
    </w:p>
    <w:p w14:paraId="7494010E" w14:textId="77777777" w:rsidR="00591194" w:rsidRPr="00A608EE" w:rsidRDefault="00591194" w:rsidP="00A27AAA">
      <w:pPr>
        <w:pStyle w:val="NormalWeb"/>
        <w:numPr>
          <w:ilvl w:val="0"/>
          <w:numId w:val="26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Discouraging or preventing clients from consulting with a trusted person or from reading product information thoroughly (e.g.: the contract, etc.).</w:t>
      </w:r>
    </w:p>
    <w:p w14:paraId="6CF96294" w14:textId="77777777" w:rsidR="00591194" w:rsidRPr="00A608EE" w:rsidRDefault="00591194" w:rsidP="00A27AAA">
      <w:pPr>
        <w:pStyle w:val="NormalWeb"/>
        <w:numPr>
          <w:ilvl w:val="0"/>
          <w:numId w:val="26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Intimidating or threatening the client (“if you don’t purchase life insurance, you are going to look like you don’t care about your family”).</w:t>
      </w:r>
    </w:p>
    <w:p w14:paraId="0104B371" w14:textId="77777777" w:rsidR="00591194" w:rsidRPr="00A608EE" w:rsidRDefault="00591194" w:rsidP="00EE208A">
      <w:pPr>
        <w:pStyle w:val="NormalWeb"/>
        <w:spacing w:before="0" w:beforeAutospacing="0" w:after="0" w:afterAutospacing="0"/>
        <w:jc w:val="both"/>
        <w:rPr>
          <w:rFonts w:asciiTheme="majorHAnsi" w:hAnsiTheme="majorHAnsi"/>
          <w:sz w:val="20"/>
          <w:szCs w:val="20"/>
        </w:rPr>
      </w:pPr>
    </w:p>
    <w:p w14:paraId="3647C891" w14:textId="0247368F" w:rsidR="00591194" w:rsidRPr="00A608EE" w:rsidRDefault="00591194"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define aggressive sales and put in place safeguards to prevent it such as monitoring and auditing staff compliance with expected behaviors by interviewing clients to ensure they were treated in keeping with the provider’s values and policies.  The provider needs to ensure that it sets reasonable growth targets and uses incentives schemes that do not trigger aggressive sales. Providers should conduct market studies before setting growth targets, hence, sales should be within the acceptable growth targets and any sales outside the pre-set threshold, causes the provider to investigate.</w:t>
      </w:r>
    </w:p>
    <w:p w14:paraId="1F8886CE" w14:textId="44A489D2" w:rsidR="003457B4" w:rsidRPr="00A608EE" w:rsidRDefault="003457B4" w:rsidP="00EE208A">
      <w:pPr>
        <w:jc w:val="both"/>
        <w:rPr>
          <w:rFonts w:asciiTheme="majorHAnsi" w:hAnsiTheme="majorHAnsi"/>
          <w:szCs w:val="20"/>
        </w:rPr>
      </w:pPr>
    </w:p>
    <w:p w14:paraId="762CB384" w14:textId="1A93D818" w:rsidR="003457B4" w:rsidRPr="00A608EE" w:rsidRDefault="00077477" w:rsidP="00EE208A">
      <w:pPr>
        <w:pStyle w:val="Heading2"/>
        <w:spacing w:before="0" w:line="240" w:lineRule="auto"/>
        <w:jc w:val="both"/>
      </w:pPr>
      <w:bookmarkStart w:id="78" w:name="_Toc230938804"/>
      <w:r w:rsidRPr="00A608EE">
        <w:lastRenderedPageBreak/>
        <w:t>Standard 4D. The provider secures client data and informs clients about their data rights</w:t>
      </w:r>
      <w:r w:rsidR="00C86418" w:rsidRPr="00A608EE">
        <w:t>.</w:t>
      </w:r>
      <w:bookmarkEnd w:id="78"/>
      <w:r w:rsidR="00C86418" w:rsidRPr="00A608EE">
        <w:t xml:space="preserve"> </w:t>
      </w:r>
    </w:p>
    <w:p w14:paraId="55BBCCF5" w14:textId="77777777" w:rsidR="003457B4" w:rsidRPr="00A608EE" w:rsidRDefault="003457B4" w:rsidP="00EE208A">
      <w:pPr>
        <w:jc w:val="both"/>
        <w:rPr>
          <w:rFonts w:asciiTheme="majorHAnsi" w:hAnsiTheme="majorHAnsi"/>
          <w:sz w:val="20"/>
          <w:szCs w:val="20"/>
        </w:rPr>
      </w:pPr>
    </w:p>
    <w:p w14:paraId="7EA44C7B" w14:textId="77777777" w:rsidR="00BF36E0" w:rsidRPr="00A608EE" w:rsidRDefault="00BF36E0" w:rsidP="00EE208A">
      <w:pPr>
        <w:jc w:val="both"/>
        <w:rPr>
          <w:rFonts w:asciiTheme="majorHAnsi" w:hAnsiTheme="majorHAnsi"/>
          <w:sz w:val="20"/>
          <w:szCs w:val="20"/>
          <w:lang w:eastAsia="fr-FR"/>
        </w:rPr>
      </w:pPr>
      <w:r w:rsidRPr="00A608EE">
        <w:rPr>
          <w:rFonts w:asciiTheme="majorHAnsi" w:hAnsiTheme="majorHAnsi"/>
          <w:sz w:val="20"/>
          <w:szCs w:val="20"/>
          <w:lang w:eastAsia="fr-FR"/>
        </w:rPr>
        <w:t>The privacy of individual client data is respected in accordance with the laws of individual jurisdictions as well as these international standards. Client data will only be used for the purposes specified at the time the information is collected from the client, or as permitted by law. Data security is a key component of confidentiality, especially in the digital age. The provider takes the necessary steps to ensure that client data is secure, including teaching staff and clients about the importance of data security and how to keep their information private.</w:t>
      </w:r>
    </w:p>
    <w:p w14:paraId="668C6F2A" w14:textId="77777777" w:rsidR="00BF36E0" w:rsidRPr="00A608EE" w:rsidRDefault="00BF36E0" w:rsidP="00EE208A">
      <w:pPr>
        <w:jc w:val="both"/>
        <w:rPr>
          <w:rFonts w:asciiTheme="majorHAnsi" w:hAnsiTheme="majorHAnsi"/>
          <w:sz w:val="20"/>
          <w:szCs w:val="20"/>
          <w:lang w:eastAsia="fr-FR"/>
        </w:rPr>
      </w:pPr>
    </w:p>
    <w:p w14:paraId="00170F50" w14:textId="77777777" w:rsidR="00BF36E0" w:rsidRPr="00A608EE" w:rsidRDefault="00BF36E0" w:rsidP="00EE208A">
      <w:pPr>
        <w:jc w:val="both"/>
        <w:rPr>
          <w:rFonts w:asciiTheme="majorHAnsi" w:hAnsiTheme="majorHAnsi"/>
          <w:sz w:val="20"/>
          <w:szCs w:val="20"/>
          <w:lang w:eastAsia="fr-FR"/>
        </w:rPr>
      </w:pPr>
      <w:r w:rsidRPr="00A608EE">
        <w:rPr>
          <w:rFonts w:asciiTheme="majorHAnsi" w:hAnsiTheme="majorHAnsi"/>
          <w:sz w:val="20"/>
          <w:szCs w:val="20"/>
          <w:lang w:eastAsia="fr-FR"/>
        </w:rPr>
        <w:t>This standard has 2 essential practices:</w:t>
      </w:r>
    </w:p>
    <w:p w14:paraId="0FB310A9" w14:textId="5133E9A4" w:rsidR="00BF36E0" w:rsidRPr="00A608EE" w:rsidRDefault="00BF36E0" w:rsidP="00A27AAA">
      <w:pPr>
        <w:numPr>
          <w:ilvl w:val="0"/>
          <w:numId w:val="270"/>
        </w:numPr>
        <w:jc w:val="both"/>
        <w:rPr>
          <w:rFonts w:asciiTheme="majorHAnsi" w:hAnsiTheme="majorHAnsi"/>
          <w:sz w:val="20"/>
          <w:szCs w:val="20"/>
          <w:lang w:eastAsia="fr-FR"/>
        </w:rPr>
      </w:pPr>
      <w:r w:rsidRPr="00A608EE">
        <w:rPr>
          <w:rFonts w:asciiTheme="majorHAnsi" w:hAnsiTheme="majorHAnsi"/>
          <w:sz w:val="20"/>
          <w:szCs w:val="20"/>
          <w:lang w:eastAsia="fr-FR"/>
        </w:rPr>
        <w:t>Essential practice 4.D.1: The provider maintains the security and confidentiality of client data.</w:t>
      </w:r>
    </w:p>
    <w:p w14:paraId="24585B7D" w14:textId="298E337F" w:rsidR="00614A6A" w:rsidRPr="00A608EE" w:rsidRDefault="00BF36E0" w:rsidP="00A27AAA">
      <w:pPr>
        <w:numPr>
          <w:ilvl w:val="0"/>
          <w:numId w:val="270"/>
        </w:numPr>
        <w:jc w:val="both"/>
        <w:rPr>
          <w:rFonts w:asciiTheme="majorHAnsi" w:hAnsiTheme="majorHAnsi"/>
          <w:sz w:val="20"/>
          <w:szCs w:val="20"/>
          <w:lang w:eastAsia="fr-FR"/>
        </w:rPr>
      </w:pPr>
      <w:r w:rsidRPr="00A608EE">
        <w:rPr>
          <w:rFonts w:asciiTheme="majorHAnsi" w:hAnsiTheme="majorHAnsi"/>
          <w:sz w:val="20"/>
          <w:szCs w:val="20"/>
          <w:lang w:eastAsia="fr-FR"/>
        </w:rPr>
        <w:t>Essential practice 4.D.2: The provider informs clients about data privacy and data rights.</w:t>
      </w:r>
    </w:p>
    <w:p w14:paraId="59280A91" w14:textId="77777777" w:rsidR="00BF36E0" w:rsidRPr="00A608EE" w:rsidRDefault="00BF36E0" w:rsidP="00EE208A">
      <w:pPr>
        <w:jc w:val="both"/>
        <w:rPr>
          <w:rFonts w:asciiTheme="majorHAnsi" w:hAnsiTheme="majorHAnsi"/>
          <w:szCs w:val="20"/>
        </w:rPr>
      </w:pPr>
    </w:p>
    <w:p w14:paraId="28BCFA4A" w14:textId="32283DFB" w:rsidR="003457B4" w:rsidRPr="00A608EE" w:rsidRDefault="003457B4" w:rsidP="00EE208A">
      <w:pPr>
        <w:pStyle w:val="Heading3"/>
        <w:spacing w:before="0" w:line="240" w:lineRule="auto"/>
        <w:jc w:val="both"/>
      </w:pPr>
      <w:bookmarkStart w:id="79" w:name="_Toc230938805"/>
      <w:r w:rsidRPr="00A608EE">
        <w:rPr>
          <w:rStyle w:val="text-primary"/>
        </w:rPr>
        <w:t>4.D.1</w:t>
      </w:r>
      <w:r w:rsidRPr="00A608EE">
        <w:t xml:space="preserve"> </w:t>
      </w:r>
      <w:r w:rsidR="00BF36E0" w:rsidRPr="00A608EE">
        <w:t>The provider maintains the security and confidentiality of client data</w:t>
      </w:r>
      <w:r w:rsidR="005040A7" w:rsidRPr="00A608EE">
        <w:t>.</w:t>
      </w:r>
      <w:bookmarkEnd w:id="79"/>
    </w:p>
    <w:p w14:paraId="692E227A" w14:textId="77777777" w:rsidR="003457B4" w:rsidRPr="00A608EE" w:rsidRDefault="003457B4" w:rsidP="00EE208A">
      <w:pPr>
        <w:jc w:val="both"/>
        <w:rPr>
          <w:rFonts w:asciiTheme="majorHAnsi" w:hAnsiTheme="majorHAnsi"/>
          <w:szCs w:val="20"/>
        </w:rPr>
      </w:pPr>
    </w:p>
    <w:p w14:paraId="3ED7BA66" w14:textId="77777777" w:rsidR="00BF36E0" w:rsidRPr="00A608EE" w:rsidRDefault="00BF36E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have a responsibility to protect the privacy and confidentiality of the personal and financial information of their clients. Misuse of data such as client photographs, account numbers, and personal identification documents can have devastating effects on clients. If working with third-party providers that have access to client data—for example, insurance providers, payments agents, marketing firms—they should specify that they will maintain the security and confidentiality of client data. Monitor whether third-party contractors are honoring their commitment to data confidentiality, for example by inquiring about the security of their systems, interviewing clients about their experiences regarding data security (e.g., “Did the agent ask you to sign this privacy agreement?”), and testing the agent’s process through mystery shopping.</w:t>
      </w:r>
    </w:p>
    <w:p w14:paraId="196352DF" w14:textId="77777777" w:rsidR="00BF36E0" w:rsidRPr="00A608EE" w:rsidRDefault="00BF36E0" w:rsidP="00EE208A">
      <w:pPr>
        <w:pStyle w:val="NormalWeb"/>
        <w:spacing w:before="0" w:beforeAutospacing="0" w:after="0" w:afterAutospacing="0"/>
        <w:jc w:val="both"/>
        <w:rPr>
          <w:rFonts w:asciiTheme="majorHAnsi" w:hAnsiTheme="majorHAnsi"/>
          <w:sz w:val="20"/>
          <w:szCs w:val="20"/>
        </w:rPr>
      </w:pPr>
    </w:p>
    <w:p w14:paraId="7516B617" w14:textId="350EF1E9" w:rsidR="00BF36E0" w:rsidRPr="00A608EE" w:rsidRDefault="00BF36E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process to safeguard data from misuse by former employees must be established like terminating the employee’s login credentials promptly at their departure, collecting all work equipment (laptop, building keys, etc.), wiping (erasing the information from) the employee’s personal devices (e.g., mobile phone) of company data, and other security precautions.</w:t>
      </w:r>
    </w:p>
    <w:p w14:paraId="1E581AF5" w14:textId="77777777" w:rsidR="00BF36E0" w:rsidRPr="00A608EE" w:rsidRDefault="00BF36E0" w:rsidP="00EE208A">
      <w:pPr>
        <w:pStyle w:val="NormalWeb"/>
        <w:spacing w:before="0" w:beforeAutospacing="0" w:after="0" w:afterAutospacing="0"/>
        <w:jc w:val="both"/>
        <w:rPr>
          <w:rFonts w:asciiTheme="majorHAnsi" w:hAnsiTheme="majorHAnsi"/>
          <w:sz w:val="20"/>
          <w:szCs w:val="20"/>
        </w:rPr>
      </w:pPr>
    </w:p>
    <w:p w14:paraId="035484CC" w14:textId="016F1A7F" w:rsidR="00BF36E0" w:rsidRPr="00A608EE" w:rsidRDefault="00BF36E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IT systems are also vulnerable to misuse calling for security measures to protect against unauthorized access to data—including passwords, access hierarchy, firewalls, and adequate software infrastructure. Change IT passwords periodically and structure access to data according to the position of the staff member accessing the data and their role. Additionally, back up IT systems daily, with at least one back-up stored securely off-site.</w:t>
      </w:r>
    </w:p>
    <w:p w14:paraId="5852494B" w14:textId="77777777" w:rsidR="00BF36E0" w:rsidRPr="00A608EE" w:rsidRDefault="00BF36E0" w:rsidP="00EE208A">
      <w:pPr>
        <w:pStyle w:val="NormalWeb"/>
        <w:spacing w:before="0" w:beforeAutospacing="0" w:after="0" w:afterAutospacing="0"/>
        <w:jc w:val="both"/>
        <w:rPr>
          <w:rFonts w:asciiTheme="majorHAnsi" w:hAnsiTheme="majorHAnsi"/>
          <w:sz w:val="20"/>
          <w:szCs w:val="20"/>
        </w:rPr>
      </w:pPr>
    </w:p>
    <w:p w14:paraId="5C774413" w14:textId="62FE7EC5" w:rsidR="00BF36E0" w:rsidRPr="00A608EE" w:rsidRDefault="00BF36E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FUBODE (Bolivia) has a specific room assigned within each branch to store clients’ physical documents. Each of these rooms has smoke detectors, professional cameras, motion sensors, and fire-resistant filing cabinets to store clients’ physical documents. The room restricts access to only one staff member per branch. Additionally, the FSP invested an average of US $3,500 per branch to install in each branch surveillance cameras and a panic button for each cashier as well as an alarm system monitored by a third-party central office.</w:t>
      </w:r>
    </w:p>
    <w:p w14:paraId="4792BA36" w14:textId="77777777" w:rsidR="00BF36E0" w:rsidRPr="00A608EE" w:rsidRDefault="00BF36E0" w:rsidP="00EE208A">
      <w:pPr>
        <w:pStyle w:val="NormalWeb"/>
        <w:spacing w:before="0" w:beforeAutospacing="0" w:after="0" w:afterAutospacing="0"/>
        <w:jc w:val="both"/>
        <w:rPr>
          <w:rFonts w:asciiTheme="majorHAnsi" w:hAnsiTheme="majorHAnsi"/>
          <w:sz w:val="20"/>
          <w:szCs w:val="20"/>
        </w:rPr>
      </w:pPr>
    </w:p>
    <w:p w14:paraId="667B6F0F" w14:textId="126F0154" w:rsidR="00BF36E0" w:rsidRPr="00A608EE" w:rsidRDefault="00BF36E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Information systems should ensure the security and privacy of client data by (1) restricting employees from taking home client files or copies of the databases, (2) keeping records of the names of staff who request and/or are granted permission to access client files outside of normal conditions (e.g., after working hours), (3) keeping hard-copy client files in a secure place, with controlled access. For example, FinDev’s (Azerbaijan) policy on data security states: “Loan contracts and copies of all other official documents regarding the client’s loan </w:t>
      </w:r>
      <w:r w:rsidRPr="00A608EE">
        <w:rPr>
          <w:rFonts w:asciiTheme="majorHAnsi" w:hAnsiTheme="majorHAnsi"/>
          <w:sz w:val="20"/>
          <w:szCs w:val="20"/>
        </w:rPr>
        <w:lastRenderedPageBreak/>
        <w:t>file are kept in iron cases in the room of finance manager. Other documents are kept in locked bookcases under supervision of respective loan officer.”</w:t>
      </w:r>
    </w:p>
    <w:p w14:paraId="5064AA5A" w14:textId="77777777" w:rsidR="00BF36E0" w:rsidRPr="00A608EE" w:rsidRDefault="00BF36E0" w:rsidP="00EE208A">
      <w:pPr>
        <w:pStyle w:val="NormalWeb"/>
        <w:spacing w:before="0" w:beforeAutospacing="0" w:after="0" w:afterAutospacing="0"/>
        <w:jc w:val="both"/>
        <w:rPr>
          <w:rFonts w:asciiTheme="majorHAnsi" w:hAnsiTheme="majorHAnsi"/>
          <w:sz w:val="20"/>
          <w:szCs w:val="20"/>
        </w:rPr>
      </w:pPr>
    </w:p>
    <w:p w14:paraId="28608158" w14:textId="1D8347C2" w:rsidR="00BF36E0" w:rsidRPr="00A608EE" w:rsidRDefault="00BF36E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Plan for how to keep data safe in case of unplanned network downtime or emergency. A business continuity plan that covers several of the most likely scenarios—such as a security breach, network overload and slow down, or a natural disaster that shuts down power and connectivity—will help keep information safe during unexpected events when data could become vulnerable. Policies and procedures as well as IT systems such as firewalls and passwords help build the system necessary to ensure the safety of the clients’ data.</w:t>
      </w:r>
    </w:p>
    <w:p w14:paraId="1A49D529" w14:textId="77777777" w:rsidR="00BF36E0" w:rsidRPr="00A608EE" w:rsidRDefault="00BF36E0" w:rsidP="00EE208A">
      <w:pPr>
        <w:pStyle w:val="NormalWeb"/>
        <w:spacing w:before="0" w:beforeAutospacing="0" w:after="0" w:afterAutospacing="0"/>
        <w:jc w:val="both"/>
        <w:rPr>
          <w:rFonts w:asciiTheme="majorHAnsi" w:hAnsiTheme="majorHAnsi"/>
          <w:sz w:val="20"/>
          <w:szCs w:val="20"/>
        </w:rPr>
      </w:pPr>
    </w:p>
    <w:p w14:paraId="194EE037" w14:textId="67D2BA81" w:rsidR="00BF36E0" w:rsidRPr="00A608EE" w:rsidRDefault="00BF36E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Finally, all product contracts should include a privacy clause that specifies how data will be used and protected. This clause should be included in plain language and prominently displayed in the contract—for example, not hidden in small print. it should also be included in the Key Facts Document. For savings products, it should be clear who has access to the client’s account; for credit products, clients should know whether their information will be shared with a credit bureau, or others, such as insurance companies or collections agents.</w:t>
      </w:r>
    </w:p>
    <w:p w14:paraId="07D833E4" w14:textId="77777777" w:rsidR="00AB296B" w:rsidRPr="00A608EE" w:rsidRDefault="00AB296B" w:rsidP="00EE208A">
      <w:pPr>
        <w:pStyle w:val="NormalWeb"/>
        <w:spacing w:before="0" w:beforeAutospacing="0" w:after="0" w:afterAutospacing="0"/>
        <w:jc w:val="both"/>
        <w:rPr>
          <w:rFonts w:asciiTheme="majorHAnsi" w:hAnsiTheme="majorHAnsi"/>
          <w:sz w:val="20"/>
          <w:szCs w:val="20"/>
        </w:rPr>
      </w:pPr>
    </w:p>
    <w:p w14:paraId="311ADADC" w14:textId="77777777" w:rsidR="00614A6A" w:rsidRPr="00A608EE" w:rsidRDefault="00614A6A" w:rsidP="00EE208A">
      <w:pPr>
        <w:pStyle w:val="NormalWeb"/>
        <w:spacing w:before="0" w:beforeAutospacing="0" w:after="0" w:afterAutospacing="0"/>
        <w:jc w:val="both"/>
        <w:rPr>
          <w:rFonts w:asciiTheme="majorHAnsi" w:hAnsiTheme="majorHAnsi"/>
          <w:sz w:val="20"/>
          <w:szCs w:val="20"/>
        </w:rPr>
      </w:pPr>
    </w:p>
    <w:p w14:paraId="5BE082E8" w14:textId="6E715F70" w:rsidR="003457B4" w:rsidRPr="00A608EE" w:rsidRDefault="003457B4" w:rsidP="00EE208A">
      <w:pPr>
        <w:pStyle w:val="Heading4"/>
        <w:spacing w:before="0" w:line="240" w:lineRule="auto"/>
        <w:jc w:val="both"/>
      </w:pPr>
      <w:r w:rsidRPr="00A608EE">
        <w:rPr>
          <w:rStyle w:val="text-primary"/>
        </w:rPr>
        <w:t>4.D.1.1</w:t>
      </w:r>
      <w:r w:rsidRPr="00A608EE">
        <w:t xml:space="preserve"> </w:t>
      </w:r>
      <w:r w:rsidR="00C6109C" w:rsidRPr="00A608EE">
        <w:t>The provider has data security and confidentiality policies that cover the gathering, use, distribution, storage, and retention of client information</w:t>
      </w:r>
      <w:r w:rsidR="005040A7" w:rsidRPr="00A608EE">
        <w:t>.</w:t>
      </w:r>
    </w:p>
    <w:p w14:paraId="16B9ACF4" w14:textId="77777777" w:rsidR="003457B4" w:rsidRPr="00A608EE" w:rsidRDefault="003457B4" w:rsidP="00EE208A">
      <w:pPr>
        <w:jc w:val="both"/>
        <w:rPr>
          <w:rFonts w:asciiTheme="majorHAnsi" w:hAnsiTheme="majorHAnsi"/>
          <w:szCs w:val="20"/>
        </w:rPr>
      </w:pPr>
    </w:p>
    <w:p w14:paraId="6103C754" w14:textId="35B11D73" w:rsidR="00614A6A" w:rsidRPr="00A608EE" w:rsidRDefault="004D1B76" w:rsidP="00EE208A">
      <w:pPr>
        <w:pStyle w:val="NormalWeb"/>
        <w:spacing w:before="0" w:beforeAutospacing="0" w:after="0" w:afterAutospacing="0"/>
        <w:jc w:val="both"/>
        <w:rPr>
          <w:rFonts w:asciiTheme="majorHAnsi" w:hAnsiTheme="majorHAnsi" w:cstheme="majorHAnsi"/>
          <w:b/>
          <w:bCs/>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614A6A" w:rsidRPr="00A608EE">
        <w:rPr>
          <w:rFonts w:asciiTheme="majorHAnsi" w:hAnsiTheme="majorHAnsi" w:cstheme="majorHAnsi"/>
          <w:b/>
          <w:bCs/>
          <w:color w:val="2145CC" w:themeColor="accent5" w:themeShade="BF"/>
          <w:sz w:val="20"/>
          <w:szCs w:val="20"/>
        </w:rPr>
        <w:t>SPI5 Full | CP Full</w:t>
      </w:r>
      <w:r w:rsidR="00614A6A" w:rsidRPr="00A608EE">
        <w:rPr>
          <w:rFonts w:asciiTheme="majorHAnsi" w:hAnsiTheme="majorHAnsi" w:cstheme="majorHAnsi"/>
          <w:b/>
          <w:bCs/>
          <w:sz w:val="20"/>
          <w:szCs w:val="20"/>
        </w:rPr>
        <w:t xml:space="preserve"> </w:t>
      </w:r>
      <w:r w:rsidR="004A48FF" w:rsidRPr="00A608EE">
        <w:rPr>
          <w:rFonts w:ascii="Work Sans" w:hAnsi="Work Sans"/>
          <w:b/>
          <w:bCs/>
          <w:color w:val="2145CC" w:themeColor="accent5" w:themeShade="BF"/>
          <w:sz w:val="20"/>
          <w:szCs w:val="20"/>
        </w:rPr>
        <w:t>| DI Focus</w:t>
      </w:r>
    </w:p>
    <w:p w14:paraId="742F98BF" w14:textId="10D11B36" w:rsidR="00614A6A" w:rsidRPr="00A608EE" w:rsidRDefault="007A189A" w:rsidP="00A02AC4">
      <w:pPr>
        <w:pStyle w:val="paragraph"/>
        <w:spacing w:before="120" w:beforeAutospacing="0" w:after="120" w:afterAutospacing="0"/>
        <w:jc w:val="both"/>
        <w:textAlignment w:val="baseline"/>
        <w:rPr>
          <w:rFonts w:asciiTheme="majorHAnsi" w:hAnsiTheme="majorHAnsi"/>
          <w:szCs w:val="20"/>
        </w:rPr>
      </w:pPr>
      <w:r w:rsidRPr="00A608EE">
        <w:rPr>
          <w:rFonts w:asciiTheme="majorHAnsi" w:hAnsiTheme="majorHAnsi"/>
          <w:sz w:val="20"/>
          <w:szCs w:val="20"/>
        </w:rPr>
        <w:t> </w:t>
      </w:r>
    </w:p>
    <w:p w14:paraId="45F044F1" w14:textId="13C72388" w:rsidR="007A189A" w:rsidRPr="00A608EE" w:rsidRDefault="00C6109C" w:rsidP="00EE208A">
      <w:pPr>
        <w:jc w:val="both"/>
        <w:rPr>
          <w:rFonts w:asciiTheme="majorHAnsi" w:hAnsiTheme="majorHAnsi"/>
          <w:sz w:val="20"/>
          <w:szCs w:val="20"/>
          <w:lang w:eastAsia="fr-FR"/>
        </w:rPr>
      </w:pPr>
      <w:r w:rsidRPr="00A608EE">
        <w:rPr>
          <w:rFonts w:asciiTheme="majorHAnsi" w:hAnsiTheme="majorHAnsi"/>
          <w:sz w:val="20"/>
          <w:szCs w:val="20"/>
          <w:lang w:eastAsia="fr-FR"/>
        </w:rPr>
        <w:t xml:space="preserve">Regardless of national regulation, providers should have a written privacy policy and procedures that govern the gathering, cleaning, processing, use, distribution, and storage of client information. The policy should explain how the privacy and confidentiality of client data is </w:t>
      </w:r>
      <w:r w:rsidR="003A06B6" w:rsidRPr="00A608EE">
        <w:rPr>
          <w:rFonts w:asciiTheme="majorHAnsi" w:hAnsiTheme="majorHAnsi"/>
          <w:sz w:val="20"/>
          <w:szCs w:val="20"/>
          <w:lang w:eastAsia="fr-FR"/>
        </w:rPr>
        <w:t>ensured.</w:t>
      </w:r>
      <w:r w:rsidRPr="00A608EE">
        <w:rPr>
          <w:rFonts w:asciiTheme="majorHAnsi" w:hAnsiTheme="majorHAnsi"/>
          <w:sz w:val="20"/>
          <w:szCs w:val="20"/>
          <w:lang w:eastAsia="fr-FR"/>
        </w:rPr>
        <w:t xml:space="preserve"> It should specify the sanctions or penalties that will apply to any staff - also those who leave the organization - that violate the privacy policy—for example by misusing or misappropriating client data, leaking information, or exposing client data to third parties without client consent.</w:t>
      </w:r>
    </w:p>
    <w:p w14:paraId="40C2E587" w14:textId="77777777" w:rsidR="00672763" w:rsidRPr="00A608EE" w:rsidRDefault="00672763" w:rsidP="00EE208A">
      <w:pPr>
        <w:jc w:val="both"/>
        <w:rPr>
          <w:rFonts w:asciiTheme="majorHAnsi" w:hAnsiTheme="majorHAnsi"/>
          <w:sz w:val="20"/>
          <w:szCs w:val="20"/>
          <w:lang w:eastAsia="fr-FR"/>
        </w:rPr>
      </w:pPr>
    </w:p>
    <w:p w14:paraId="69B0351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75328" behindDoc="1" locked="0" layoutInCell="1" allowOverlap="1" wp14:anchorId="27F19597" wp14:editId="220C15CA">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09758068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7367A19F" w14:textId="77777777" w:rsidR="00672763" w:rsidRPr="00A608EE" w:rsidRDefault="00672763" w:rsidP="00EE208A">
      <w:pPr>
        <w:jc w:val="both"/>
        <w:rPr>
          <w:rFonts w:asciiTheme="majorHAnsi" w:hAnsiTheme="majorHAnsi"/>
          <w:sz w:val="20"/>
          <w:szCs w:val="20"/>
          <w:lang w:eastAsia="fr-FR"/>
        </w:rPr>
      </w:pPr>
    </w:p>
    <w:p w14:paraId="0C315044" w14:textId="6163DDDA" w:rsidR="007A189A"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FF685E" w:rsidRPr="00A608EE">
        <w:rPr>
          <w:rFonts w:asciiTheme="majorHAnsi" w:hAnsiTheme="majorHAnsi"/>
          <w:sz w:val="20"/>
          <w:szCs w:val="20"/>
          <w:lang w:eastAsia="fr-FR"/>
        </w:rPr>
        <w:t>The provider's policies should include measures that enable clients with different types of impairments to access its products and services, prioritizing independent access, while mitigating risks to the client and safeguarding the security of the client's data.</w:t>
      </w:r>
    </w:p>
    <w:p w14:paraId="36CE922F" w14:textId="47B99A41" w:rsidR="005C2BFB" w:rsidRPr="00A608EE" w:rsidRDefault="005C6BBE" w:rsidP="00EE208A">
      <w:pPr>
        <w:jc w:val="both"/>
        <w:rPr>
          <w:rFonts w:asciiTheme="majorHAnsi" w:hAnsiTheme="majorHAnsi"/>
          <w:sz w:val="20"/>
          <w:szCs w:val="20"/>
          <w:lang w:eastAsia="fr-FR"/>
        </w:rPr>
      </w:pPr>
      <w:r w:rsidRPr="00A608EE">
        <w:rPr>
          <w:noProof/>
        </w:rPr>
        <w:lastRenderedPageBreak/>
        <mc:AlternateContent>
          <mc:Choice Requires="wps">
            <w:drawing>
              <wp:anchor distT="0" distB="0" distL="114300" distR="114300" simplePos="0" relativeHeight="251720704" behindDoc="0" locked="0" layoutInCell="1" allowOverlap="1" wp14:anchorId="1FB22CD0" wp14:editId="6939E4C4">
                <wp:simplePos x="0" y="0"/>
                <wp:positionH relativeFrom="column">
                  <wp:posOffset>-10795</wp:posOffset>
                </wp:positionH>
                <wp:positionV relativeFrom="paragraph">
                  <wp:posOffset>154305</wp:posOffset>
                </wp:positionV>
                <wp:extent cx="1828800" cy="7670800"/>
                <wp:effectExtent l="0" t="0" r="24130" b="25400"/>
                <wp:wrapSquare wrapText="bothSides"/>
                <wp:docPr id="4738738" name="Cuadro de texto 1"/>
                <wp:cNvGraphicFramePr/>
                <a:graphic xmlns:a="http://schemas.openxmlformats.org/drawingml/2006/main">
                  <a:graphicData uri="http://schemas.microsoft.com/office/word/2010/wordprocessingShape">
                    <wps:wsp>
                      <wps:cNvSpPr txBox="1"/>
                      <wps:spPr>
                        <a:xfrm>
                          <a:off x="0" y="0"/>
                          <a:ext cx="1828800" cy="7670800"/>
                        </a:xfrm>
                        <a:prstGeom prst="rect">
                          <a:avLst/>
                        </a:prstGeom>
                        <a:noFill/>
                        <a:ln w="6350">
                          <a:solidFill>
                            <a:prstClr val="black"/>
                          </a:solidFill>
                        </a:ln>
                      </wps:spPr>
                      <wps:txbx>
                        <w:txbxContent>
                          <w:p w14:paraId="111E8FB6" w14:textId="1F295AA6" w:rsidR="007A189A" w:rsidRPr="00820B09" w:rsidRDefault="00EB123D"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7A189A" w:rsidRPr="00820B09">
                              <w:rPr>
                                <w:rFonts w:asciiTheme="majorHAnsi" w:hAnsiTheme="majorHAnsi"/>
                                <w:b/>
                                <w:bCs/>
                                <w:sz w:val="20"/>
                                <w:szCs w:val="20"/>
                                <w:lang w:eastAsia="fr-FR"/>
                              </w:rPr>
                              <w:t>4.D.1.1</w:t>
                            </w:r>
                          </w:p>
                          <w:p w14:paraId="5C7BFC1B" w14:textId="77777777" w:rsidR="007A189A" w:rsidRPr="00820B09" w:rsidRDefault="007A189A" w:rsidP="00EE208A">
                            <w:pPr>
                              <w:jc w:val="both"/>
                              <w:rPr>
                                <w:rFonts w:asciiTheme="majorHAnsi" w:hAnsiTheme="majorHAnsi"/>
                                <w:sz w:val="20"/>
                                <w:szCs w:val="20"/>
                                <w:lang w:eastAsia="fr-FR"/>
                              </w:rPr>
                            </w:pPr>
                          </w:p>
                          <w:p w14:paraId="7FD3D3D2" w14:textId="77A98B82" w:rsidR="004C6843" w:rsidRPr="00820B09" w:rsidRDefault="004C6843" w:rsidP="007A189A">
                            <w:pPr>
                              <w:jc w:val="both"/>
                              <w:rPr>
                                <w:rFonts w:asciiTheme="majorHAnsi" w:hAnsiTheme="majorHAnsi"/>
                                <w:sz w:val="20"/>
                                <w:szCs w:val="20"/>
                                <w:lang w:eastAsia="fr-FR"/>
                              </w:rPr>
                            </w:pPr>
                            <w:r w:rsidRPr="00820B09">
                              <w:rPr>
                                <w:rFonts w:asciiTheme="majorHAnsi" w:hAnsiTheme="majorHAnsi"/>
                                <w:sz w:val="20"/>
                                <w:szCs w:val="20"/>
                                <w:lang w:eastAsia="fr-FR"/>
                              </w:rPr>
                              <w:t>Some p</w:t>
                            </w:r>
                            <w:r w:rsidR="005C2BFB" w:rsidRPr="00820B09">
                              <w:rPr>
                                <w:rFonts w:asciiTheme="majorHAnsi" w:hAnsiTheme="majorHAnsi"/>
                                <w:sz w:val="20"/>
                                <w:szCs w:val="20"/>
                                <w:lang w:eastAsia="fr-FR"/>
                              </w:rPr>
                              <w:t>ersons with disabilities,</w:t>
                            </w:r>
                            <w:r w:rsidR="006A0549" w:rsidRPr="00820B09">
                              <w:rPr>
                                <w:rFonts w:asciiTheme="majorHAnsi" w:hAnsiTheme="majorHAnsi"/>
                                <w:sz w:val="20"/>
                                <w:szCs w:val="20"/>
                                <w:lang w:eastAsia="fr-FR"/>
                              </w:rPr>
                              <w:t xml:space="preserve"> in particular </w:t>
                            </w:r>
                            <w:r w:rsidR="005C2BFB" w:rsidRPr="00820B09">
                              <w:rPr>
                                <w:rFonts w:asciiTheme="majorHAnsi" w:hAnsiTheme="majorHAnsi"/>
                                <w:sz w:val="20"/>
                                <w:szCs w:val="20"/>
                                <w:lang w:eastAsia="fr-FR"/>
                              </w:rPr>
                              <w:t>those with visual impairments or intellectual and psychosocial disabilities, may be</w:t>
                            </w:r>
                            <w:r w:rsidR="006A0549" w:rsidRPr="00820B09">
                              <w:rPr>
                                <w:rFonts w:asciiTheme="majorHAnsi" w:hAnsiTheme="majorHAnsi"/>
                                <w:sz w:val="20"/>
                                <w:szCs w:val="20"/>
                                <w:lang w:eastAsia="fr-FR"/>
                              </w:rPr>
                              <w:t xml:space="preserve"> forced to rely on third parties to access </w:t>
                            </w:r>
                            <w:r w:rsidRPr="00820B09">
                              <w:rPr>
                                <w:rFonts w:asciiTheme="majorHAnsi" w:hAnsiTheme="majorHAnsi"/>
                                <w:sz w:val="20"/>
                                <w:szCs w:val="20"/>
                                <w:lang w:eastAsia="fr-FR"/>
                              </w:rPr>
                              <w:t xml:space="preserve">or use </w:t>
                            </w:r>
                            <w:r w:rsidR="006A0549" w:rsidRPr="00820B09">
                              <w:rPr>
                                <w:rFonts w:asciiTheme="majorHAnsi" w:hAnsiTheme="majorHAnsi"/>
                                <w:sz w:val="20"/>
                                <w:szCs w:val="20"/>
                                <w:lang w:eastAsia="fr-FR"/>
                              </w:rPr>
                              <w:t xml:space="preserve">their accounts </w:t>
                            </w:r>
                            <w:r w:rsidRPr="00820B09">
                              <w:rPr>
                                <w:rFonts w:asciiTheme="majorHAnsi" w:hAnsiTheme="majorHAnsi"/>
                                <w:sz w:val="20"/>
                                <w:szCs w:val="20"/>
                                <w:lang w:eastAsia="fr-FR"/>
                              </w:rPr>
                              <w:t>due to inaccessible channels (</w:t>
                            </w:r>
                            <w:r w:rsidR="00773D3A" w:rsidRPr="00820B09">
                              <w:rPr>
                                <w:rFonts w:asciiTheme="majorHAnsi" w:hAnsiTheme="majorHAnsi"/>
                                <w:sz w:val="20"/>
                                <w:szCs w:val="20"/>
                                <w:lang w:eastAsia="fr-FR"/>
                              </w:rPr>
                              <w:t>e.g.</w:t>
                            </w:r>
                            <w:r w:rsidRPr="00820B09">
                              <w:rPr>
                                <w:rFonts w:asciiTheme="majorHAnsi" w:hAnsiTheme="majorHAnsi"/>
                                <w:sz w:val="20"/>
                                <w:szCs w:val="20"/>
                                <w:lang w:eastAsia="fr-FR"/>
                              </w:rPr>
                              <w:t xml:space="preserve"> ATMs and digital </w:t>
                            </w:r>
                            <w:r w:rsidR="00773D3A" w:rsidRPr="00820B09">
                              <w:rPr>
                                <w:rFonts w:asciiTheme="majorHAnsi" w:hAnsiTheme="majorHAnsi"/>
                                <w:sz w:val="20"/>
                                <w:szCs w:val="20"/>
                                <w:lang w:eastAsia="fr-FR"/>
                              </w:rPr>
                              <w:t>interfaces</w:t>
                            </w:r>
                            <w:r w:rsidRPr="00820B09">
                              <w:rPr>
                                <w:rFonts w:asciiTheme="majorHAnsi" w:hAnsiTheme="majorHAnsi"/>
                                <w:sz w:val="20"/>
                                <w:szCs w:val="20"/>
                                <w:lang w:eastAsia="fr-FR"/>
                              </w:rPr>
                              <w:t xml:space="preserve">) </w:t>
                            </w:r>
                            <w:r w:rsidR="00773D3A" w:rsidRPr="00820B09">
                              <w:rPr>
                                <w:rFonts w:asciiTheme="majorHAnsi" w:hAnsiTheme="majorHAnsi"/>
                                <w:sz w:val="20"/>
                                <w:szCs w:val="20"/>
                                <w:lang w:eastAsia="fr-FR"/>
                              </w:rPr>
                              <w:t>or</w:t>
                            </w:r>
                            <w:r w:rsidRPr="00820B09">
                              <w:rPr>
                                <w:rFonts w:asciiTheme="majorHAnsi" w:hAnsiTheme="majorHAnsi"/>
                                <w:sz w:val="20"/>
                                <w:szCs w:val="20"/>
                                <w:lang w:eastAsia="fr-FR"/>
                              </w:rPr>
                              <w:t xml:space="preserve"> a lack of alternative </w:t>
                            </w:r>
                            <w:r w:rsidR="004D5D34" w:rsidRPr="00820B09">
                              <w:rPr>
                                <w:rFonts w:asciiTheme="majorHAnsi" w:hAnsiTheme="majorHAnsi"/>
                                <w:sz w:val="20"/>
                                <w:szCs w:val="20"/>
                                <w:lang w:eastAsia="fr-FR"/>
                              </w:rPr>
                              <w:t xml:space="preserve">and accessible </w:t>
                            </w:r>
                            <w:r w:rsidRPr="00820B09">
                              <w:rPr>
                                <w:rFonts w:asciiTheme="majorHAnsi" w:hAnsiTheme="majorHAnsi"/>
                                <w:sz w:val="20"/>
                                <w:szCs w:val="20"/>
                                <w:lang w:eastAsia="fr-FR"/>
                              </w:rPr>
                              <w:t>authentication processes</w:t>
                            </w:r>
                            <w:r w:rsidR="004D5D34" w:rsidRPr="00820B09">
                              <w:rPr>
                                <w:rFonts w:asciiTheme="majorHAnsi" w:hAnsiTheme="majorHAnsi"/>
                                <w:sz w:val="20"/>
                                <w:szCs w:val="20"/>
                                <w:lang w:eastAsia="fr-FR"/>
                              </w:rPr>
                              <w:t>.</w:t>
                            </w:r>
                            <w:r w:rsidR="00773D3A" w:rsidRPr="00820B09">
                              <w:rPr>
                                <w:rFonts w:asciiTheme="majorHAnsi" w:hAnsiTheme="majorHAnsi"/>
                                <w:sz w:val="20"/>
                                <w:szCs w:val="20"/>
                                <w:lang w:eastAsia="fr-FR"/>
                              </w:rPr>
                              <w:t xml:space="preserve"> </w:t>
                            </w:r>
                            <w:r w:rsidR="004D5D34" w:rsidRPr="00820B09">
                              <w:rPr>
                                <w:rFonts w:asciiTheme="majorHAnsi" w:hAnsiTheme="majorHAnsi"/>
                                <w:sz w:val="20"/>
                                <w:szCs w:val="20"/>
                                <w:lang w:eastAsia="fr-FR"/>
                              </w:rPr>
                              <w:t xml:space="preserve">This compromises their data security, </w:t>
                            </w:r>
                            <w:r w:rsidR="00773D3A" w:rsidRPr="00820B09">
                              <w:rPr>
                                <w:rFonts w:asciiTheme="majorHAnsi" w:hAnsiTheme="majorHAnsi"/>
                                <w:sz w:val="20"/>
                                <w:szCs w:val="20"/>
                                <w:lang w:eastAsia="fr-FR"/>
                              </w:rPr>
                              <w:t>increasing their exposure to fraud.</w:t>
                            </w:r>
                            <w:r w:rsidRPr="00820B09">
                              <w:rPr>
                                <w:rFonts w:asciiTheme="majorHAnsi" w:hAnsiTheme="majorHAnsi"/>
                                <w:sz w:val="20"/>
                                <w:szCs w:val="20"/>
                                <w:lang w:eastAsia="fr-FR"/>
                              </w:rPr>
                              <w:t xml:space="preserve"> </w:t>
                            </w:r>
                          </w:p>
                          <w:p w14:paraId="17D247A3" w14:textId="77777777" w:rsidR="004C6843" w:rsidRPr="00820B09" w:rsidRDefault="004C6843" w:rsidP="007A189A">
                            <w:pPr>
                              <w:jc w:val="both"/>
                              <w:rPr>
                                <w:rFonts w:asciiTheme="majorHAnsi" w:hAnsiTheme="majorHAnsi"/>
                                <w:sz w:val="20"/>
                                <w:szCs w:val="20"/>
                                <w:lang w:eastAsia="fr-FR"/>
                              </w:rPr>
                            </w:pPr>
                          </w:p>
                          <w:p w14:paraId="03BC0D5F" w14:textId="28D1AF23" w:rsidR="005C2BFB" w:rsidRPr="00820B09" w:rsidRDefault="004C6843" w:rsidP="007A189A">
                            <w:pPr>
                              <w:jc w:val="both"/>
                              <w:rPr>
                                <w:rFonts w:asciiTheme="majorHAnsi" w:hAnsiTheme="majorHAnsi"/>
                                <w:sz w:val="20"/>
                                <w:szCs w:val="20"/>
                                <w:lang w:eastAsia="fr-FR"/>
                              </w:rPr>
                            </w:pPr>
                            <w:r w:rsidRPr="00820B09">
                              <w:rPr>
                                <w:rFonts w:asciiTheme="majorHAnsi" w:hAnsiTheme="majorHAnsi"/>
                                <w:sz w:val="20"/>
                                <w:szCs w:val="20"/>
                                <w:lang w:eastAsia="fr-FR"/>
                              </w:rPr>
                              <w:t>In some cases, providers</w:t>
                            </w:r>
                            <w:r w:rsidR="00773D3A" w:rsidRPr="00820B09">
                              <w:rPr>
                                <w:rFonts w:asciiTheme="majorHAnsi" w:hAnsiTheme="majorHAnsi"/>
                                <w:sz w:val="20"/>
                                <w:szCs w:val="20"/>
                                <w:lang w:eastAsia="fr-FR"/>
                              </w:rPr>
                              <w:t xml:space="preserve">’ </w:t>
                            </w:r>
                            <w:r w:rsidRPr="00820B09">
                              <w:rPr>
                                <w:rFonts w:asciiTheme="majorHAnsi" w:hAnsiTheme="majorHAnsi"/>
                                <w:sz w:val="20"/>
                                <w:szCs w:val="20"/>
                                <w:lang w:eastAsia="fr-FR"/>
                              </w:rPr>
                              <w:t>eligibility criteria exclude persons with disabilities from holding accounts, or require them to nominate a third party to access or use their accounts. Such policies, while often framed as client protection, are discriminatory, and do not recognize persons with disabilities’ legal capacity and rights to manage their own financial affairs, as articulated by the UN Convention on the Rights of Persons with Disabilities (UNCRPD</w:t>
                            </w:r>
                            <w:r w:rsidR="000B1BF4" w:rsidRPr="00820B09">
                              <w:rPr>
                                <w:rFonts w:asciiTheme="majorHAnsi" w:hAnsiTheme="majorHAnsi"/>
                                <w:sz w:val="20"/>
                                <w:szCs w:val="20"/>
                                <w:lang w:eastAsia="fr-FR"/>
                              </w:rPr>
                              <w:t>)</w:t>
                            </w:r>
                            <w:r w:rsidRPr="00820B09">
                              <w:rPr>
                                <w:rFonts w:asciiTheme="majorHAnsi" w:hAnsiTheme="majorHAnsi"/>
                                <w:sz w:val="20"/>
                                <w:szCs w:val="20"/>
                                <w:lang w:eastAsia="fr-FR"/>
                              </w:rPr>
                              <w:t xml:space="preserve">.   </w:t>
                            </w:r>
                            <w:r w:rsidR="006A0549" w:rsidRPr="00820B09">
                              <w:rPr>
                                <w:rFonts w:asciiTheme="majorHAnsi" w:hAnsiTheme="majorHAnsi"/>
                                <w:sz w:val="20"/>
                                <w:szCs w:val="20"/>
                                <w:lang w:eastAsia="fr-FR"/>
                              </w:rPr>
                              <w:t xml:space="preserve"> </w:t>
                            </w:r>
                            <w:r w:rsidR="005C2BFB" w:rsidRPr="00820B09">
                              <w:rPr>
                                <w:rFonts w:asciiTheme="majorHAnsi" w:hAnsiTheme="majorHAnsi"/>
                                <w:sz w:val="20"/>
                                <w:szCs w:val="20"/>
                                <w:lang w:eastAsia="fr-FR"/>
                              </w:rPr>
                              <w:t xml:space="preserve">  </w:t>
                            </w:r>
                          </w:p>
                          <w:p w14:paraId="4D235314" w14:textId="77777777" w:rsidR="005C2BFB" w:rsidRPr="00820B09" w:rsidRDefault="005C2BFB" w:rsidP="007A189A">
                            <w:pPr>
                              <w:jc w:val="both"/>
                              <w:rPr>
                                <w:rFonts w:asciiTheme="majorHAnsi" w:hAnsiTheme="majorHAnsi"/>
                                <w:sz w:val="20"/>
                                <w:szCs w:val="20"/>
                                <w:lang w:eastAsia="fr-FR"/>
                              </w:rPr>
                            </w:pPr>
                          </w:p>
                          <w:p w14:paraId="59D449A1" w14:textId="0CE02D94" w:rsidR="005C6BBE" w:rsidRPr="00820B09" w:rsidRDefault="004C6843" w:rsidP="007A189A">
                            <w:pPr>
                              <w:jc w:val="both"/>
                              <w:rPr>
                                <w:rFonts w:asciiTheme="majorHAnsi" w:hAnsiTheme="majorHAnsi"/>
                                <w:sz w:val="20"/>
                                <w:szCs w:val="20"/>
                                <w:lang w:eastAsia="fr-FR"/>
                              </w:rPr>
                            </w:pPr>
                            <w:r w:rsidRPr="00820B09">
                              <w:rPr>
                                <w:rFonts w:asciiTheme="majorHAnsi" w:hAnsiTheme="majorHAnsi"/>
                                <w:sz w:val="20"/>
                                <w:szCs w:val="20"/>
                                <w:lang w:eastAsia="fr-FR"/>
                              </w:rPr>
                              <w:t>Instead, t</w:t>
                            </w:r>
                            <w:r w:rsidR="007A189A" w:rsidRPr="00820B09">
                              <w:rPr>
                                <w:rFonts w:asciiTheme="majorHAnsi" w:hAnsiTheme="majorHAnsi"/>
                                <w:sz w:val="20"/>
                                <w:szCs w:val="20"/>
                                <w:lang w:eastAsia="fr-FR"/>
                              </w:rPr>
                              <w:t xml:space="preserve">he provider should  </w:t>
                            </w:r>
                            <w:r w:rsidR="00773D3A" w:rsidRPr="00820B09">
                              <w:rPr>
                                <w:rFonts w:asciiTheme="majorHAnsi" w:hAnsiTheme="majorHAnsi"/>
                                <w:sz w:val="20"/>
                                <w:szCs w:val="20"/>
                                <w:lang w:eastAsia="fr-FR"/>
                              </w:rPr>
                              <w:t xml:space="preserve">prioritize </w:t>
                            </w:r>
                            <w:r w:rsidR="007A189A" w:rsidRPr="00820B09">
                              <w:rPr>
                                <w:rFonts w:asciiTheme="majorHAnsi" w:hAnsiTheme="majorHAnsi"/>
                                <w:sz w:val="20"/>
                                <w:szCs w:val="20"/>
                                <w:lang w:eastAsia="fr-FR"/>
                              </w:rPr>
                              <w:t>enabl</w:t>
                            </w:r>
                            <w:r w:rsidR="00773D3A" w:rsidRPr="00820B09">
                              <w:rPr>
                                <w:rFonts w:asciiTheme="majorHAnsi" w:hAnsiTheme="majorHAnsi"/>
                                <w:sz w:val="20"/>
                                <w:szCs w:val="20"/>
                                <w:lang w:eastAsia="fr-FR"/>
                              </w:rPr>
                              <w:t>ing</w:t>
                            </w:r>
                            <w:r w:rsidR="007A189A" w:rsidRPr="00820B09">
                              <w:rPr>
                                <w:rFonts w:asciiTheme="majorHAnsi" w:hAnsiTheme="majorHAnsi"/>
                                <w:sz w:val="20"/>
                                <w:szCs w:val="20"/>
                                <w:lang w:eastAsia="fr-FR"/>
                              </w:rPr>
                              <w:t xml:space="preserve"> clients with disabilities to </w:t>
                            </w:r>
                            <w:r w:rsidRPr="00820B09">
                              <w:rPr>
                                <w:rFonts w:asciiTheme="majorHAnsi" w:hAnsiTheme="majorHAnsi"/>
                                <w:sz w:val="20"/>
                                <w:szCs w:val="20"/>
                                <w:lang w:eastAsia="fr-FR"/>
                              </w:rPr>
                              <w:t xml:space="preserve">open and </w:t>
                            </w:r>
                            <w:r w:rsidR="007A189A" w:rsidRPr="00820B09">
                              <w:rPr>
                                <w:rFonts w:asciiTheme="majorHAnsi" w:hAnsiTheme="majorHAnsi"/>
                                <w:sz w:val="20"/>
                                <w:szCs w:val="20"/>
                                <w:lang w:eastAsia="fr-FR"/>
                              </w:rPr>
                              <w:t xml:space="preserve">access </w:t>
                            </w:r>
                            <w:r w:rsidRPr="00820B09">
                              <w:rPr>
                                <w:rFonts w:asciiTheme="majorHAnsi" w:hAnsiTheme="majorHAnsi"/>
                                <w:sz w:val="20"/>
                                <w:szCs w:val="20"/>
                                <w:lang w:eastAsia="fr-FR"/>
                              </w:rPr>
                              <w:t>financial products and services</w:t>
                            </w:r>
                            <w:r w:rsidR="00773D3A" w:rsidRPr="00820B09">
                              <w:rPr>
                                <w:rFonts w:asciiTheme="majorHAnsi" w:hAnsiTheme="majorHAnsi"/>
                                <w:sz w:val="20"/>
                                <w:szCs w:val="20"/>
                                <w:lang w:eastAsia="fr-FR"/>
                              </w:rPr>
                              <w:t xml:space="preserve">  independently and safely</w:t>
                            </w:r>
                            <w:r w:rsidR="007A189A" w:rsidRPr="00820B09">
                              <w:rPr>
                                <w:rFonts w:asciiTheme="majorHAnsi" w:hAnsiTheme="majorHAnsi"/>
                                <w:sz w:val="20"/>
                                <w:szCs w:val="20"/>
                                <w:lang w:eastAsia="fr-FR"/>
                              </w:rPr>
                              <w:t xml:space="preserve">, without third party assistance wherever possible, </w:t>
                            </w:r>
                            <w:r w:rsidR="00773D3A" w:rsidRPr="00820B09">
                              <w:rPr>
                                <w:rFonts w:asciiTheme="majorHAnsi" w:hAnsiTheme="majorHAnsi"/>
                                <w:sz w:val="20"/>
                                <w:szCs w:val="20"/>
                                <w:lang w:eastAsia="fr-FR"/>
                              </w:rPr>
                              <w:t>recognizing</w:t>
                            </w:r>
                            <w:r w:rsidR="007A189A"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their </w:t>
                            </w:r>
                            <w:r w:rsidR="007A189A" w:rsidRPr="00820B09">
                              <w:rPr>
                                <w:rFonts w:asciiTheme="majorHAnsi" w:hAnsiTheme="majorHAnsi"/>
                                <w:sz w:val="20"/>
                                <w:szCs w:val="20"/>
                                <w:lang w:eastAsia="fr-FR"/>
                              </w:rPr>
                              <w:t>dignity</w:t>
                            </w:r>
                            <w:r w:rsidR="00773D3A" w:rsidRPr="00820B09">
                              <w:rPr>
                                <w:rFonts w:asciiTheme="majorHAnsi" w:hAnsiTheme="majorHAnsi"/>
                                <w:sz w:val="20"/>
                                <w:szCs w:val="20"/>
                                <w:lang w:eastAsia="fr-FR"/>
                              </w:rPr>
                              <w:t xml:space="preserve">, </w:t>
                            </w:r>
                            <w:r w:rsidR="007A189A" w:rsidRPr="00820B09">
                              <w:rPr>
                                <w:rFonts w:asciiTheme="majorHAnsi" w:hAnsiTheme="majorHAnsi"/>
                                <w:sz w:val="20"/>
                                <w:szCs w:val="20"/>
                                <w:lang w:eastAsia="fr-FR"/>
                              </w:rPr>
                              <w:t xml:space="preserve">autonomy </w:t>
                            </w:r>
                            <w:r w:rsidR="00773D3A" w:rsidRPr="00820B09">
                              <w:rPr>
                                <w:rFonts w:asciiTheme="majorHAnsi" w:hAnsiTheme="majorHAnsi"/>
                                <w:sz w:val="20"/>
                                <w:szCs w:val="20"/>
                                <w:lang w:eastAsia="fr-FR"/>
                              </w:rPr>
                              <w:t xml:space="preserve">and </w:t>
                            </w:r>
                            <w:r w:rsidR="007A189A" w:rsidRPr="00820B09">
                              <w:rPr>
                                <w:rFonts w:asciiTheme="majorHAnsi" w:hAnsiTheme="majorHAnsi"/>
                                <w:sz w:val="20"/>
                                <w:szCs w:val="20"/>
                                <w:lang w:eastAsia="fr-FR"/>
                              </w:rPr>
                              <w:t>capability</w:t>
                            </w:r>
                            <w:r w:rsidR="00773D3A" w:rsidRPr="00820B09">
                              <w:rPr>
                                <w:rFonts w:asciiTheme="majorHAnsi" w:hAnsiTheme="majorHAnsi"/>
                                <w:sz w:val="20"/>
                                <w:szCs w:val="20"/>
                                <w:lang w:eastAsia="fr-FR"/>
                              </w:rPr>
                              <w:t>, while taking measures to mitigate risks</w:t>
                            </w:r>
                            <w:r w:rsidR="007A189A" w:rsidRPr="00820B09">
                              <w:rPr>
                                <w:rFonts w:asciiTheme="majorHAnsi" w:hAnsiTheme="majorHAnsi"/>
                                <w:sz w:val="20"/>
                                <w:szCs w:val="20"/>
                                <w:lang w:eastAsia="fr-FR"/>
                              </w:rPr>
                              <w:t xml:space="preserve">. </w:t>
                            </w:r>
                          </w:p>
                          <w:p w14:paraId="6369F863" w14:textId="77777777" w:rsidR="000B1BF4" w:rsidRPr="00820B09" w:rsidRDefault="000B1BF4" w:rsidP="007A189A">
                            <w:pPr>
                              <w:jc w:val="both"/>
                              <w:rPr>
                                <w:rFonts w:asciiTheme="majorHAnsi" w:hAnsiTheme="majorHAnsi"/>
                                <w:sz w:val="20"/>
                                <w:szCs w:val="20"/>
                                <w:lang w:eastAsia="fr-FR"/>
                              </w:rPr>
                            </w:pPr>
                          </w:p>
                          <w:p w14:paraId="02A87A77" w14:textId="50386E90" w:rsidR="000B1BF4" w:rsidRPr="00820B09" w:rsidRDefault="000B1BF4" w:rsidP="000B1BF4">
                            <w:pPr>
                              <w:jc w:val="both"/>
                              <w:rPr>
                                <w:rFonts w:asciiTheme="majorHAnsi" w:hAnsiTheme="majorHAnsi"/>
                                <w:sz w:val="20"/>
                                <w:szCs w:val="20"/>
                                <w:lang w:eastAsia="fr-FR"/>
                              </w:rPr>
                            </w:pPr>
                            <w:r w:rsidRPr="00820B09">
                              <w:rPr>
                                <w:rFonts w:asciiTheme="majorHAnsi" w:hAnsiTheme="majorHAnsi"/>
                                <w:sz w:val="20"/>
                                <w:szCs w:val="20"/>
                                <w:lang w:eastAsia="fr-FR"/>
                              </w:rPr>
                              <w:t xml:space="preserve">To enable clients with different types of impairments to access and use products and services </w:t>
                            </w:r>
                            <w:r w:rsidR="00773D3A" w:rsidRPr="00820B09">
                              <w:rPr>
                                <w:rFonts w:asciiTheme="majorHAnsi" w:hAnsiTheme="majorHAnsi"/>
                                <w:sz w:val="20"/>
                                <w:szCs w:val="20"/>
                                <w:lang w:eastAsia="fr-FR"/>
                              </w:rPr>
                              <w:t>autonomously</w:t>
                            </w:r>
                            <w:r w:rsidRPr="00820B09">
                              <w:rPr>
                                <w:rFonts w:asciiTheme="majorHAnsi" w:hAnsiTheme="majorHAnsi"/>
                                <w:sz w:val="20"/>
                                <w:szCs w:val="20"/>
                                <w:lang w:eastAsia="fr-FR"/>
                              </w:rPr>
                              <w:t xml:space="preserve">, improve the accessibility of channels, user interfaces, information and communications, and provide alternative mechanisms for identification, authentication and verification (see indicator 4.B.2.2). Provide accessible training for clients with disabilities on measures they can take to keep their data and confidential account information secure.  </w:t>
                            </w:r>
                          </w:p>
                          <w:p w14:paraId="6A3B94DF" w14:textId="77777777" w:rsidR="005C6BBE" w:rsidRPr="00820B09" w:rsidRDefault="005C6BBE" w:rsidP="007A189A">
                            <w:pPr>
                              <w:jc w:val="both"/>
                              <w:rPr>
                                <w:rFonts w:asciiTheme="majorHAnsi" w:hAnsiTheme="majorHAnsi"/>
                                <w:sz w:val="20"/>
                                <w:szCs w:val="20"/>
                                <w:lang w:eastAsia="fr-FR"/>
                              </w:rPr>
                            </w:pPr>
                          </w:p>
                          <w:p w14:paraId="1C979FE2" w14:textId="17297113" w:rsidR="007A189A" w:rsidRPr="00820B09" w:rsidRDefault="005C6BBE" w:rsidP="007A189A">
                            <w:pPr>
                              <w:jc w:val="both"/>
                              <w:rPr>
                                <w:rFonts w:asciiTheme="majorHAnsi" w:hAnsiTheme="majorHAnsi"/>
                                <w:sz w:val="20"/>
                                <w:szCs w:val="20"/>
                                <w:lang w:eastAsia="fr-FR"/>
                              </w:rPr>
                            </w:pPr>
                            <w:r w:rsidRPr="00820B09">
                              <w:rPr>
                                <w:rFonts w:asciiTheme="majorHAnsi" w:hAnsiTheme="majorHAnsi"/>
                                <w:sz w:val="20"/>
                                <w:szCs w:val="20"/>
                                <w:lang w:eastAsia="fr-FR"/>
                              </w:rPr>
                              <w:t xml:space="preserve">The provider’s policies should enable supported decision-making practices, which allow clients with disabilities to nominate a trusted support person to help them with decision-making, while making it clear that the client remains the primary decision-maker, recognizing their autonomy, will and preferences. </w:t>
                            </w:r>
                            <w:r w:rsidR="007A189A" w:rsidRPr="00820B09">
                              <w:rPr>
                                <w:rFonts w:asciiTheme="majorHAnsi" w:hAnsiTheme="majorHAnsi"/>
                                <w:sz w:val="20"/>
                                <w:szCs w:val="20"/>
                                <w:lang w:eastAsia="fr-FR"/>
                              </w:rPr>
                              <w:t xml:space="preserve">Where a client with disabilities requests </w:t>
                            </w:r>
                            <w:r w:rsidR="004C6843" w:rsidRPr="00820B09">
                              <w:rPr>
                                <w:rFonts w:asciiTheme="majorHAnsi" w:hAnsiTheme="majorHAnsi"/>
                                <w:sz w:val="20"/>
                                <w:szCs w:val="20"/>
                                <w:lang w:eastAsia="fr-FR"/>
                              </w:rPr>
                              <w:t xml:space="preserve">supported </w:t>
                            </w:r>
                            <w:r w:rsidRPr="00820B09">
                              <w:rPr>
                                <w:rFonts w:asciiTheme="majorHAnsi" w:hAnsiTheme="majorHAnsi"/>
                                <w:sz w:val="20"/>
                                <w:szCs w:val="20"/>
                                <w:lang w:eastAsia="fr-FR"/>
                              </w:rPr>
                              <w:t>access</w:t>
                            </w:r>
                            <w:r w:rsidR="004C6843"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by requesting </w:t>
                            </w:r>
                            <w:r w:rsidR="007A189A" w:rsidRPr="00820B09">
                              <w:rPr>
                                <w:rFonts w:asciiTheme="majorHAnsi" w:hAnsiTheme="majorHAnsi"/>
                                <w:sz w:val="20"/>
                                <w:szCs w:val="20"/>
                                <w:lang w:eastAsia="fr-FR"/>
                              </w:rPr>
                              <w:t>a named, trusted third-party to assist them to access their accounts (e.g., a family member,</w:t>
                            </w:r>
                            <w:r w:rsidRPr="00820B09">
                              <w:rPr>
                                <w:rFonts w:asciiTheme="majorHAnsi" w:hAnsiTheme="majorHAnsi"/>
                                <w:sz w:val="20"/>
                                <w:szCs w:val="20"/>
                                <w:lang w:eastAsia="fr-FR"/>
                              </w:rPr>
                              <w:t xml:space="preserve"> caregiver or</w:t>
                            </w:r>
                            <w:r w:rsidR="007A189A" w:rsidRPr="00820B09">
                              <w:rPr>
                                <w:rFonts w:asciiTheme="majorHAnsi" w:hAnsiTheme="majorHAnsi"/>
                                <w:sz w:val="20"/>
                                <w:szCs w:val="20"/>
                                <w:lang w:eastAsia="fr-FR"/>
                              </w:rPr>
                              <w:t xml:space="preserve"> support person), the provider's policies should include measures to accommodate this request</w:t>
                            </w:r>
                            <w:r w:rsidRPr="00820B09">
                              <w:rPr>
                                <w:rFonts w:asciiTheme="majorHAnsi" w:hAnsiTheme="majorHAnsi"/>
                                <w:sz w:val="20"/>
                                <w:szCs w:val="20"/>
                                <w:lang w:eastAsia="fr-FR"/>
                              </w:rPr>
                              <w:t>,</w:t>
                            </w:r>
                            <w:r w:rsidR="007A189A" w:rsidRPr="00820B09">
                              <w:rPr>
                                <w:rFonts w:asciiTheme="majorHAnsi" w:hAnsiTheme="majorHAnsi"/>
                                <w:sz w:val="20"/>
                                <w:szCs w:val="20"/>
                                <w:lang w:eastAsia="fr-FR"/>
                              </w:rPr>
                              <w:t xml:space="preserve"> specifying clear safeguards against fraud and financial abuse</w:t>
                            </w:r>
                            <w:r w:rsidRPr="00820B09">
                              <w:rPr>
                                <w:rFonts w:asciiTheme="majorHAnsi" w:hAnsiTheme="majorHAnsi"/>
                                <w:sz w:val="20"/>
                                <w:szCs w:val="20"/>
                                <w:lang w:eastAsia="fr-FR"/>
                              </w:rPr>
                              <w:t>. These arrangements are different from policies that force clients with disabilities to involve third parties in managing their finances, or impose substitute decision-making mechanisms, where a third party takes decisions in place of the client.</w:t>
                            </w:r>
                          </w:p>
                          <w:p w14:paraId="7123E1A3" w14:textId="77777777" w:rsidR="000B1BF4" w:rsidRPr="00820B09" w:rsidRDefault="000B1BF4" w:rsidP="000B1BF4">
                            <w:pPr>
                              <w:jc w:val="both"/>
                              <w:rPr>
                                <w:rFonts w:asciiTheme="majorHAnsi" w:hAnsiTheme="majorHAnsi"/>
                                <w:sz w:val="20"/>
                                <w:szCs w:val="20"/>
                                <w:lang w:eastAsia="fr-FR"/>
                              </w:rPr>
                            </w:pPr>
                          </w:p>
                          <w:p w14:paraId="738B90DD" w14:textId="5CCB8D78" w:rsidR="000B1BF4" w:rsidRPr="00820B09" w:rsidRDefault="000B1BF4" w:rsidP="007A189A">
                            <w:pPr>
                              <w:jc w:val="both"/>
                              <w:rPr>
                                <w:rFonts w:asciiTheme="majorHAnsi" w:hAnsiTheme="majorHAnsi"/>
                                <w:sz w:val="20"/>
                                <w:szCs w:val="20"/>
                                <w:lang w:eastAsia="fr-FR"/>
                              </w:rPr>
                            </w:pPr>
                            <w:r w:rsidRPr="00820B09">
                              <w:rPr>
                                <w:rFonts w:asciiTheme="majorHAnsi" w:hAnsiTheme="majorHAnsi"/>
                                <w:sz w:val="20"/>
                                <w:szCs w:val="20"/>
                                <w:lang w:eastAsia="fr-FR"/>
                              </w:rPr>
                              <w:t>Provide products which are easy to understand and use for all clients including entry level savings and transaction accounts, and offer optional product features that help clients to manage their accounts, make more informed decisions, and reduce the risk of fraud or transaction errors. For example, SIBSTAR, a UK debit card and mobile application developed by Mastercard and the Alzheimer’s Society, is designed to help persons with dementia to manage their day-to-day spending independently and safely, with optional limits on cash withdrawals or daily / monthly spending, real time transaction notifications, and the ability to invite a support person to help them manage their account on an app.</w:t>
                            </w:r>
                          </w:p>
                          <w:p w14:paraId="651B2374" w14:textId="77777777" w:rsidR="005C6BBE" w:rsidRPr="00820B09" w:rsidRDefault="005C6BBE" w:rsidP="007A189A">
                            <w:pPr>
                              <w:jc w:val="both"/>
                              <w:rPr>
                                <w:rFonts w:asciiTheme="majorHAnsi" w:hAnsiTheme="majorHAnsi"/>
                                <w:sz w:val="20"/>
                                <w:szCs w:val="20"/>
                                <w:lang w:eastAsia="fr-FR"/>
                              </w:rPr>
                            </w:pPr>
                          </w:p>
                          <w:p w14:paraId="55E45F8E" w14:textId="5F46DB56" w:rsidR="001A42F0" w:rsidRPr="00820B09" w:rsidRDefault="001A42F0" w:rsidP="007A189A">
                            <w:pPr>
                              <w:jc w:val="both"/>
                              <w:rPr>
                                <w:rFonts w:asciiTheme="majorHAnsi" w:hAnsiTheme="majorHAnsi"/>
                                <w:sz w:val="20"/>
                                <w:szCs w:val="20"/>
                                <w:lang w:eastAsia="fr-FR"/>
                              </w:rPr>
                            </w:pPr>
                            <w:r w:rsidRPr="00820B09">
                              <w:rPr>
                                <w:rFonts w:asciiTheme="majorHAnsi" w:hAnsiTheme="majorHAnsi"/>
                                <w:sz w:val="20"/>
                                <w:szCs w:val="20"/>
                                <w:lang w:eastAsia="fr-FR"/>
                              </w:rPr>
                              <w:t xml:space="preserve">See resources for this indicator for examples </w:t>
                            </w:r>
                            <w:r w:rsidR="00F61C66" w:rsidRPr="00820B09">
                              <w:rPr>
                                <w:rFonts w:asciiTheme="majorHAnsi" w:hAnsiTheme="majorHAnsi"/>
                                <w:sz w:val="20"/>
                                <w:szCs w:val="20"/>
                                <w:lang w:eastAsia="fr-FR"/>
                              </w:rPr>
                              <w:t>and resources. BFFI</w:t>
                            </w:r>
                            <w:r w:rsidR="00907EF8" w:rsidRPr="00820B09">
                              <w:rPr>
                                <w:rFonts w:asciiTheme="majorHAnsi" w:hAnsiTheme="majorHAnsi"/>
                                <w:sz w:val="20"/>
                                <w:szCs w:val="20"/>
                                <w:lang w:eastAsia="fr-FR"/>
                              </w:rPr>
                              <w:t>’s</w:t>
                            </w:r>
                            <w:r w:rsidR="00F61C66" w:rsidRPr="00820B09">
                              <w:rPr>
                                <w:rFonts w:asciiTheme="majorHAnsi" w:hAnsiTheme="majorHAnsi"/>
                                <w:sz w:val="20"/>
                                <w:szCs w:val="20"/>
                                <w:lang w:eastAsia="fr-FR"/>
                              </w:rPr>
                              <w:t xml:space="preserve"> Disability Inclusion Guide for FSPs provides further information about equitable access to financial products and services for persons with disabilities and risk mitigation measures.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B22CD0" id="_x0000_s1059" type="#_x0000_t202" style="position:absolute;left:0;text-align:left;margin-left:-.85pt;margin-top:12.15pt;width:2in;height:604pt;z-index:2517207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" filled="f" strokeweight=".5pt">
                <v:textbox>
                  <w:txbxContent>
                    <w:p w14:paraId="111E8FB6" w14:textId="1F295AA6" w:rsidR="007A189A" w:rsidRPr="00820B09" w:rsidRDefault="00EB123D"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7A189A" w:rsidRPr="00820B09">
                        <w:rPr>
                          <w:rFonts w:asciiTheme="majorHAnsi" w:hAnsiTheme="majorHAnsi"/>
                          <w:b/>
                          <w:bCs/>
                          <w:sz w:val="20"/>
                          <w:szCs w:val="20"/>
                          <w:lang w:eastAsia="fr-FR"/>
                        </w:rPr>
                        <w:t>4.D.1.1</w:t>
                      </w:r>
                    </w:p>
                    <w:p w14:paraId="5C7BFC1B" w14:textId="77777777" w:rsidR="007A189A" w:rsidRPr="00820B09" w:rsidRDefault="007A189A" w:rsidP="00EE208A">
                      <w:pPr>
                        <w:jc w:val="both"/>
                        <w:rPr>
                          <w:rFonts w:asciiTheme="majorHAnsi" w:hAnsiTheme="majorHAnsi"/>
                          <w:sz w:val="20"/>
                          <w:szCs w:val="20"/>
                          <w:lang w:eastAsia="fr-FR"/>
                        </w:rPr>
                      </w:pPr>
                    </w:p>
                    <w:p w14:paraId="7FD3D3D2" w14:textId="77A98B82" w:rsidR="004C6843" w:rsidRPr="00820B09" w:rsidRDefault="004C6843" w:rsidP="007A189A">
                      <w:pPr>
                        <w:jc w:val="both"/>
                        <w:rPr>
                          <w:rFonts w:asciiTheme="majorHAnsi" w:hAnsiTheme="majorHAnsi"/>
                          <w:sz w:val="20"/>
                          <w:szCs w:val="20"/>
                          <w:lang w:eastAsia="fr-FR"/>
                        </w:rPr>
                      </w:pPr>
                      <w:r w:rsidRPr="00820B09">
                        <w:rPr>
                          <w:rFonts w:asciiTheme="majorHAnsi" w:hAnsiTheme="majorHAnsi"/>
                          <w:sz w:val="20"/>
                          <w:szCs w:val="20"/>
                          <w:lang w:eastAsia="fr-FR"/>
                        </w:rPr>
                        <w:t>Some p</w:t>
                      </w:r>
                      <w:r w:rsidR="005C2BFB" w:rsidRPr="00820B09">
                        <w:rPr>
                          <w:rFonts w:asciiTheme="majorHAnsi" w:hAnsiTheme="majorHAnsi"/>
                          <w:sz w:val="20"/>
                          <w:szCs w:val="20"/>
                          <w:lang w:eastAsia="fr-FR"/>
                        </w:rPr>
                        <w:t>ersons with disabilities,</w:t>
                      </w:r>
                      <w:r w:rsidR="006A0549" w:rsidRPr="00820B09">
                        <w:rPr>
                          <w:rFonts w:asciiTheme="majorHAnsi" w:hAnsiTheme="majorHAnsi"/>
                          <w:sz w:val="20"/>
                          <w:szCs w:val="20"/>
                          <w:lang w:eastAsia="fr-FR"/>
                        </w:rPr>
                        <w:t xml:space="preserve"> in particular </w:t>
                      </w:r>
                      <w:r w:rsidR="005C2BFB" w:rsidRPr="00820B09">
                        <w:rPr>
                          <w:rFonts w:asciiTheme="majorHAnsi" w:hAnsiTheme="majorHAnsi"/>
                          <w:sz w:val="20"/>
                          <w:szCs w:val="20"/>
                          <w:lang w:eastAsia="fr-FR"/>
                        </w:rPr>
                        <w:t>those with visual impairments or intellectual and psychosocial disabilities, may be</w:t>
                      </w:r>
                      <w:r w:rsidR="006A0549" w:rsidRPr="00820B09">
                        <w:rPr>
                          <w:rFonts w:asciiTheme="majorHAnsi" w:hAnsiTheme="majorHAnsi"/>
                          <w:sz w:val="20"/>
                          <w:szCs w:val="20"/>
                          <w:lang w:eastAsia="fr-FR"/>
                        </w:rPr>
                        <w:t xml:space="preserve"> forced to rely on third parties to access </w:t>
                      </w:r>
                      <w:r w:rsidRPr="00820B09">
                        <w:rPr>
                          <w:rFonts w:asciiTheme="majorHAnsi" w:hAnsiTheme="majorHAnsi"/>
                          <w:sz w:val="20"/>
                          <w:szCs w:val="20"/>
                          <w:lang w:eastAsia="fr-FR"/>
                        </w:rPr>
                        <w:t xml:space="preserve">or use </w:t>
                      </w:r>
                      <w:r w:rsidR="006A0549" w:rsidRPr="00820B09">
                        <w:rPr>
                          <w:rFonts w:asciiTheme="majorHAnsi" w:hAnsiTheme="majorHAnsi"/>
                          <w:sz w:val="20"/>
                          <w:szCs w:val="20"/>
                          <w:lang w:eastAsia="fr-FR"/>
                        </w:rPr>
                        <w:t xml:space="preserve">their accounts </w:t>
                      </w:r>
                      <w:r w:rsidRPr="00820B09">
                        <w:rPr>
                          <w:rFonts w:asciiTheme="majorHAnsi" w:hAnsiTheme="majorHAnsi"/>
                          <w:sz w:val="20"/>
                          <w:szCs w:val="20"/>
                          <w:lang w:eastAsia="fr-FR"/>
                        </w:rPr>
                        <w:t>due to inaccessible channels (</w:t>
                      </w:r>
                      <w:r w:rsidR="00773D3A" w:rsidRPr="00820B09">
                        <w:rPr>
                          <w:rFonts w:asciiTheme="majorHAnsi" w:hAnsiTheme="majorHAnsi"/>
                          <w:sz w:val="20"/>
                          <w:szCs w:val="20"/>
                          <w:lang w:eastAsia="fr-FR"/>
                        </w:rPr>
                        <w:t>e.g.</w:t>
                      </w:r>
                      <w:r w:rsidRPr="00820B09">
                        <w:rPr>
                          <w:rFonts w:asciiTheme="majorHAnsi" w:hAnsiTheme="majorHAnsi"/>
                          <w:sz w:val="20"/>
                          <w:szCs w:val="20"/>
                          <w:lang w:eastAsia="fr-FR"/>
                        </w:rPr>
                        <w:t xml:space="preserve"> ATMs and digital </w:t>
                      </w:r>
                      <w:r w:rsidR="00773D3A" w:rsidRPr="00820B09">
                        <w:rPr>
                          <w:rFonts w:asciiTheme="majorHAnsi" w:hAnsiTheme="majorHAnsi"/>
                          <w:sz w:val="20"/>
                          <w:szCs w:val="20"/>
                          <w:lang w:eastAsia="fr-FR"/>
                        </w:rPr>
                        <w:t>interfaces</w:t>
                      </w:r>
                      <w:r w:rsidRPr="00820B09">
                        <w:rPr>
                          <w:rFonts w:asciiTheme="majorHAnsi" w:hAnsiTheme="majorHAnsi"/>
                          <w:sz w:val="20"/>
                          <w:szCs w:val="20"/>
                          <w:lang w:eastAsia="fr-FR"/>
                        </w:rPr>
                        <w:t xml:space="preserve">) </w:t>
                      </w:r>
                      <w:r w:rsidR="00773D3A" w:rsidRPr="00820B09">
                        <w:rPr>
                          <w:rFonts w:asciiTheme="majorHAnsi" w:hAnsiTheme="majorHAnsi"/>
                          <w:sz w:val="20"/>
                          <w:szCs w:val="20"/>
                          <w:lang w:eastAsia="fr-FR"/>
                        </w:rPr>
                        <w:t>or</w:t>
                      </w:r>
                      <w:r w:rsidRPr="00820B09">
                        <w:rPr>
                          <w:rFonts w:asciiTheme="majorHAnsi" w:hAnsiTheme="majorHAnsi"/>
                          <w:sz w:val="20"/>
                          <w:szCs w:val="20"/>
                          <w:lang w:eastAsia="fr-FR"/>
                        </w:rPr>
                        <w:t xml:space="preserve"> a lack of alternative </w:t>
                      </w:r>
                      <w:r w:rsidR="004D5D34" w:rsidRPr="00820B09">
                        <w:rPr>
                          <w:rFonts w:asciiTheme="majorHAnsi" w:hAnsiTheme="majorHAnsi"/>
                          <w:sz w:val="20"/>
                          <w:szCs w:val="20"/>
                          <w:lang w:eastAsia="fr-FR"/>
                        </w:rPr>
                        <w:t xml:space="preserve">and accessible </w:t>
                      </w:r>
                      <w:r w:rsidRPr="00820B09">
                        <w:rPr>
                          <w:rFonts w:asciiTheme="majorHAnsi" w:hAnsiTheme="majorHAnsi"/>
                          <w:sz w:val="20"/>
                          <w:szCs w:val="20"/>
                          <w:lang w:eastAsia="fr-FR"/>
                        </w:rPr>
                        <w:t>authentication processes</w:t>
                      </w:r>
                      <w:r w:rsidR="004D5D34" w:rsidRPr="00820B09">
                        <w:rPr>
                          <w:rFonts w:asciiTheme="majorHAnsi" w:hAnsiTheme="majorHAnsi"/>
                          <w:sz w:val="20"/>
                          <w:szCs w:val="20"/>
                          <w:lang w:eastAsia="fr-FR"/>
                        </w:rPr>
                        <w:t>.</w:t>
                      </w:r>
                      <w:r w:rsidR="00773D3A" w:rsidRPr="00820B09">
                        <w:rPr>
                          <w:rFonts w:asciiTheme="majorHAnsi" w:hAnsiTheme="majorHAnsi"/>
                          <w:sz w:val="20"/>
                          <w:szCs w:val="20"/>
                          <w:lang w:eastAsia="fr-FR"/>
                        </w:rPr>
                        <w:t xml:space="preserve"> </w:t>
                      </w:r>
                      <w:r w:rsidR="004D5D34" w:rsidRPr="00820B09">
                        <w:rPr>
                          <w:rFonts w:asciiTheme="majorHAnsi" w:hAnsiTheme="majorHAnsi"/>
                          <w:sz w:val="20"/>
                          <w:szCs w:val="20"/>
                          <w:lang w:eastAsia="fr-FR"/>
                        </w:rPr>
                        <w:t xml:space="preserve">This compromises their data security, </w:t>
                      </w:r>
                      <w:r w:rsidR="00773D3A" w:rsidRPr="00820B09">
                        <w:rPr>
                          <w:rFonts w:asciiTheme="majorHAnsi" w:hAnsiTheme="majorHAnsi"/>
                          <w:sz w:val="20"/>
                          <w:szCs w:val="20"/>
                          <w:lang w:eastAsia="fr-FR"/>
                        </w:rPr>
                        <w:t>increasing their exposure to fraud.</w:t>
                      </w:r>
                      <w:r w:rsidRPr="00820B09">
                        <w:rPr>
                          <w:rFonts w:asciiTheme="majorHAnsi" w:hAnsiTheme="majorHAnsi"/>
                          <w:sz w:val="20"/>
                          <w:szCs w:val="20"/>
                          <w:lang w:eastAsia="fr-FR"/>
                        </w:rPr>
                        <w:t xml:space="preserve"> </w:t>
                      </w:r>
                    </w:p>
                    <w:p w14:paraId="17D247A3" w14:textId="77777777" w:rsidR="004C6843" w:rsidRPr="00820B09" w:rsidRDefault="004C6843" w:rsidP="007A189A">
                      <w:pPr>
                        <w:jc w:val="both"/>
                        <w:rPr>
                          <w:rFonts w:asciiTheme="majorHAnsi" w:hAnsiTheme="majorHAnsi"/>
                          <w:sz w:val="20"/>
                          <w:szCs w:val="20"/>
                          <w:lang w:eastAsia="fr-FR"/>
                        </w:rPr>
                      </w:pPr>
                    </w:p>
                    <w:p w14:paraId="03BC0D5F" w14:textId="28D1AF23" w:rsidR="005C2BFB" w:rsidRPr="00820B09" w:rsidRDefault="004C6843" w:rsidP="007A189A">
                      <w:pPr>
                        <w:jc w:val="both"/>
                        <w:rPr>
                          <w:rFonts w:asciiTheme="majorHAnsi" w:hAnsiTheme="majorHAnsi"/>
                          <w:sz w:val="20"/>
                          <w:szCs w:val="20"/>
                          <w:lang w:eastAsia="fr-FR"/>
                        </w:rPr>
                      </w:pPr>
                      <w:r w:rsidRPr="00820B09">
                        <w:rPr>
                          <w:rFonts w:asciiTheme="majorHAnsi" w:hAnsiTheme="majorHAnsi"/>
                          <w:sz w:val="20"/>
                          <w:szCs w:val="20"/>
                          <w:lang w:eastAsia="fr-FR"/>
                        </w:rPr>
                        <w:t>In some cases, providers</w:t>
                      </w:r>
                      <w:r w:rsidR="00773D3A" w:rsidRPr="00820B09">
                        <w:rPr>
                          <w:rFonts w:asciiTheme="majorHAnsi" w:hAnsiTheme="majorHAnsi"/>
                          <w:sz w:val="20"/>
                          <w:szCs w:val="20"/>
                          <w:lang w:eastAsia="fr-FR"/>
                        </w:rPr>
                        <w:t xml:space="preserve">’ </w:t>
                      </w:r>
                      <w:r w:rsidRPr="00820B09">
                        <w:rPr>
                          <w:rFonts w:asciiTheme="majorHAnsi" w:hAnsiTheme="majorHAnsi"/>
                          <w:sz w:val="20"/>
                          <w:szCs w:val="20"/>
                          <w:lang w:eastAsia="fr-FR"/>
                        </w:rPr>
                        <w:t>eligibility criteria exclude persons with disabilities from holding accounts, or require them to nominate a third party to access or use their accounts. Such policies, while often framed as client protection, are discriminatory, and do not recognize persons with disabilities’ legal capacity and rights to manage their own financial affairs, as articulated by the UN Convention on the Rights of Persons with Disabilities (UNCRPD</w:t>
                      </w:r>
                      <w:r w:rsidR="000B1BF4" w:rsidRPr="00820B09">
                        <w:rPr>
                          <w:rFonts w:asciiTheme="majorHAnsi" w:hAnsiTheme="majorHAnsi"/>
                          <w:sz w:val="20"/>
                          <w:szCs w:val="20"/>
                          <w:lang w:eastAsia="fr-FR"/>
                        </w:rPr>
                        <w:t>)</w:t>
                      </w:r>
                      <w:r w:rsidRPr="00820B09">
                        <w:rPr>
                          <w:rFonts w:asciiTheme="majorHAnsi" w:hAnsiTheme="majorHAnsi"/>
                          <w:sz w:val="20"/>
                          <w:szCs w:val="20"/>
                          <w:lang w:eastAsia="fr-FR"/>
                        </w:rPr>
                        <w:t xml:space="preserve">.   </w:t>
                      </w:r>
                      <w:r w:rsidR="006A0549" w:rsidRPr="00820B09">
                        <w:rPr>
                          <w:rFonts w:asciiTheme="majorHAnsi" w:hAnsiTheme="majorHAnsi"/>
                          <w:sz w:val="20"/>
                          <w:szCs w:val="20"/>
                          <w:lang w:eastAsia="fr-FR"/>
                        </w:rPr>
                        <w:t xml:space="preserve"> </w:t>
                      </w:r>
                      <w:r w:rsidR="005C2BFB" w:rsidRPr="00820B09">
                        <w:rPr>
                          <w:rFonts w:asciiTheme="majorHAnsi" w:hAnsiTheme="majorHAnsi"/>
                          <w:sz w:val="20"/>
                          <w:szCs w:val="20"/>
                          <w:lang w:eastAsia="fr-FR"/>
                        </w:rPr>
                        <w:t xml:space="preserve">  </w:t>
                      </w:r>
                    </w:p>
                    <w:p w14:paraId="4D235314" w14:textId="77777777" w:rsidR="005C2BFB" w:rsidRPr="00820B09" w:rsidRDefault="005C2BFB" w:rsidP="007A189A">
                      <w:pPr>
                        <w:jc w:val="both"/>
                        <w:rPr>
                          <w:rFonts w:asciiTheme="majorHAnsi" w:hAnsiTheme="majorHAnsi"/>
                          <w:sz w:val="20"/>
                          <w:szCs w:val="20"/>
                          <w:lang w:eastAsia="fr-FR"/>
                        </w:rPr>
                      </w:pPr>
                    </w:p>
                    <w:p w14:paraId="59D449A1" w14:textId="0CE02D94" w:rsidR="005C6BBE" w:rsidRPr="00820B09" w:rsidRDefault="004C6843" w:rsidP="007A189A">
                      <w:pPr>
                        <w:jc w:val="both"/>
                        <w:rPr>
                          <w:rFonts w:asciiTheme="majorHAnsi" w:hAnsiTheme="majorHAnsi"/>
                          <w:sz w:val="20"/>
                          <w:szCs w:val="20"/>
                          <w:lang w:eastAsia="fr-FR"/>
                        </w:rPr>
                      </w:pPr>
                      <w:r w:rsidRPr="00820B09">
                        <w:rPr>
                          <w:rFonts w:asciiTheme="majorHAnsi" w:hAnsiTheme="majorHAnsi"/>
                          <w:sz w:val="20"/>
                          <w:szCs w:val="20"/>
                          <w:lang w:eastAsia="fr-FR"/>
                        </w:rPr>
                        <w:t>Instead, t</w:t>
                      </w:r>
                      <w:r w:rsidR="007A189A" w:rsidRPr="00820B09">
                        <w:rPr>
                          <w:rFonts w:asciiTheme="majorHAnsi" w:hAnsiTheme="majorHAnsi"/>
                          <w:sz w:val="20"/>
                          <w:szCs w:val="20"/>
                          <w:lang w:eastAsia="fr-FR"/>
                        </w:rPr>
                        <w:t xml:space="preserve">he provider should  </w:t>
                      </w:r>
                      <w:r w:rsidR="00773D3A" w:rsidRPr="00820B09">
                        <w:rPr>
                          <w:rFonts w:asciiTheme="majorHAnsi" w:hAnsiTheme="majorHAnsi"/>
                          <w:sz w:val="20"/>
                          <w:szCs w:val="20"/>
                          <w:lang w:eastAsia="fr-FR"/>
                        </w:rPr>
                        <w:t xml:space="preserve">prioritize </w:t>
                      </w:r>
                      <w:r w:rsidR="007A189A" w:rsidRPr="00820B09">
                        <w:rPr>
                          <w:rFonts w:asciiTheme="majorHAnsi" w:hAnsiTheme="majorHAnsi"/>
                          <w:sz w:val="20"/>
                          <w:szCs w:val="20"/>
                          <w:lang w:eastAsia="fr-FR"/>
                        </w:rPr>
                        <w:t>enabl</w:t>
                      </w:r>
                      <w:r w:rsidR="00773D3A" w:rsidRPr="00820B09">
                        <w:rPr>
                          <w:rFonts w:asciiTheme="majorHAnsi" w:hAnsiTheme="majorHAnsi"/>
                          <w:sz w:val="20"/>
                          <w:szCs w:val="20"/>
                          <w:lang w:eastAsia="fr-FR"/>
                        </w:rPr>
                        <w:t>ing</w:t>
                      </w:r>
                      <w:r w:rsidR="007A189A" w:rsidRPr="00820B09">
                        <w:rPr>
                          <w:rFonts w:asciiTheme="majorHAnsi" w:hAnsiTheme="majorHAnsi"/>
                          <w:sz w:val="20"/>
                          <w:szCs w:val="20"/>
                          <w:lang w:eastAsia="fr-FR"/>
                        </w:rPr>
                        <w:t xml:space="preserve"> clients with disabilities to </w:t>
                      </w:r>
                      <w:r w:rsidRPr="00820B09">
                        <w:rPr>
                          <w:rFonts w:asciiTheme="majorHAnsi" w:hAnsiTheme="majorHAnsi"/>
                          <w:sz w:val="20"/>
                          <w:szCs w:val="20"/>
                          <w:lang w:eastAsia="fr-FR"/>
                        </w:rPr>
                        <w:t xml:space="preserve">open and </w:t>
                      </w:r>
                      <w:r w:rsidR="007A189A" w:rsidRPr="00820B09">
                        <w:rPr>
                          <w:rFonts w:asciiTheme="majorHAnsi" w:hAnsiTheme="majorHAnsi"/>
                          <w:sz w:val="20"/>
                          <w:szCs w:val="20"/>
                          <w:lang w:eastAsia="fr-FR"/>
                        </w:rPr>
                        <w:t xml:space="preserve">access </w:t>
                      </w:r>
                      <w:r w:rsidRPr="00820B09">
                        <w:rPr>
                          <w:rFonts w:asciiTheme="majorHAnsi" w:hAnsiTheme="majorHAnsi"/>
                          <w:sz w:val="20"/>
                          <w:szCs w:val="20"/>
                          <w:lang w:eastAsia="fr-FR"/>
                        </w:rPr>
                        <w:t>financial products and services</w:t>
                      </w:r>
                      <w:r w:rsidR="00773D3A" w:rsidRPr="00820B09">
                        <w:rPr>
                          <w:rFonts w:asciiTheme="majorHAnsi" w:hAnsiTheme="majorHAnsi"/>
                          <w:sz w:val="20"/>
                          <w:szCs w:val="20"/>
                          <w:lang w:eastAsia="fr-FR"/>
                        </w:rPr>
                        <w:t xml:space="preserve">  independently and safely</w:t>
                      </w:r>
                      <w:r w:rsidR="007A189A" w:rsidRPr="00820B09">
                        <w:rPr>
                          <w:rFonts w:asciiTheme="majorHAnsi" w:hAnsiTheme="majorHAnsi"/>
                          <w:sz w:val="20"/>
                          <w:szCs w:val="20"/>
                          <w:lang w:eastAsia="fr-FR"/>
                        </w:rPr>
                        <w:t xml:space="preserve">, without third party assistance wherever possible, </w:t>
                      </w:r>
                      <w:r w:rsidR="00773D3A" w:rsidRPr="00820B09">
                        <w:rPr>
                          <w:rFonts w:asciiTheme="majorHAnsi" w:hAnsiTheme="majorHAnsi"/>
                          <w:sz w:val="20"/>
                          <w:szCs w:val="20"/>
                          <w:lang w:eastAsia="fr-FR"/>
                        </w:rPr>
                        <w:t>recognizing</w:t>
                      </w:r>
                      <w:r w:rsidR="007A189A"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their </w:t>
                      </w:r>
                      <w:r w:rsidR="007A189A" w:rsidRPr="00820B09">
                        <w:rPr>
                          <w:rFonts w:asciiTheme="majorHAnsi" w:hAnsiTheme="majorHAnsi"/>
                          <w:sz w:val="20"/>
                          <w:szCs w:val="20"/>
                          <w:lang w:eastAsia="fr-FR"/>
                        </w:rPr>
                        <w:t>dignity</w:t>
                      </w:r>
                      <w:r w:rsidR="00773D3A" w:rsidRPr="00820B09">
                        <w:rPr>
                          <w:rFonts w:asciiTheme="majorHAnsi" w:hAnsiTheme="majorHAnsi"/>
                          <w:sz w:val="20"/>
                          <w:szCs w:val="20"/>
                          <w:lang w:eastAsia="fr-FR"/>
                        </w:rPr>
                        <w:t xml:space="preserve">, </w:t>
                      </w:r>
                      <w:r w:rsidR="007A189A" w:rsidRPr="00820B09">
                        <w:rPr>
                          <w:rFonts w:asciiTheme="majorHAnsi" w:hAnsiTheme="majorHAnsi"/>
                          <w:sz w:val="20"/>
                          <w:szCs w:val="20"/>
                          <w:lang w:eastAsia="fr-FR"/>
                        </w:rPr>
                        <w:t xml:space="preserve">autonomy </w:t>
                      </w:r>
                      <w:r w:rsidR="00773D3A" w:rsidRPr="00820B09">
                        <w:rPr>
                          <w:rFonts w:asciiTheme="majorHAnsi" w:hAnsiTheme="majorHAnsi"/>
                          <w:sz w:val="20"/>
                          <w:szCs w:val="20"/>
                          <w:lang w:eastAsia="fr-FR"/>
                        </w:rPr>
                        <w:t xml:space="preserve">and </w:t>
                      </w:r>
                      <w:r w:rsidR="007A189A" w:rsidRPr="00820B09">
                        <w:rPr>
                          <w:rFonts w:asciiTheme="majorHAnsi" w:hAnsiTheme="majorHAnsi"/>
                          <w:sz w:val="20"/>
                          <w:szCs w:val="20"/>
                          <w:lang w:eastAsia="fr-FR"/>
                        </w:rPr>
                        <w:t>capability</w:t>
                      </w:r>
                      <w:r w:rsidR="00773D3A" w:rsidRPr="00820B09">
                        <w:rPr>
                          <w:rFonts w:asciiTheme="majorHAnsi" w:hAnsiTheme="majorHAnsi"/>
                          <w:sz w:val="20"/>
                          <w:szCs w:val="20"/>
                          <w:lang w:eastAsia="fr-FR"/>
                        </w:rPr>
                        <w:t>, while taking measures to mitigate risks</w:t>
                      </w:r>
                      <w:r w:rsidR="007A189A" w:rsidRPr="00820B09">
                        <w:rPr>
                          <w:rFonts w:asciiTheme="majorHAnsi" w:hAnsiTheme="majorHAnsi"/>
                          <w:sz w:val="20"/>
                          <w:szCs w:val="20"/>
                          <w:lang w:eastAsia="fr-FR"/>
                        </w:rPr>
                        <w:t xml:space="preserve">. </w:t>
                      </w:r>
                    </w:p>
                    <w:p w14:paraId="6369F863" w14:textId="77777777" w:rsidR="000B1BF4" w:rsidRPr="00820B09" w:rsidRDefault="000B1BF4" w:rsidP="007A189A">
                      <w:pPr>
                        <w:jc w:val="both"/>
                        <w:rPr>
                          <w:rFonts w:asciiTheme="majorHAnsi" w:hAnsiTheme="majorHAnsi"/>
                          <w:sz w:val="20"/>
                          <w:szCs w:val="20"/>
                          <w:lang w:eastAsia="fr-FR"/>
                        </w:rPr>
                      </w:pPr>
                    </w:p>
                    <w:p w14:paraId="02A87A77" w14:textId="50386E90" w:rsidR="000B1BF4" w:rsidRPr="00820B09" w:rsidRDefault="000B1BF4" w:rsidP="000B1BF4">
                      <w:pPr>
                        <w:jc w:val="both"/>
                        <w:rPr>
                          <w:rFonts w:asciiTheme="majorHAnsi" w:hAnsiTheme="majorHAnsi"/>
                          <w:sz w:val="20"/>
                          <w:szCs w:val="20"/>
                          <w:lang w:eastAsia="fr-FR"/>
                        </w:rPr>
                      </w:pPr>
                      <w:r w:rsidRPr="00820B09">
                        <w:rPr>
                          <w:rFonts w:asciiTheme="majorHAnsi" w:hAnsiTheme="majorHAnsi"/>
                          <w:sz w:val="20"/>
                          <w:szCs w:val="20"/>
                          <w:lang w:eastAsia="fr-FR"/>
                        </w:rPr>
                        <w:t xml:space="preserve">To enable clients with different types of impairments to access and use products and services </w:t>
                      </w:r>
                      <w:r w:rsidR="00773D3A" w:rsidRPr="00820B09">
                        <w:rPr>
                          <w:rFonts w:asciiTheme="majorHAnsi" w:hAnsiTheme="majorHAnsi"/>
                          <w:sz w:val="20"/>
                          <w:szCs w:val="20"/>
                          <w:lang w:eastAsia="fr-FR"/>
                        </w:rPr>
                        <w:t>autonomously</w:t>
                      </w:r>
                      <w:r w:rsidRPr="00820B09">
                        <w:rPr>
                          <w:rFonts w:asciiTheme="majorHAnsi" w:hAnsiTheme="majorHAnsi"/>
                          <w:sz w:val="20"/>
                          <w:szCs w:val="20"/>
                          <w:lang w:eastAsia="fr-FR"/>
                        </w:rPr>
                        <w:t xml:space="preserve">, improve the accessibility of channels, user interfaces, information and communications, and provide alternative mechanisms for identification, authentication and verification (see indicator 4.B.2.2). Provide accessible training for clients with disabilities on measures they can take to keep their data and confidential account information secure.  </w:t>
                      </w:r>
                    </w:p>
                    <w:p w14:paraId="6A3B94DF" w14:textId="77777777" w:rsidR="005C6BBE" w:rsidRPr="00820B09" w:rsidRDefault="005C6BBE" w:rsidP="007A189A">
                      <w:pPr>
                        <w:jc w:val="both"/>
                        <w:rPr>
                          <w:rFonts w:asciiTheme="majorHAnsi" w:hAnsiTheme="majorHAnsi"/>
                          <w:sz w:val="20"/>
                          <w:szCs w:val="20"/>
                          <w:lang w:eastAsia="fr-FR"/>
                        </w:rPr>
                      </w:pPr>
                    </w:p>
                    <w:p w14:paraId="1C979FE2" w14:textId="17297113" w:rsidR="007A189A" w:rsidRPr="00820B09" w:rsidRDefault="005C6BBE" w:rsidP="007A189A">
                      <w:pPr>
                        <w:jc w:val="both"/>
                        <w:rPr>
                          <w:rFonts w:asciiTheme="majorHAnsi" w:hAnsiTheme="majorHAnsi"/>
                          <w:sz w:val="20"/>
                          <w:szCs w:val="20"/>
                          <w:lang w:eastAsia="fr-FR"/>
                        </w:rPr>
                      </w:pPr>
                      <w:r w:rsidRPr="00820B09">
                        <w:rPr>
                          <w:rFonts w:asciiTheme="majorHAnsi" w:hAnsiTheme="majorHAnsi"/>
                          <w:sz w:val="20"/>
                          <w:szCs w:val="20"/>
                          <w:lang w:eastAsia="fr-FR"/>
                        </w:rPr>
                        <w:t xml:space="preserve">The provider’s policies should enable supported decision-making practices, which allow clients with disabilities to nominate a trusted support person to help them with decision-making, while making it clear that the client remains the primary decision-maker, recognizing their autonomy, will and preferences. </w:t>
                      </w:r>
                      <w:r w:rsidR="007A189A" w:rsidRPr="00820B09">
                        <w:rPr>
                          <w:rFonts w:asciiTheme="majorHAnsi" w:hAnsiTheme="majorHAnsi"/>
                          <w:sz w:val="20"/>
                          <w:szCs w:val="20"/>
                          <w:lang w:eastAsia="fr-FR"/>
                        </w:rPr>
                        <w:t xml:space="preserve">Where a client with disabilities requests </w:t>
                      </w:r>
                      <w:r w:rsidR="004C6843" w:rsidRPr="00820B09">
                        <w:rPr>
                          <w:rFonts w:asciiTheme="majorHAnsi" w:hAnsiTheme="majorHAnsi"/>
                          <w:sz w:val="20"/>
                          <w:szCs w:val="20"/>
                          <w:lang w:eastAsia="fr-FR"/>
                        </w:rPr>
                        <w:t xml:space="preserve">supported </w:t>
                      </w:r>
                      <w:r w:rsidRPr="00820B09">
                        <w:rPr>
                          <w:rFonts w:asciiTheme="majorHAnsi" w:hAnsiTheme="majorHAnsi"/>
                          <w:sz w:val="20"/>
                          <w:szCs w:val="20"/>
                          <w:lang w:eastAsia="fr-FR"/>
                        </w:rPr>
                        <w:t>access</w:t>
                      </w:r>
                      <w:r w:rsidR="004C6843"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by requesting </w:t>
                      </w:r>
                      <w:r w:rsidR="007A189A" w:rsidRPr="00820B09">
                        <w:rPr>
                          <w:rFonts w:asciiTheme="majorHAnsi" w:hAnsiTheme="majorHAnsi"/>
                          <w:sz w:val="20"/>
                          <w:szCs w:val="20"/>
                          <w:lang w:eastAsia="fr-FR"/>
                        </w:rPr>
                        <w:t>a named, trusted third-party to assist them to access their accounts (e.g., a family member,</w:t>
                      </w:r>
                      <w:r w:rsidRPr="00820B09">
                        <w:rPr>
                          <w:rFonts w:asciiTheme="majorHAnsi" w:hAnsiTheme="majorHAnsi"/>
                          <w:sz w:val="20"/>
                          <w:szCs w:val="20"/>
                          <w:lang w:eastAsia="fr-FR"/>
                        </w:rPr>
                        <w:t xml:space="preserve"> caregiver or</w:t>
                      </w:r>
                      <w:r w:rsidR="007A189A" w:rsidRPr="00820B09">
                        <w:rPr>
                          <w:rFonts w:asciiTheme="majorHAnsi" w:hAnsiTheme="majorHAnsi"/>
                          <w:sz w:val="20"/>
                          <w:szCs w:val="20"/>
                          <w:lang w:eastAsia="fr-FR"/>
                        </w:rPr>
                        <w:t xml:space="preserve"> support person), the provider's policies should include measures to accommodate this request</w:t>
                      </w:r>
                      <w:r w:rsidRPr="00820B09">
                        <w:rPr>
                          <w:rFonts w:asciiTheme="majorHAnsi" w:hAnsiTheme="majorHAnsi"/>
                          <w:sz w:val="20"/>
                          <w:szCs w:val="20"/>
                          <w:lang w:eastAsia="fr-FR"/>
                        </w:rPr>
                        <w:t>,</w:t>
                      </w:r>
                      <w:r w:rsidR="007A189A" w:rsidRPr="00820B09">
                        <w:rPr>
                          <w:rFonts w:asciiTheme="majorHAnsi" w:hAnsiTheme="majorHAnsi"/>
                          <w:sz w:val="20"/>
                          <w:szCs w:val="20"/>
                          <w:lang w:eastAsia="fr-FR"/>
                        </w:rPr>
                        <w:t xml:space="preserve"> specifying clear safeguards against fraud and financial abuse</w:t>
                      </w:r>
                      <w:r w:rsidRPr="00820B09">
                        <w:rPr>
                          <w:rFonts w:asciiTheme="majorHAnsi" w:hAnsiTheme="majorHAnsi"/>
                          <w:sz w:val="20"/>
                          <w:szCs w:val="20"/>
                          <w:lang w:eastAsia="fr-FR"/>
                        </w:rPr>
                        <w:t>. These arrangements are different from policies that force clients with disabilities to involve third parties in managing their finances, or impose substitute decision-making mechanisms, where a third party takes decisions in place of the client.</w:t>
                      </w:r>
                    </w:p>
                    <w:p w14:paraId="7123E1A3" w14:textId="77777777" w:rsidR="000B1BF4" w:rsidRPr="00820B09" w:rsidRDefault="000B1BF4" w:rsidP="000B1BF4">
                      <w:pPr>
                        <w:jc w:val="both"/>
                        <w:rPr>
                          <w:rFonts w:asciiTheme="majorHAnsi" w:hAnsiTheme="majorHAnsi"/>
                          <w:sz w:val="20"/>
                          <w:szCs w:val="20"/>
                          <w:lang w:eastAsia="fr-FR"/>
                        </w:rPr>
                      </w:pPr>
                    </w:p>
                    <w:p w14:paraId="738B90DD" w14:textId="5CCB8D78" w:rsidR="000B1BF4" w:rsidRPr="00820B09" w:rsidRDefault="000B1BF4" w:rsidP="007A189A">
                      <w:pPr>
                        <w:jc w:val="both"/>
                        <w:rPr>
                          <w:rFonts w:asciiTheme="majorHAnsi" w:hAnsiTheme="majorHAnsi"/>
                          <w:sz w:val="20"/>
                          <w:szCs w:val="20"/>
                          <w:lang w:eastAsia="fr-FR"/>
                        </w:rPr>
                      </w:pPr>
                      <w:r w:rsidRPr="00820B09">
                        <w:rPr>
                          <w:rFonts w:asciiTheme="majorHAnsi" w:hAnsiTheme="majorHAnsi"/>
                          <w:sz w:val="20"/>
                          <w:szCs w:val="20"/>
                          <w:lang w:eastAsia="fr-FR"/>
                        </w:rPr>
                        <w:t>Provide products which are easy to understand and use for all clients including entry level savings and transaction accounts, and offer optional product features that help clients to manage their accounts, make more informed decisions, and reduce the risk of fraud or transaction errors. For example, SIBSTAR, a UK debit card and mobile application developed by Mastercard and the Alzheimer’s Society, is designed to help persons with dementia to manage their day-to-day spending independently and safely, with optional limits on cash withdrawals or daily / monthly spending, real time transaction notifications, and the ability to invite a support person to help them manage their account on an app.</w:t>
                      </w:r>
                    </w:p>
                    <w:p w14:paraId="651B2374" w14:textId="77777777" w:rsidR="005C6BBE" w:rsidRPr="00820B09" w:rsidRDefault="005C6BBE" w:rsidP="007A189A">
                      <w:pPr>
                        <w:jc w:val="both"/>
                        <w:rPr>
                          <w:rFonts w:asciiTheme="majorHAnsi" w:hAnsiTheme="majorHAnsi"/>
                          <w:sz w:val="20"/>
                          <w:szCs w:val="20"/>
                          <w:lang w:eastAsia="fr-FR"/>
                        </w:rPr>
                      </w:pPr>
                    </w:p>
                    <w:p w14:paraId="55E45F8E" w14:textId="5F46DB56" w:rsidR="001A42F0" w:rsidRPr="00820B09" w:rsidRDefault="001A42F0" w:rsidP="007A189A">
                      <w:pPr>
                        <w:jc w:val="both"/>
                        <w:rPr>
                          <w:rFonts w:asciiTheme="majorHAnsi" w:hAnsiTheme="majorHAnsi"/>
                          <w:sz w:val="20"/>
                          <w:szCs w:val="20"/>
                          <w:lang w:eastAsia="fr-FR"/>
                        </w:rPr>
                      </w:pPr>
                      <w:r w:rsidRPr="00820B09">
                        <w:rPr>
                          <w:rFonts w:asciiTheme="majorHAnsi" w:hAnsiTheme="majorHAnsi"/>
                          <w:sz w:val="20"/>
                          <w:szCs w:val="20"/>
                          <w:lang w:eastAsia="fr-FR"/>
                        </w:rPr>
                        <w:t xml:space="preserve">See resources for this indicator for examples </w:t>
                      </w:r>
                      <w:r w:rsidR="00F61C66" w:rsidRPr="00820B09">
                        <w:rPr>
                          <w:rFonts w:asciiTheme="majorHAnsi" w:hAnsiTheme="majorHAnsi"/>
                          <w:sz w:val="20"/>
                          <w:szCs w:val="20"/>
                          <w:lang w:eastAsia="fr-FR"/>
                        </w:rPr>
                        <w:t>and resources. BFFI</w:t>
                      </w:r>
                      <w:r w:rsidR="00907EF8" w:rsidRPr="00820B09">
                        <w:rPr>
                          <w:rFonts w:asciiTheme="majorHAnsi" w:hAnsiTheme="majorHAnsi"/>
                          <w:sz w:val="20"/>
                          <w:szCs w:val="20"/>
                          <w:lang w:eastAsia="fr-FR"/>
                        </w:rPr>
                        <w:t>’s</w:t>
                      </w:r>
                      <w:r w:rsidR="00F61C66" w:rsidRPr="00820B09">
                        <w:rPr>
                          <w:rFonts w:asciiTheme="majorHAnsi" w:hAnsiTheme="majorHAnsi"/>
                          <w:sz w:val="20"/>
                          <w:szCs w:val="20"/>
                          <w:lang w:eastAsia="fr-FR"/>
                        </w:rPr>
                        <w:t xml:space="preserve"> Disability Inclusion Guide for FSPs provides further information about equitable access to financial products and services for persons with disabilities and risk mitigation measures.</w:t>
                      </w:r>
                    </w:p>
                  </w:txbxContent>
                </v:textbox>
                <w10:wrap type="square"/>
              </v:shape>
            </w:pict>
          </mc:Fallback>
        </mc:AlternateContent>
      </w:r>
    </w:p>
    <w:p w14:paraId="2A4418D8" w14:textId="2D26E205" w:rsidR="004B1C9E" w:rsidRPr="00A608EE" w:rsidRDefault="004B1C9E" w:rsidP="00EE208A">
      <w:pPr>
        <w:jc w:val="both"/>
        <w:rPr>
          <w:rFonts w:asciiTheme="majorHAnsi" w:hAnsiTheme="majorHAnsi"/>
          <w:szCs w:val="20"/>
          <w:lang w:eastAsia="fr-FR"/>
        </w:rPr>
      </w:pPr>
    </w:p>
    <w:p w14:paraId="1D9D1FE9" w14:textId="1E728424" w:rsidR="00C6109C" w:rsidRPr="00A608EE" w:rsidRDefault="00C6109C"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2FDDEED5" w14:textId="77777777" w:rsidR="00C6109C" w:rsidRPr="00A608EE" w:rsidRDefault="00C6109C" w:rsidP="00A27AAA">
      <w:pPr>
        <w:numPr>
          <w:ilvl w:val="0"/>
          <w:numId w:val="271"/>
        </w:numPr>
        <w:jc w:val="both"/>
        <w:rPr>
          <w:rFonts w:asciiTheme="majorHAnsi" w:hAnsiTheme="majorHAnsi"/>
          <w:sz w:val="20"/>
          <w:szCs w:val="20"/>
          <w:lang w:eastAsia="fr-FR"/>
        </w:rPr>
      </w:pPr>
      <w:r w:rsidRPr="00A608EE">
        <w:rPr>
          <w:rFonts w:asciiTheme="majorHAnsi" w:hAnsiTheme="majorHAnsi"/>
          <w:sz w:val="20"/>
          <w:szCs w:val="20"/>
          <w:lang w:eastAsia="fr-FR"/>
        </w:rPr>
        <w:t xml:space="preserve">Scores ‘yes’, if the provider (1) has a written complete privacy policy (or formal documents) on how to ensure the confidentiality, security, and accuracy of clients' personal, transactional, and financial information covering the gathering, use, </w:t>
      </w:r>
      <w:r w:rsidRPr="00A608EE">
        <w:rPr>
          <w:rFonts w:asciiTheme="majorHAnsi" w:hAnsiTheme="majorHAnsi"/>
          <w:sz w:val="20"/>
          <w:szCs w:val="20"/>
          <w:lang w:eastAsia="fr-FR"/>
        </w:rPr>
        <w:lastRenderedPageBreak/>
        <w:t>distribution, storage and retention of client information, (2) the staff understands well the privacy policy, and (3) the privacy policy is well enforced.</w:t>
      </w:r>
    </w:p>
    <w:p w14:paraId="70203C44" w14:textId="77777777" w:rsidR="00C6109C" w:rsidRPr="00A608EE" w:rsidRDefault="00C6109C" w:rsidP="00A27AAA">
      <w:pPr>
        <w:numPr>
          <w:ilvl w:val="0"/>
          <w:numId w:val="271"/>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three requirements are not met fully. For instance, the written privacy policy is incomplete or the staff does not well understand it.</w:t>
      </w:r>
    </w:p>
    <w:p w14:paraId="1FB4E335" w14:textId="77777777" w:rsidR="00C6109C" w:rsidRPr="00A608EE" w:rsidRDefault="00C6109C" w:rsidP="00A27AAA">
      <w:pPr>
        <w:numPr>
          <w:ilvl w:val="0"/>
          <w:numId w:val="271"/>
        </w:numPr>
        <w:jc w:val="both"/>
        <w:rPr>
          <w:rFonts w:asciiTheme="majorHAnsi" w:hAnsiTheme="majorHAnsi"/>
          <w:sz w:val="20"/>
          <w:szCs w:val="20"/>
          <w:lang w:eastAsia="fr-FR"/>
        </w:rPr>
      </w:pPr>
      <w:r w:rsidRPr="00A608EE">
        <w:rPr>
          <w:rFonts w:asciiTheme="majorHAnsi" w:hAnsiTheme="majorHAnsi"/>
          <w:sz w:val="20"/>
          <w:szCs w:val="20"/>
          <w:lang w:eastAsia="fr-FR"/>
        </w:rPr>
        <w:t>Score ‘no’, if the provider has no written privacy policy (staff signing a confidentiality agreement upon hiring alone is no substitute!) and/or the staff is not aware of a privacy policy.</w:t>
      </w:r>
    </w:p>
    <w:p w14:paraId="54D58595" w14:textId="77777777" w:rsidR="004B1C9E" w:rsidRPr="00A608EE" w:rsidRDefault="004B1C9E" w:rsidP="00EE208A">
      <w:pPr>
        <w:jc w:val="both"/>
        <w:rPr>
          <w:rFonts w:asciiTheme="majorHAnsi" w:hAnsiTheme="majorHAnsi"/>
          <w:sz w:val="20"/>
          <w:szCs w:val="20"/>
          <w:lang w:eastAsia="fr-FR"/>
        </w:rPr>
      </w:pPr>
    </w:p>
    <w:p w14:paraId="797D2E4F" w14:textId="0876E901" w:rsidR="00C6109C" w:rsidRPr="00A608EE" w:rsidRDefault="00C6109C"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52668688" w14:textId="77777777" w:rsidR="00C6109C" w:rsidRPr="00A608EE" w:rsidRDefault="00C6109C" w:rsidP="00A27AAA">
      <w:pPr>
        <w:numPr>
          <w:ilvl w:val="0"/>
          <w:numId w:val="272"/>
        </w:numPr>
        <w:jc w:val="both"/>
        <w:rPr>
          <w:rFonts w:asciiTheme="majorHAnsi" w:hAnsiTheme="majorHAnsi"/>
          <w:sz w:val="20"/>
          <w:szCs w:val="20"/>
          <w:lang w:eastAsia="fr-FR"/>
        </w:rPr>
      </w:pPr>
      <w:r w:rsidRPr="00A608EE">
        <w:rPr>
          <w:rFonts w:asciiTheme="majorHAnsi" w:hAnsiTheme="majorHAnsi"/>
          <w:sz w:val="20"/>
          <w:szCs w:val="20"/>
          <w:lang w:eastAsia="fr-FR"/>
        </w:rPr>
        <w:t>Review of privacy policies and processes that may be all in one document, or spread out in different operational manuals.</w:t>
      </w:r>
    </w:p>
    <w:p w14:paraId="4243F6BC" w14:textId="77777777" w:rsidR="00C6109C" w:rsidRPr="00A608EE" w:rsidRDefault="00C6109C" w:rsidP="00A27AAA">
      <w:pPr>
        <w:numPr>
          <w:ilvl w:val="0"/>
          <w:numId w:val="272"/>
        </w:numPr>
        <w:jc w:val="both"/>
        <w:rPr>
          <w:rFonts w:asciiTheme="majorHAnsi" w:hAnsiTheme="majorHAnsi"/>
          <w:sz w:val="20"/>
          <w:szCs w:val="20"/>
          <w:lang w:eastAsia="fr-FR"/>
        </w:rPr>
      </w:pPr>
      <w:r w:rsidRPr="00A608EE">
        <w:rPr>
          <w:rFonts w:asciiTheme="majorHAnsi" w:hAnsiTheme="majorHAnsi"/>
          <w:sz w:val="20"/>
          <w:szCs w:val="20"/>
          <w:lang w:eastAsia="fr-FR"/>
        </w:rPr>
        <w:t>Interviews with IT department.</w:t>
      </w:r>
    </w:p>
    <w:p w14:paraId="445D5048" w14:textId="77777777" w:rsidR="00C6109C" w:rsidRPr="00A608EE" w:rsidRDefault="00C6109C" w:rsidP="00A27AAA">
      <w:pPr>
        <w:numPr>
          <w:ilvl w:val="0"/>
          <w:numId w:val="272"/>
        </w:numPr>
        <w:jc w:val="both"/>
        <w:rPr>
          <w:rFonts w:asciiTheme="majorHAnsi" w:hAnsiTheme="majorHAnsi"/>
          <w:sz w:val="20"/>
          <w:szCs w:val="20"/>
          <w:lang w:eastAsia="fr-FR"/>
        </w:rPr>
      </w:pPr>
      <w:r w:rsidRPr="00A608EE">
        <w:rPr>
          <w:rFonts w:asciiTheme="majorHAnsi" w:hAnsiTheme="majorHAnsi"/>
          <w:sz w:val="20"/>
          <w:szCs w:val="20"/>
          <w:lang w:eastAsia="fr-FR"/>
        </w:rPr>
        <w:t>Check with field officers.</w:t>
      </w:r>
    </w:p>
    <w:p w14:paraId="393A3102" w14:textId="77777777" w:rsidR="004B1C9E" w:rsidRPr="00A608EE" w:rsidRDefault="004B1C9E" w:rsidP="00EE208A">
      <w:pPr>
        <w:jc w:val="both"/>
        <w:rPr>
          <w:rFonts w:asciiTheme="majorHAnsi" w:hAnsiTheme="majorHAnsi"/>
          <w:sz w:val="20"/>
          <w:szCs w:val="20"/>
          <w:lang w:eastAsia="fr-FR"/>
        </w:rPr>
      </w:pPr>
    </w:p>
    <w:p w14:paraId="4ADDA6A8" w14:textId="2E316D48" w:rsidR="00C6109C" w:rsidRPr="00A608EE" w:rsidRDefault="00C6109C"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344F6654" w14:textId="77777777" w:rsidR="00C6109C" w:rsidRPr="00A608EE" w:rsidRDefault="00C6109C" w:rsidP="00EE208A">
      <w:pPr>
        <w:jc w:val="both"/>
        <w:rPr>
          <w:rFonts w:asciiTheme="majorHAnsi" w:hAnsiTheme="majorHAnsi"/>
          <w:sz w:val="20"/>
          <w:szCs w:val="20"/>
          <w:lang w:eastAsia="fr-FR"/>
        </w:rPr>
      </w:pPr>
      <w:r w:rsidRPr="00A608EE">
        <w:rPr>
          <w:rFonts w:asciiTheme="majorHAnsi" w:hAnsiTheme="majorHAnsi"/>
          <w:sz w:val="20"/>
          <w:szCs w:val="20"/>
          <w:lang w:eastAsia="fr-FR"/>
        </w:rPr>
        <w:t>Specify the documents and page numbers where the policy addresses each of the components mentioned in the scoring guidance. Complete with feedback from interviews and potential breach in data confidentiality.</w:t>
      </w:r>
    </w:p>
    <w:p w14:paraId="1D3FA88A" w14:textId="77777777" w:rsidR="004B1C9E" w:rsidRPr="00A608EE" w:rsidRDefault="004B1C9E" w:rsidP="00EE208A">
      <w:pPr>
        <w:jc w:val="both"/>
        <w:rPr>
          <w:rFonts w:asciiTheme="majorHAnsi" w:hAnsiTheme="majorHAnsi"/>
          <w:sz w:val="20"/>
          <w:szCs w:val="20"/>
          <w:lang w:eastAsia="fr-FR"/>
        </w:rPr>
      </w:pPr>
    </w:p>
    <w:p w14:paraId="6515828C" w14:textId="0B642DDA" w:rsidR="00C6109C" w:rsidRPr="00A608EE" w:rsidRDefault="00C6109C"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4.D.1.1</w:t>
      </w:r>
    </w:p>
    <w:p w14:paraId="7BFF2028" w14:textId="5A2EF819" w:rsidR="488500BF" w:rsidRPr="00A608EE" w:rsidRDefault="488500BF" w:rsidP="00A27AAA">
      <w:pPr>
        <w:numPr>
          <w:ilvl w:val="0"/>
          <w:numId w:val="22"/>
        </w:numPr>
        <w:jc w:val="both"/>
        <w:rPr>
          <w:rFonts w:ascii="Work Sans" w:eastAsia="Work Sans" w:hAnsi="Work Sans" w:cs="Work Sans"/>
          <w:color w:val="000000" w:themeColor="background1"/>
          <w:sz w:val="20"/>
          <w:szCs w:val="20"/>
        </w:rPr>
      </w:pPr>
      <w:hyperlink r:id="rId225">
        <w:r w:rsidRPr="00A608EE">
          <w:rPr>
            <w:rStyle w:val="Hyperlink"/>
            <w:rFonts w:ascii="Work Sans" w:eastAsia="Work Sans" w:hAnsi="Work Sans" w:cs="Work Sans"/>
            <w:sz w:val="20"/>
            <w:szCs w:val="20"/>
          </w:rPr>
          <w:t>SKS and Equitas examples</w:t>
        </w:r>
      </w:hyperlink>
    </w:p>
    <w:p w14:paraId="55F42A87" w14:textId="0ABB557F" w:rsidR="00AD277E" w:rsidRPr="00A608EE" w:rsidRDefault="488500BF" w:rsidP="00A27AAA">
      <w:pPr>
        <w:pStyle w:val="ListParagraph"/>
        <w:numPr>
          <w:ilvl w:val="0"/>
          <w:numId w:val="22"/>
        </w:numPr>
        <w:spacing w:after="0" w:line="240" w:lineRule="auto"/>
        <w:jc w:val="both"/>
        <w:rPr>
          <w:rFonts w:eastAsia="Work Sans"/>
          <w:color w:val="000000" w:themeColor="background1"/>
          <w:szCs w:val="20"/>
        </w:rPr>
      </w:pPr>
      <w:hyperlink r:id="rId226">
        <w:r w:rsidRPr="00A608EE">
          <w:rPr>
            <w:rStyle w:val="Hyperlink"/>
            <w:rFonts w:ascii="Work Sans" w:eastAsia="Work Sans" w:hAnsi="Work Sans" w:cs="Work Sans"/>
            <w:szCs w:val="20"/>
          </w:rPr>
          <w:t>SKS (India) Protects Client Data</w:t>
        </w:r>
      </w:hyperlink>
    </w:p>
    <w:p w14:paraId="02D96D10" w14:textId="77777777" w:rsidR="004C0831" w:rsidRPr="00A608EE" w:rsidRDefault="00F61C66" w:rsidP="00A27AAA">
      <w:pPr>
        <w:pStyle w:val="ListParagraph"/>
        <w:numPr>
          <w:ilvl w:val="0"/>
          <w:numId w:val="22"/>
        </w:numPr>
        <w:spacing w:after="0" w:line="240" w:lineRule="auto"/>
        <w:jc w:val="both"/>
        <w:rPr>
          <w:rFonts w:asciiTheme="majorHAnsi" w:eastAsia="Work Sans" w:hAnsiTheme="majorHAnsi"/>
          <w:color w:val="000000" w:themeColor="background1"/>
          <w:szCs w:val="20"/>
        </w:rPr>
      </w:pPr>
      <w:r w:rsidRPr="00A608EE">
        <w:rPr>
          <w:rFonts w:asciiTheme="majorHAnsi" w:hAnsiTheme="majorHAnsi"/>
          <w:b/>
          <w:bCs/>
        </w:rPr>
        <w:t>[DI Focus]:</w:t>
      </w:r>
      <w:r w:rsidRPr="00A608EE">
        <w:rPr>
          <w:rFonts w:asciiTheme="majorHAnsi" w:hAnsiTheme="majorHAnsi"/>
        </w:rPr>
        <w:t xml:space="preserve"> </w:t>
      </w:r>
      <w:hyperlink r:id="rId227" w:history="1">
        <w:r w:rsidRPr="00A608EE">
          <w:rPr>
            <w:rStyle w:val="Hyperlink"/>
            <w:rFonts w:asciiTheme="majorHAnsi" w:hAnsiTheme="majorHAnsi"/>
          </w:rPr>
          <w:t>Project Nemo: ‘Safe Spending for Adults with a Learning Disability: A Call to Action for Financial Services’: Report on barriers to accessing financial services experienced by persons with learning disabilities in the UK, and recommended actions for FSPs to support safe and independent ac</w:t>
        </w:r>
      </w:hyperlink>
      <w:r w:rsidRPr="00A608EE">
        <w:rPr>
          <w:rFonts w:asciiTheme="majorHAnsi" w:hAnsiTheme="majorHAnsi"/>
        </w:rPr>
        <w:t xml:space="preserve">cess </w:t>
      </w:r>
    </w:p>
    <w:p w14:paraId="171BC5E2" w14:textId="76290DE5" w:rsidR="00F61C66" w:rsidRPr="00A608EE" w:rsidRDefault="004C0831" w:rsidP="00A27AAA">
      <w:pPr>
        <w:pStyle w:val="ListParagraph"/>
        <w:numPr>
          <w:ilvl w:val="0"/>
          <w:numId w:val="22"/>
        </w:numPr>
        <w:spacing w:after="0" w:line="240" w:lineRule="auto"/>
        <w:jc w:val="both"/>
        <w:rPr>
          <w:rFonts w:asciiTheme="majorHAnsi" w:eastAsia="Work Sans" w:hAnsiTheme="majorHAnsi"/>
          <w:color w:val="000000" w:themeColor="background1"/>
          <w:szCs w:val="20"/>
        </w:rPr>
      </w:pPr>
      <w:r w:rsidRPr="00A608EE">
        <w:rPr>
          <w:rFonts w:asciiTheme="majorHAnsi" w:hAnsiTheme="majorHAnsi"/>
          <w:b/>
          <w:bCs/>
        </w:rPr>
        <w:t>[DI Focus]:</w:t>
      </w:r>
      <w:r w:rsidRPr="00A608EE">
        <w:rPr>
          <w:rFonts w:asciiTheme="majorHAnsi" w:hAnsiTheme="majorHAnsi"/>
        </w:rPr>
        <w:t xml:space="preserve"> </w:t>
      </w:r>
      <w:hyperlink r:id="rId228" w:history="1">
        <w:r w:rsidR="00AF3865" w:rsidRPr="00A608EE">
          <w:rPr>
            <w:rStyle w:val="Hyperlink"/>
            <w:rFonts w:asciiTheme="majorHAnsi" w:hAnsiTheme="majorHAnsi"/>
          </w:rPr>
          <w:t xml:space="preserve">Case study: </w:t>
        </w:r>
        <w:r w:rsidRPr="00A608EE">
          <w:rPr>
            <w:rStyle w:val="Hyperlink"/>
            <w:rFonts w:asciiTheme="majorHAnsi" w:hAnsiTheme="majorHAnsi"/>
          </w:rPr>
          <w:t xml:space="preserve">SIBSTAR debit card and mobile app designed to enable safe and independent spending by persons with dementia </w:t>
        </w:r>
        <w:r w:rsidR="00AF3865" w:rsidRPr="00A608EE">
          <w:rPr>
            <w:rStyle w:val="Hyperlink"/>
            <w:rFonts w:asciiTheme="majorHAnsi" w:hAnsiTheme="majorHAnsi"/>
          </w:rPr>
          <w:t>(</w:t>
        </w:r>
        <w:r w:rsidRPr="00A608EE">
          <w:rPr>
            <w:rStyle w:val="Hyperlink"/>
            <w:rFonts w:asciiTheme="majorHAnsi" w:hAnsiTheme="majorHAnsi"/>
          </w:rPr>
          <w:t>Asian Development Bank (ADB) ‘Implementing Inclusive Design Principles in Banking Organizations’</w:t>
        </w:r>
        <w:r w:rsidR="00AF3865" w:rsidRPr="00A608EE">
          <w:rPr>
            <w:rStyle w:val="Hyperlink"/>
            <w:rFonts w:asciiTheme="majorHAnsi" w:hAnsiTheme="majorHAnsi"/>
          </w:rPr>
          <w:t xml:space="preserve"> page 20)</w:t>
        </w:r>
      </w:hyperlink>
    </w:p>
    <w:p w14:paraId="40FC289D" w14:textId="77777777" w:rsidR="00B52958" w:rsidRPr="00A608EE" w:rsidRDefault="00B52958" w:rsidP="00EE208A">
      <w:pPr>
        <w:jc w:val="both"/>
        <w:rPr>
          <w:rFonts w:asciiTheme="majorHAnsi" w:hAnsiTheme="majorHAnsi"/>
          <w:szCs w:val="20"/>
        </w:rPr>
      </w:pPr>
    </w:p>
    <w:p w14:paraId="346663FC" w14:textId="4BC2DC0D" w:rsidR="00F262F1" w:rsidRPr="00A608EE" w:rsidRDefault="003457B4" w:rsidP="00EE208A">
      <w:pPr>
        <w:pStyle w:val="Heading3"/>
        <w:spacing w:before="0" w:line="240" w:lineRule="auto"/>
        <w:jc w:val="both"/>
      </w:pPr>
      <w:bookmarkStart w:id="80" w:name="_Toc230938806"/>
      <w:r w:rsidRPr="00A608EE">
        <w:rPr>
          <w:rStyle w:val="text-primary"/>
        </w:rPr>
        <w:t xml:space="preserve">4.D.2 </w:t>
      </w:r>
      <w:r w:rsidR="002A3981" w:rsidRPr="00A608EE">
        <w:t>The provider informs clients about data privacy and data rights</w:t>
      </w:r>
      <w:r w:rsidR="001F0B6F" w:rsidRPr="00A608EE">
        <w:t>.</w:t>
      </w:r>
      <w:bookmarkEnd w:id="80"/>
    </w:p>
    <w:p w14:paraId="7CC76BCA" w14:textId="77777777" w:rsidR="001F0B6F" w:rsidRPr="00A608EE" w:rsidRDefault="001F0B6F" w:rsidP="00EE208A">
      <w:pPr>
        <w:jc w:val="both"/>
      </w:pPr>
    </w:p>
    <w:p w14:paraId="20E75F42"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be careful stewards of clients’ personal and financial information to build trust with clients and a reputation as a responsible actor in the sector. Especially with the rise of digitalization, the protection of the security and confidentiality of client data becomes a much more extensive and intensive undertaking. Digital channels make control of the clients’ data more difficult because the provider can no longer rely on the safekeeping of the physical files to be enough to ensure its safety. In some markets this has been an issue for a decade while in other markets digitalization has only proliferated since the Covid-19 pandemic. However, no matter where the provider is in its journey toward digitalization, it is important to take staff and clients along on that journey by providing sufficient digital education so that both staff and clients have the necessary tools and knowledge to keep their personal and financial information safe.</w:t>
      </w:r>
    </w:p>
    <w:p w14:paraId="1EBA5F96"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673E23F7" w14:textId="6D924051"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Starting at the time of application, the provider should obtain client consent before sharing personal information with any external audience, including credit bureaus, family members, guarantors, insurance agents, collections companies, and marketing material (e.g., annual reports, website), or other public content. This encourages a relationship of trust and respect. For instance, the provider requires clients to name one beneficiary for their life insurance policy so as to safeguard the clients’ account from all other people who have not been named as the beneficiary.</w:t>
      </w:r>
    </w:p>
    <w:p w14:paraId="2441060F"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55F6B563"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When talking to clients, emphasize the clients’ own responsibilities for keeping data private, such as storing records in a secure location and not sharing personal identification numbers (PINs). Finamérica (Colombia) publishes a brochure for clients with tips for information security, including the following: avoiding bank employee impersonators, avoiding robbery, </w:t>
      </w:r>
      <w:r w:rsidRPr="00A608EE">
        <w:rPr>
          <w:rFonts w:asciiTheme="majorHAnsi" w:hAnsiTheme="majorHAnsi"/>
          <w:sz w:val="20"/>
          <w:szCs w:val="20"/>
        </w:rPr>
        <w:lastRenderedPageBreak/>
        <w:t>keeping debit cards secure, protecting personal information, and how to contact the bank if a security problem is detected.</w:t>
      </w:r>
    </w:p>
    <w:p w14:paraId="49022D0F"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20EF07F8" w14:textId="6EF1B037" w:rsidR="002A3981" w:rsidRPr="00A608EE" w:rsidRDefault="002A398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4.D.2</w:t>
      </w:r>
    </w:p>
    <w:p w14:paraId="413D60DA" w14:textId="2D83CCA9" w:rsidR="00644B9A" w:rsidRPr="00A608EE" w:rsidRDefault="00644B9A" w:rsidP="00A27AAA">
      <w:pPr>
        <w:pStyle w:val="NormalWeb"/>
        <w:numPr>
          <w:ilvl w:val="0"/>
          <w:numId w:val="71"/>
        </w:numPr>
        <w:spacing w:before="0" w:beforeAutospacing="0" w:after="0" w:afterAutospacing="0"/>
        <w:jc w:val="both"/>
        <w:rPr>
          <w:rFonts w:asciiTheme="majorHAnsi" w:hAnsiTheme="majorHAnsi"/>
          <w:sz w:val="20"/>
          <w:szCs w:val="20"/>
        </w:rPr>
      </w:pPr>
      <w:hyperlink r:id="rId229" w:tgtFrame="_blank" w:history="1">
        <w:r w:rsidRPr="00A608EE">
          <w:rPr>
            <w:rStyle w:val="Hyperlink"/>
            <w:rFonts w:asciiTheme="majorHAnsi" w:hAnsiTheme="majorHAnsi"/>
            <w:sz w:val="20"/>
            <w:szCs w:val="20"/>
          </w:rPr>
          <w:t>Sample Consent Form for Sharing Client Data</w:t>
        </w:r>
      </w:hyperlink>
    </w:p>
    <w:p w14:paraId="6AB9590B" w14:textId="77777777" w:rsidR="00644B9A" w:rsidRPr="00A608EE" w:rsidRDefault="00644B9A" w:rsidP="00A27AAA">
      <w:pPr>
        <w:pStyle w:val="NormalWeb"/>
        <w:numPr>
          <w:ilvl w:val="0"/>
          <w:numId w:val="71"/>
        </w:numPr>
        <w:spacing w:before="0" w:beforeAutospacing="0" w:after="0" w:afterAutospacing="0"/>
        <w:jc w:val="both"/>
        <w:rPr>
          <w:rFonts w:asciiTheme="majorHAnsi" w:hAnsiTheme="majorHAnsi"/>
          <w:sz w:val="20"/>
          <w:szCs w:val="20"/>
        </w:rPr>
      </w:pPr>
      <w:hyperlink r:id="rId230" w:tgtFrame="_blank" w:history="1">
        <w:r w:rsidRPr="00A608EE">
          <w:rPr>
            <w:rStyle w:val="Hyperlink"/>
            <w:rFonts w:asciiTheme="majorHAnsi" w:hAnsiTheme="majorHAnsi"/>
            <w:sz w:val="20"/>
            <w:szCs w:val="20"/>
          </w:rPr>
          <w:t>How Unauthorized Data Sharing Can Hurt Your Institution</w:t>
        </w:r>
      </w:hyperlink>
    </w:p>
    <w:p w14:paraId="5EEBE809" w14:textId="77777777" w:rsidR="00205ED4" w:rsidRPr="00A608EE" w:rsidRDefault="00205ED4" w:rsidP="00EE208A">
      <w:pPr>
        <w:pStyle w:val="NormalWeb"/>
        <w:spacing w:before="0" w:beforeAutospacing="0" w:after="0" w:afterAutospacing="0"/>
        <w:jc w:val="both"/>
        <w:rPr>
          <w:rFonts w:asciiTheme="majorHAnsi" w:hAnsiTheme="majorHAnsi"/>
          <w:sz w:val="20"/>
          <w:szCs w:val="20"/>
        </w:rPr>
      </w:pPr>
    </w:p>
    <w:p w14:paraId="3E0502BE" w14:textId="77777777" w:rsidR="003E2F1B" w:rsidRPr="00A608EE" w:rsidRDefault="003E2F1B" w:rsidP="00EE208A">
      <w:pPr>
        <w:pStyle w:val="NormalWeb"/>
        <w:spacing w:before="0" w:beforeAutospacing="0" w:after="0" w:afterAutospacing="0"/>
        <w:jc w:val="both"/>
        <w:rPr>
          <w:rFonts w:asciiTheme="majorHAnsi" w:hAnsiTheme="majorHAnsi"/>
          <w:sz w:val="20"/>
          <w:szCs w:val="20"/>
        </w:rPr>
      </w:pPr>
    </w:p>
    <w:p w14:paraId="2D4A3428" w14:textId="0D6ADB5F" w:rsidR="003457B4" w:rsidRPr="00A608EE" w:rsidRDefault="003457B4" w:rsidP="00EE208A">
      <w:pPr>
        <w:pStyle w:val="Heading4"/>
        <w:spacing w:before="0" w:line="240" w:lineRule="auto"/>
        <w:jc w:val="both"/>
      </w:pPr>
      <w:r w:rsidRPr="00A608EE">
        <w:rPr>
          <w:rStyle w:val="text-primary"/>
        </w:rPr>
        <w:t>4.D.2.1</w:t>
      </w:r>
      <w:r w:rsidRPr="00A608EE">
        <w:t xml:space="preserve"> </w:t>
      </w:r>
      <w:r w:rsidR="002A3981" w:rsidRPr="00A608EE">
        <w:t>The provider explains to clients how it will use client data, with whom it will share the data, and how third parties will use the data. The provider receives clients' consent before using or sharing their data</w:t>
      </w:r>
      <w:r w:rsidR="008C7CAD" w:rsidRPr="00A608EE">
        <w:t>.</w:t>
      </w:r>
    </w:p>
    <w:p w14:paraId="3EFE917C" w14:textId="77777777" w:rsidR="00365427" w:rsidRPr="00A608EE" w:rsidRDefault="00365427" w:rsidP="00EE208A">
      <w:pPr>
        <w:jc w:val="both"/>
        <w:rPr>
          <w:rFonts w:asciiTheme="majorHAnsi" w:hAnsiTheme="majorHAnsi"/>
          <w:szCs w:val="20"/>
        </w:rPr>
      </w:pPr>
    </w:p>
    <w:p w14:paraId="300C2B3C" w14:textId="65D0AF4E" w:rsidR="003E2F1B" w:rsidRPr="00A608EE" w:rsidRDefault="004D1B76"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E2F1B" w:rsidRPr="00A608EE">
        <w:rPr>
          <w:rFonts w:asciiTheme="majorHAnsi" w:hAnsiTheme="majorHAnsi" w:cstheme="majorHAnsi"/>
          <w:b/>
          <w:bCs/>
          <w:color w:val="2145CC" w:themeColor="accent5" w:themeShade="BF"/>
          <w:sz w:val="20"/>
          <w:szCs w:val="20"/>
        </w:rPr>
        <w:t>ALINUS | SPI5 Entry | SPI5 Full | CP Commit | CP Full – Entry CP</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1EA160D2" w14:textId="410D91ED" w:rsidR="003E2F1B" w:rsidRPr="00A608EE" w:rsidRDefault="000D7442"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542AD761" w14:textId="7FCBF00C" w:rsidR="000D7442" w:rsidRPr="00A608EE" w:rsidRDefault="002A3981" w:rsidP="003A06B6">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indicator measures whether the provider has sought an environment of informed consent with its clients on the collection, use, and sharing of the client’s personal data. The sales process should include a clear explanation of how client data will be used or shared. If third parties such as the credit bureau, or an insurance company receive any piece of client information, clients need to be aware who will receive what information, and for what specific purpose these third parties use the data.</w:t>
      </w:r>
    </w:p>
    <w:p w14:paraId="73772AC4" w14:textId="33FB3B71" w:rsidR="004D5D34" w:rsidRPr="00A608EE" w:rsidRDefault="004D5D34" w:rsidP="00A02AC4">
      <w:pPr>
        <w:rPr>
          <w:rFonts w:asciiTheme="majorHAnsi" w:hAnsiTheme="majorHAnsi"/>
          <w:szCs w:val="20"/>
          <w:lang w:eastAsia="fr-FR"/>
        </w:rPr>
      </w:pPr>
    </w:p>
    <w:p w14:paraId="641253ED" w14:textId="4AF8858F"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Examples of data sharing:</w:t>
      </w:r>
    </w:p>
    <w:p w14:paraId="2E2A8BD5" w14:textId="77777777" w:rsidR="002A3981" w:rsidRPr="00A608EE" w:rsidRDefault="002A3981" w:rsidP="00A27AAA">
      <w:pPr>
        <w:pStyle w:val="NormalWeb"/>
        <w:numPr>
          <w:ilvl w:val="0"/>
          <w:numId w:val="27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Reporting client data to credit bureaus.</w:t>
      </w:r>
    </w:p>
    <w:p w14:paraId="314330F6" w14:textId="77777777" w:rsidR="002A3981" w:rsidRPr="00A608EE" w:rsidRDefault="002A3981" w:rsidP="00A27AAA">
      <w:pPr>
        <w:pStyle w:val="NormalWeb"/>
        <w:numPr>
          <w:ilvl w:val="0"/>
          <w:numId w:val="27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Using client data for marketing, (client personal/individual data, stories and picture, quotes, satisfaction survey results....).</w:t>
      </w:r>
    </w:p>
    <w:p w14:paraId="79BA2B40" w14:textId="77777777" w:rsidR="002A3981" w:rsidRPr="00A608EE" w:rsidRDefault="002A3981" w:rsidP="00A27AAA">
      <w:pPr>
        <w:pStyle w:val="NormalWeb"/>
        <w:numPr>
          <w:ilvl w:val="0"/>
          <w:numId w:val="27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Selling client data to third parties.</w:t>
      </w:r>
    </w:p>
    <w:p w14:paraId="761A26F0" w14:textId="77777777" w:rsidR="002A3981" w:rsidRPr="00A608EE" w:rsidRDefault="002A3981" w:rsidP="00A27AAA">
      <w:pPr>
        <w:pStyle w:val="NormalWeb"/>
        <w:numPr>
          <w:ilvl w:val="0"/>
          <w:numId w:val="27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Delegating collections of delinquent loans to specialized collection agency.</w:t>
      </w:r>
    </w:p>
    <w:p w14:paraId="6454CC95" w14:textId="77777777" w:rsidR="002A3981" w:rsidRPr="00A608EE" w:rsidRDefault="002A3981" w:rsidP="00A27AAA">
      <w:pPr>
        <w:pStyle w:val="NormalWeb"/>
        <w:numPr>
          <w:ilvl w:val="0"/>
          <w:numId w:val="27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Using client geo-location data.</w:t>
      </w:r>
    </w:p>
    <w:p w14:paraId="243952A9" w14:textId="77777777" w:rsidR="002A3981" w:rsidRPr="00A608EE" w:rsidRDefault="002A3981" w:rsidP="00A27AAA">
      <w:pPr>
        <w:pStyle w:val="NormalWeb"/>
        <w:numPr>
          <w:ilvl w:val="0"/>
          <w:numId w:val="27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Using client personal data to inform loan decision (apps that look into your social networks, your contacts, your pictures...).</w:t>
      </w:r>
    </w:p>
    <w:p w14:paraId="37CD3490"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34A70B98"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77376" behindDoc="1" locked="0" layoutInCell="1" allowOverlap="1" wp14:anchorId="0774A1A3" wp14:editId="194909DD">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64642135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1B0DF3B"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6C460ABC" w14:textId="5E04804F" w:rsidR="004D5D34" w:rsidRPr="00A608EE" w:rsidRDefault="00FC6779" w:rsidP="004D5D34">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4D5D34" w:rsidRPr="00A608EE">
        <w:rPr>
          <w:rFonts w:asciiTheme="majorHAnsi" w:hAnsiTheme="majorHAnsi"/>
          <w:sz w:val="20"/>
          <w:szCs w:val="20"/>
        </w:rPr>
        <w:t>The provider explains to clients how it will use client data, with whom it will share the data, and how third parties will use the data, and receives clients’ consent before using or sharing their data. This information is provided in ways that are accessible for clients with different types of impairments (e.g. easy-read, large print, braille, audio formats, oral information, sign language, accessible digital channels), ensuring understanding and informed consent.</w:t>
      </w:r>
    </w:p>
    <w:p w14:paraId="5616B3C0" w14:textId="77777777" w:rsidR="004D5D34" w:rsidRPr="00A608EE" w:rsidRDefault="004D5D34" w:rsidP="00A27AAA">
      <w:pPr>
        <w:pStyle w:val="ListParagraph"/>
        <w:numPr>
          <w:ilvl w:val="0"/>
          <w:numId w:val="79"/>
        </w:numPr>
        <w:ind w:left="426"/>
        <w:rPr>
          <w:rFonts w:asciiTheme="majorHAnsi" w:hAnsiTheme="majorHAnsi"/>
          <w:szCs w:val="20"/>
          <w:lang w:eastAsia="fr-FR"/>
        </w:rPr>
      </w:pPr>
      <w:r w:rsidRPr="00A608EE">
        <w:rPr>
          <w:rFonts w:asciiTheme="majorHAnsi" w:hAnsiTheme="majorHAnsi"/>
          <w:szCs w:val="20"/>
          <w:lang w:eastAsia="fr-FR"/>
        </w:rPr>
        <w:t xml:space="preserve">When requesting consent, the provider explains in simple, local language (written or oral) how client data will be used, and ensures accessibility for clients with different types of impairments. </w:t>
      </w:r>
    </w:p>
    <w:p w14:paraId="3FFAA47E" w14:textId="77777777" w:rsidR="004D5D34" w:rsidRPr="00A608EE" w:rsidRDefault="004D5D34" w:rsidP="00A27AAA">
      <w:pPr>
        <w:pStyle w:val="ListParagraph"/>
        <w:numPr>
          <w:ilvl w:val="0"/>
          <w:numId w:val="79"/>
        </w:numPr>
        <w:ind w:left="426"/>
        <w:rPr>
          <w:rFonts w:asciiTheme="majorHAnsi" w:hAnsiTheme="majorHAnsi"/>
          <w:szCs w:val="20"/>
          <w:lang w:eastAsia="fr-FR"/>
        </w:rPr>
      </w:pPr>
      <w:r w:rsidRPr="00A608EE">
        <w:rPr>
          <w:rFonts w:asciiTheme="majorHAnsi" w:hAnsiTheme="majorHAnsi"/>
          <w:szCs w:val="20"/>
          <w:lang w:eastAsia="fr-FR"/>
        </w:rPr>
        <w:t xml:space="preserve">The provider trains clients on the importance of protecting their personal information (including Personal Identification Numbers (PINs), savings account balances, and information on repayment issues), ensuring that training is accessible and inclusive for clients with different types of impairments and provides appropriate adaptations where needed. </w:t>
      </w:r>
    </w:p>
    <w:p w14:paraId="0D854427" w14:textId="77777777" w:rsidR="004D5D34" w:rsidRPr="00A608EE" w:rsidRDefault="004D5D34" w:rsidP="00A27AAA">
      <w:pPr>
        <w:pStyle w:val="ListParagraph"/>
        <w:numPr>
          <w:ilvl w:val="0"/>
          <w:numId w:val="79"/>
        </w:numPr>
        <w:ind w:left="426"/>
        <w:rPr>
          <w:rFonts w:asciiTheme="majorHAnsi" w:hAnsiTheme="majorHAnsi"/>
          <w:szCs w:val="20"/>
          <w:lang w:eastAsia="fr-FR"/>
        </w:rPr>
      </w:pPr>
      <w:r w:rsidRPr="00A608EE">
        <w:rPr>
          <w:rFonts w:asciiTheme="majorHAnsi" w:hAnsiTheme="majorHAnsi"/>
          <w:szCs w:val="20"/>
          <w:lang w:eastAsia="fr-FR"/>
        </w:rPr>
        <w:t xml:space="preserve">The provider gives clients the right to withdraw their permission to use data and clearly explains any consequences of withdrawal, in accessible formats and with communication adapted for clients with different types of impairments. </w:t>
      </w:r>
    </w:p>
    <w:p w14:paraId="4C943F7E" w14:textId="77777777" w:rsidR="004D5D34" w:rsidRPr="00A608EE" w:rsidRDefault="004D5D34" w:rsidP="00A27AAA">
      <w:pPr>
        <w:pStyle w:val="ListParagraph"/>
        <w:numPr>
          <w:ilvl w:val="0"/>
          <w:numId w:val="79"/>
        </w:numPr>
        <w:ind w:left="426"/>
        <w:rPr>
          <w:rFonts w:asciiTheme="majorHAnsi" w:hAnsiTheme="majorHAnsi"/>
          <w:szCs w:val="20"/>
          <w:lang w:eastAsia="fr-FR"/>
        </w:rPr>
      </w:pPr>
      <w:r w:rsidRPr="00A608EE">
        <w:rPr>
          <w:rFonts w:asciiTheme="majorHAnsi" w:hAnsiTheme="majorHAnsi"/>
          <w:szCs w:val="20"/>
          <w:lang w:eastAsia="fr-FR"/>
        </w:rPr>
        <w:t>Client-facing staff are trained in accessible communication and interaction with clients with different types of impairments (physical, mental, intellectual, or sensory impairments), particularly in relation to data use, consent, and privacy.</w:t>
      </w:r>
    </w:p>
    <w:p w14:paraId="49E466D9" w14:textId="77777777" w:rsidR="004D5D34" w:rsidRPr="00A608EE" w:rsidRDefault="004D5D34" w:rsidP="00EE208A">
      <w:pPr>
        <w:pStyle w:val="NormalWeb"/>
        <w:spacing w:before="0" w:beforeAutospacing="0" w:after="0" w:afterAutospacing="0"/>
        <w:jc w:val="both"/>
        <w:rPr>
          <w:rFonts w:asciiTheme="majorHAnsi" w:hAnsiTheme="majorHAnsi"/>
          <w:sz w:val="20"/>
          <w:szCs w:val="20"/>
        </w:rPr>
      </w:pPr>
    </w:p>
    <w:p w14:paraId="5CA97BFE" w14:textId="77777777" w:rsidR="00CB2F38" w:rsidRPr="00A608EE" w:rsidRDefault="00CB2F38" w:rsidP="00EE208A">
      <w:pPr>
        <w:pStyle w:val="NormalWeb"/>
        <w:spacing w:before="0" w:beforeAutospacing="0" w:after="0" w:afterAutospacing="0"/>
        <w:jc w:val="both"/>
        <w:rPr>
          <w:rFonts w:asciiTheme="majorHAnsi" w:hAnsiTheme="majorHAnsi"/>
          <w:b/>
          <w:bCs/>
          <w:sz w:val="20"/>
          <w:szCs w:val="20"/>
        </w:rPr>
      </w:pPr>
    </w:p>
    <w:p w14:paraId="4624F1C4" w14:textId="768EBB04" w:rsidR="002A3981" w:rsidRPr="00A608EE" w:rsidRDefault="002A398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125BB3EA" w14:textId="77777777" w:rsidR="002A3981" w:rsidRPr="00A608EE" w:rsidRDefault="002A3981" w:rsidP="00A27AAA">
      <w:pPr>
        <w:pStyle w:val="NormalWeb"/>
        <w:numPr>
          <w:ilvl w:val="0"/>
          <w:numId w:val="27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has an effective process in place to clearly inform all clients about (1) how it will use their data and (2) with whom and for what purpose it will share their data (3) PRIOR to the client’s signing of the contract/consent document and (4) monitor regularly the effectiveness of this process.</w:t>
      </w:r>
    </w:p>
    <w:p w14:paraId="6311C4F7" w14:textId="77777777" w:rsidR="002A3981" w:rsidRPr="00A608EE" w:rsidRDefault="002A3981" w:rsidP="00A27AAA">
      <w:pPr>
        <w:pStyle w:val="NormalWeb"/>
        <w:numPr>
          <w:ilvl w:val="0"/>
          <w:numId w:val="27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four requirements are not met fully. For instance, the provider provides this information in full, but AFTER the client signs the contract, or the provider only informs the client to consult the credit bureau without mentioning that her/his own loan information and status will be shared.</w:t>
      </w:r>
    </w:p>
    <w:p w14:paraId="3BBE10F8" w14:textId="77777777" w:rsidR="002A3981" w:rsidRPr="00A608EE" w:rsidRDefault="002A3981" w:rsidP="00A27AAA">
      <w:pPr>
        <w:pStyle w:val="NormalWeb"/>
        <w:numPr>
          <w:ilvl w:val="0"/>
          <w:numId w:val="27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fails to explain systematically to clients how and with whom it will use their data.</w:t>
      </w:r>
    </w:p>
    <w:p w14:paraId="2AE3DC73"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059DE0C0" w14:textId="56663A9F" w:rsidR="002A3981" w:rsidRPr="00A608EE" w:rsidRDefault="002A398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14C3D362" w14:textId="77777777" w:rsidR="002A3981" w:rsidRPr="00A608EE" w:rsidRDefault="002A3981" w:rsidP="00A27AAA">
      <w:pPr>
        <w:pStyle w:val="NormalWeb"/>
        <w:numPr>
          <w:ilvl w:val="0"/>
          <w:numId w:val="27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template contract and/or a sample client loan application.</w:t>
      </w:r>
    </w:p>
    <w:p w14:paraId="379121D5" w14:textId="77777777" w:rsidR="002A3981" w:rsidRPr="00A608EE" w:rsidRDefault="002A3981" w:rsidP="00A27AAA">
      <w:pPr>
        <w:pStyle w:val="NormalWeb"/>
        <w:numPr>
          <w:ilvl w:val="0"/>
          <w:numId w:val="27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Listening to the sales pitch, contract signing, and disbursement to hear how staff address the issue of data privacy and consent.</w:t>
      </w:r>
    </w:p>
    <w:p w14:paraId="55CBA9F1" w14:textId="77777777" w:rsidR="002A3981" w:rsidRPr="00A608EE" w:rsidRDefault="002A3981" w:rsidP="00A27AAA">
      <w:pPr>
        <w:pStyle w:val="NormalWeb"/>
        <w:numPr>
          <w:ilvl w:val="0"/>
          <w:numId w:val="27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Client interviews to gage their understanding of the use and/or sharing of their data.</w:t>
      </w:r>
    </w:p>
    <w:p w14:paraId="74E5EEB1"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014359EC" w14:textId="028CF6D5" w:rsidR="002A3981" w:rsidRPr="00A608EE" w:rsidRDefault="002A398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0FDD5E45"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Note when the data sharing is explained, and how, and how well clients understand the use and sharing of their data.</w:t>
      </w:r>
    </w:p>
    <w:p w14:paraId="1437746F" w14:textId="77777777" w:rsidR="00AD277E" w:rsidRPr="00A608EE" w:rsidRDefault="00AD277E" w:rsidP="00EE208A">
      <w:pPr>
        <w:jc w:val="both"/>
        <w:rPr>
          <w:rFonts w:asciiTheme="majorHAnsi" w:hAnsiTheme="majorHAnsi"/>
          <w:szCs w:val="20"/>
        </w:rPr>
      </w:pPr>
    </w:p>
    <w:p w14:paraId="2CE35A9F" w14:textId="2076C3F1" w:rsidR="00F0241D" w:rsidRPr="00A608EE" w:rsidRDefault="002A3981" w:rsidP="00EE208A">
      <w:pPr>
        <w:pStyle w:val="Heading2"/>
        <w:spacing w:before="0" w:line="240" w:lineRule="auto"/>
        <w:jc w:val="both"/>
      </w:pPr>
      <w:bookmarkStart w:id="81" w:name="_Toc230938807"/>
      <w:r w:rsidRPr="00A608EE">
        <w:t>Standard 4E. The provider receives and resolves client complaints.</w:t>
      </w:r>
      <w:bookmarkEnd w:id="81"/>
    </w:p>
    <w:p w14:paraId="79F3C0A8" w14:textId="77777777" w:rsidR="002456E6" w:rsidRPr="00A608EE" w:rsidRDefault="002456E6" w:rsidP="00EE208A">
      <w:pPr>
        <w:pStyle w:val="NormalWeb"/>
        <w:spacing w:before="0" w:beforeAutospacing="0" w:after="0" w:afterAutospacing="0"/>
        <w:jc w:val="both"/>
        <w:rPr>
          <w:rFonts w:asciiTheme="majorHAnsi" w:hAnsiTheme="majorHAnsi"/>
          <w:sz w:val="20"/>
          <w:szCs w:val="20"/>
        </w:rPr>
      </w:pPr>
    </w:p>
    <w:p w14:paraId="7300D50B"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Open lines of communication between the provider and its clients are essential to building trust, resolving issues, and improving products over time.  Providers should have multiple channels by which their clients can reach them to report a complaint. However, it is vital that managers and staff recognize that clients call or write for a variety of reasons aside from complaints e.g., with questions, to request additional products, to make suggestions, to request assistance, etc. A Complaints Handling Mechanism constitutes various convenient and affordable channels of communication to connect the provider to its clients for the benefit of both the clients and the provider. Staff should not see it negatively as a convenient way for clients to complain about staff.</w:t>
      </w:r>
    </w:p>
    <w:p w14:paraId="655C4319"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01F9FCCA" w14:textId="556A2D64"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standard has 3 essential practices:</w:t>
      </w:r>
    </w:p>
    <w:p w14:paraId="6E63732C" w14:textId="77777777" w:rsidR="002A3981" w:rsidRPr="00A608EE" w:rsidRDefault="002A3981" w:rsidP="00A27AAA">
      <w:pPr>
        <w:pStyle w:val="NormalWeb"/>
        <w:numPr>
          <w:ilvl w:val="0"/>
          <w:numId w:val="276"/>
        </w:numPr>
        <w:spacing w:before="0" w:beforeAutospacing="0" w:after="0" w:afterAutospacing="0"/>
        <w:jc w:val="both"/>
        <w:rPr>
          <w:rFonts w:asciiTheme="majorHAnsi" w:hAnsiTheme="majorHAnsi"/>
          <w:sz w:val="20"/>
          <w:szCs w:val="20"/>
        </w:rPr>
      </w:pPr>
      <w:hyperlink r:id="rId231" w:anchor="4e1" w:history="1">
        <w:r w:rsidRPr="00A608EE">
          <w:rPr>
            <w:rFonts w:asciiTheme="majorHAnsi" w:hAnsiTheme="majorHAnsi"/>
            <w:sz w:val="20"/>
            <w:szCs w:val="20"/>
          </w:rPr>
          <w:t>Essential practice 4.E.1: The provider has a complaints mechanism that is easily accessible to clients and adapted to their needs.</w:t>
        </w:r>
      </w:hyperlink>
    </w:p>
    <w:p w14:paraId="78465C1D" w14:textId="77777777" w:rsidR="002A3981" w:rsidRPr="00A608EE" w:rsidRDefault="002A3981" w:rsidP="00A27AAA">
      <w:pPr>
        <w:pStyle w:val="NormalWeb"/>
        <w:numPr>
          <w:ilvl w:val="0"/>
          <w:numId w:val="276"/>
        </w:numPr>
        <w:spacing w:before="0" w:beforeAutospacing="0" w:after="0" w:afterAutospacing="0"/>
        <w:jc w:val="both"/>
        <w:rPr>
          <w:rFonts w:asciiTheme="majorHAnsi" w:hAnsiTheme="majorHAnsi"/>
          <w:sz w:val="20"/>
          <w:szCs w:val="20"/>
        </w:rPr>
      </w:pPr>
      <w:hyperlink r:id="rId232" w:anchor="4e2" w:history="1">
        <w:r w:rsidRPr="00A608EE">
          <w:rPr>
            <w:rFonts w:asciiTheme="majorHAnsi" w:hAnsiTheme="majorHAnsi"/>
            <w:sz w:val="20"/>
            <w:szCs w:val="20"/>
          </w:rPr>
          <w:t>Essential practice 4.E.2: The provider resolves complaints efficiently.</w:t>
        </w:r>
      </w:hyperlink>
    </w:p>
    <w:p w14:paraId="67DB2F40" w14:textId="2179F903" w:rsidR="00205ED4" w:rsidRPr="00A608EE" w:rsidRDefault="002A3981" w:rsidP="00A27AAA">
      <w:pPr>
        <w:pStyle w:val="NormalWeb"/>
        <w:numPr>
          <w:ilvl w:val="0"/>
          <w:numId w:val="276"/>
        </w:numPr>
        <w:spacing w:before="0" w:beforeAutospacing="0" w:after="0" w:afterAutospacing="0"/>
        <w:jc w:val="both"/>
        <w:rPr>
          <w:rFonts w:asciiTheme="majorHAnsi" w:hAnsiTheme="majorHAnsi"/>
          <w:sz w:val="20"/>
          <w:szCs w:val="20"/>
        </w:rPr>
      </w:pPr>
      <w:hyperlink r:id="rId233" w:anchor="4e3" w:history="1">
        <w:r w:rsidRPr="00A608EE">
          <w:rPr>
            <w:rFonts w:asciiTheme="majorHAnsi" w:hAnsiTheme="majorHAnsi"/>
            <w:sz w:val="20"/>
            <w:szCs w:val="20"/>
          </w:rPr>
          <w:t>Essential practice 4.E.3: The provider uses information from complaints to manage operations and improve product and service quality.</w:t>
        </w:r>
      </w:hyperlink>
    </w:p>
    <w:p w14:paraId="18EBC021" w14:textId="77777777" w:rsidR="00DF4D55" w:rsidRPr="00A608EE" w:rsidRDefault="00DF4D55" w:rsidP="00EE208A">
      <w:pPr>
        <w:jc w:val="both"/>
        <w:rPr>
          <w:rFonts w:asciiTheme="majorHAnsi" w:hAnsiTheme="majorHAnsi"/>
          <w:szCs w:val="20"/>
        </w:rPr>
      </w:pPr>
    </w:p>
    <w:p w14:paraId="1E67CF92" w14:textId="15813C02" w:rsidR="00F0241D" w:rsidRPr="00A608EE" w:rsidRDefault="00F0241D" w:rsidP="00EE208A">
      <w:pPr>
        <w:pStyle w:val="Heading3"/>
        <w:spacing w:before="0" w:line="240" w:lineRule="auto"/>
        <w:jc w:val="both"/>
      </w:pPr>
      <w:bookmarkStart w:id="82" w:name="_Toc230938808"/>
      <w:r w:rsidRPr="00A608EE">
        <w:rPr>
          <w:rStyle w:val="text-primary"/>
        </w:rPr>
        <w:t>4.E.1</w:t>
      </w:r>
      <w:r w:rsidRPr="00A608EE">
        <w:t xml:space="preserve"> </w:t>
      </w:r>
      <w:r w:rsidR="002A3981" w:rsidRPr="00A608EE">
        <w:t>The provider has a complaints mechanism that is easily accessible to clients and adapted to their needs</w:t>
      </w:r>
      <w:r w:rsidR="00444E1F" w:rsidRPr="00A608EE">
        <w:t>.</w:t>
      </w:r>
      <w:bookmarkEnd w:id="82"/>
    </w:p>
    <w:p w14:paraId="44222CDF" w14:textId="77777777" w:rsidR="00DF4D55" w:rsidRPr="00A608EE" w:rsidRDefault="00DF4D55" w:rsidP="00EE208A">
      <w:pPr>
        <w:pStyle w:val="NormalWeb"/>
        <w:spacing w:before="0" w:beforeAutospacing="0" w:after="0" w:afterAutospacing="0"/>
        <w:jc w:val="both"/>
        <w:rPr>
          <w:rFonts w:asciiTheme="majorHAnsi" w:hAnsiTheme="majorHAnsi"/>
          <w:sz w:val="20"/>
          <w:szCs w:val="20"/>
        </w:rPr>
      </w:pPr>
      <w:bookmarkStart w:id="83" w:name="_Hlk201846950"/>
    </w:p>
    <w:bookmarkEnd w:id="83"/>
    <w:p w14:paraId="4DA84FF3"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must have a Complaints Handling Mechanism that allows clients to raise issues, make complaints, and ask questions. An effective mechanism allows for a timely response to clients, and it enables providers to address both individual and systematic problems. It empowers clients to deal with questions and problems, making it more likely that they will be informed, confident consumers. It also gives providers the opportunity to resolve questions and complaints before they interfere with client loyalty and retention. Many issues are fairly simple to resolve—for example, questions about insurance benefits or complaints about a non-responsive ATM—and are not worth losing clients. Responsiveness of the providers also makes it less likely that dissatisfied clients hurt their reputation in the market.</w:t>
      </w:r>
    </w:p>
    <w:p w14:paraId="1B619550"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4D1000B5" w14:textId="59FEB48E"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Whatever mechanism(s) chosen, providers must put in place a specific complaints policy that includes the following elements:</w:t>
      </w:r>
    </w:p>
    <w:p w14:paraId="79F7FB03" w14:textId="77777777" w:rsidR="002A3981" w:rsidRPr="00A608EE" w:rsidRDefault="002A3981" w:rsidP="00A27AAA">
      <w:pPr>
        <w:pStyle w:val="NormalWeb"/>
        <w:numPr>
          <w:ilvl w:val="0"/>
          <w:numId w:val="27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Resolution procedures: Define how to manage and resolve complaints, including what types of complaints can be handled by the person receiving the complaint (loan officer, branch manager), and what types should be referred to designated complaints personnel or management.</w:t>
      </w:r>
    </w:p>
    <w:p w14:paraId="3965AB6F" w14:textId="77777777" w:rsidR="002A3981" w:rsidRPr="00A608EE" w:rsidRDefault="002A3981" w:rsidP="00A27AAA">
      <w:pPr>
        <w:pStyle w:val="NormalWeb"/>
        <w:numPr>
          <w:ilvl w:val="0"/>
          <w:numId w:val="27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Reporting system: The system should ensure that employees register all complaints—for example, by using a numbered register or tracking in a database that allows to follow the case through to resolution, and to analyze complaints in aggregate.</w:t>
      </w:r>
    </w:p>
    <w:p w14:paraId="0C6E9938" w14:textId="77777777" w:rsidR="002A3981" w:rsidRPr="00A608EE" w:rsidRDefault="002A3981" w:rsidP="00A27AAA">
      <w:pPr>
        <w:pStyle w:val="NormalWeb"/>
        <w:numPr>
          <w:ilvl w:val="0"/>
          <w:numId w:val="27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Communication with agents: If clients have complaints about a third-party provider or agent (e.g., external collections agency, insurance company, digital POS), clients should be able to complain directly to the third party OR to you. Ask the external provider for access to client complaints made by clients. Clients see third-party providers and agents as an extension of their providers, so it is important to know about client complaints against the third-party providers.  If third-party providers will not share an aggregated monthly list of the complaints against them, then the providers should train their clients to complain about the agents directly to them.</w:t>
      </w:r>
    </w:p>
    <w:p w14:paraId="09F8AF4C" w14:textId="77777777" w:rsidR="002A3981" w:rsidRPr="00A608EE" w:rsidRDefault="002A3981" w:rsidP="00A27AAA">
      <w:pPr>
        <w:pStyle w:val="NormalWeb"/>
        <w:numPr>
          <w:ilvl w:val="0"/>
          <w:numId w:val="27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Defined timelines: quick responses to client complaints, ideally within 24 or 48 hours for most complaints and questions and within no more than a month of submission for serious/complicated cases. Resolution time should be based on the severity of the complaint. Many issues can be resolved on the same day they are raised. These issues include the “frequent questions/complaints” that all employees are authorized to handle. Others will require follow-up and investigation, such as accusations against an employee or problems using a product or service. Create a timeline for complaints resolution, including realistic but responsive timeframes for dealing with these different types of issues.</w:t>
      </w:r>
    </w:p>
    <w:p w14:paraId="79F57E64"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2469A1B2" w14:textId="304FA18D"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Complaints Handling Mechanism refers to the process of recording a complaint in a database, recording the steps taken toward resolution, and documenting the final resolution. This process must facilitate analyzing the database of complaints to assist the provider in identifying trends and provider-wide issues. This process should be as automatic as possible. For example, each complaint is recorded in an internal database and is automatically assigned a reference number. Additional database entries are recorded when that complaint is “in process” (e.g., being reviewed by an Ethics Committee), and when it is resolved. The database should allow providers to easily aggregate complaints from all different channels and analyze them by type (e.g., loan questions, employee misconduct, problems with infrastructure), location, and other relevant factors. Ideally, the database will also generate reports on complaints trends – these should be shared with management and the board on a regular basis.</w:t>
      </w:r>
    </w:p>
    <w:p w14:paraId="06D4E486" w14:textId="77777777" w:rsidR="002A3981" w:rsidRPr="00A608EE" w:rsidRDefault="002A3981" w:rsidP="00EE208A">
      <w:pPr>
        <w:pStyle w:val="NormalWeb"/>
        <w:spacing w:before="0" w:beforeAutospacing="0" w:after="0" w:afterAutospacing="0"/>
        <w:jc w:val="both"/>
        <w:rPr>
          <w:rFonts w:asciiTheme="majorHAnsi" w:hAnsiTheme="majorHAnsi"/>
          <w:b/>
          <w:bCs/>
          <w:sz w:val="20"/>
          <w:szCs w:val="20"/>
        </w:rPr>
      </w:pPr>
    </w:p>
    <w:p w14:paraId="036CEE27" w14:textId="013FC77E" w:rsidR="002A3981" w:rsidRPr="00A608EE" w:rsidRDefault="002A398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Inform clients on their right to complain</w:t>
      </w:r>
    </w:p>
    <w:p w14:paraId="04F90266"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Inform clients of their right to complain and explain to them how to use the complaints mechanism(s). Provide a verbal explanation during the product application process—for example, at the time of the application interview, orientation sessions, and/or disbursement. At the same time, prominently display written information on how to submit a complaint in branch offices (posters, brochures) and/or in product documentation. For example, Equitas (India) prints on each client passbook phone numbers for the following people/agencies: Equitas’ CEO’s office, Equitas’ internal ombudsman, and the national regulator.</w:t>
      </w:r>
    </w:p>
    <w:p w14:paraId="43FDF8D4"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5FDDA752" w14:textId="6DF0A52F"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Make sure clients know how to bypass a particular staff member, especially their loan officer, to make a complaint—particularly if the complaint is related to that person. Also, inform clients about complaints mechanisms available outside of their providers, for example national networks, local ombudsman, or a self-regulatory organization such as a consumer protection organization.</w:t>
      </w:r>
    </w:p>
    <w:p w14:paraId="3618BBFD"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p>
    <w:p w14:paraId="5568CB55" w14:textId="5634792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The Complaints Handling Mechanism should make it possible for staff to inform clients when a complaint is resolved, and to stay in touch along the way if the resolution process requires </w:t>
      </w:r>
      <w:r w:rsidRPr="00A608EE">
        <w:rPr>
          <w:rFonts w:asciiTheme="majorHAnsi" w:hAnsiTheme="majorHAnsi"/>
          <w:sz w:val="20"/>
          <w:szCs w:val="20"/>
        </w:rPr>
        <w:lastRenderedPageBreak/>
        <w:t>client involvement or is taking a longer time. Clients should also be able to follow up on their complaint, if they have a question during the resolution process.</w:t>
      </w:r>
    </w:p>
    <w:p w14:paraId="304D4DDA" w14:textId="77777777" w:rsidR="002A3981" w:rsidRPr="00A608EE" w:rsidRDefault="002A3981" w:rsidP="00A27AAA">
      <w:pPr>
        <w:pStyle w:val="NormalWeb"/>
        <w:numPr>
          <w:ilvl w:val="0"/>
          <w:numId w:val="278"/>
        </w:numPr>
        <w:spacing w:before="0" w:beforeAutospacing="0" w:after="0" w:afterAutospacing="0"/>
        <w:jc w:val="both"/>
        <w:rPr>
          <w:rFonts w:asciiTheme="majorHAnsi" w:hAnsiTheme="majorHAnsi"/>
          <w:sz w:val="20"/>
          <w:szCs w:val="20"/>
        </w:rPr>
      </w:pPr>
      <w:hyperlink r:id="rId234" w:history="1">
        <w:r w:rsidRPr="00A608EE">
          <w:rPr>
            <w:rStyle w:val="Hyperlink"/>
            <w:rFonts w:asciiTheme="majorHAnsi" w:hAnsiTheme="majorHAnsi"/>
            <w:sz w:val="20"/>
            <w:szCs w:val="20"/>
          </w:rPr>
          <w:t>Research Indicates that Clients are not Informed on Complaints Mechanisms</w:t>
        </w:r>
      </w:hyperlink>
    </w:p>
    <w:p w14:paraId="357EA2B3" w14:textId="77777777" w:rsidR="002A3981" w:rsidRPr="00A608EE" w:rsidRDefault="002A3981" w:rsidP="00EE208A">
      <w:pPr>
        <w:pStyle w:val="NormalWeb"/>
        <w:spacing w:before="0" w:beforeAutospacing="0" w:after="0" w:afterAutospacing="0"/>
        <w:jc w:val="both"/>
        <w:rPr>
          <w:rFonts w:asciiTheme="majorHAnsi" w:hAnsiTheme="majorHAnsi"/>
          <w:b/>
          <w:bCs/>
          <w:sz w:val="20"/>
          <w:szCs w:val="20"/>
        </w:rPr>
      </w:pPr>
    </w:p>
    <w:p w14:paraId="20B07319" w14:textId="3C878178" w:rsidR="002A3981" w:rsidRPr="00A608EE" w:rsidRDefault="002A398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Train employees</w:t>
      </w:r>
    </w:p>
    <w:p w14:paraId="2C3C43D3"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 training to employees on how the complaints mechanism(s) works. The training should cover how the complaints mechanism(s) works, the role of complaints staff, how to appropriately manage complaints until they are resolved, and how to refer them to the appropriate person for investigation and resolution. While all employees should memorize the customer service hotline number, for example, many other aspects of the training should be position-specific, as complaints handling responsibilities vary dramatically across the organization. For example, loan officers may be responsible for informing clients about the mechanism during orientation, referring clients to it during the loan cycle, and reminding clients about it during group meetings. The training (and the staff book of rules) should be very clear on the importance of using the mechanism(s) correctly, and it should specify sanctions for staff that will fail to report a complaint.</w:t>
      </w:r>
    </w:p>
    <w:p w14:paraId="1F02C2E8" w14:textId="77777777" w:rsidR="002A3981" w:rsidRPr="00A608EE" w:rsidRDefault="002A398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Verify that third parties (e.g., agent network managers) train their own representatives on how the complaints mechanism(s) works, the role of complaints handling staff, how to appropriately manage complaints until they are resolved, and how to refer them to the appropriate person for further investigation and final resolution.</w:t>
      </w:r>
    </w:p>
    <w:p w14:paraId="18815673" w14:textId="77777777" w:rsidR="00DF4D55" w:rsidRPr="00A608EE" w:rsidRDefault="00DF4D55" w:rsidP="00EE208A">
      <w:pPr>
        <w:pStyle w:val="NormalWeb"/>
        <w:spacing w:before="0" w:beforeAutospacing="0" w:after="0" w:afterAutospacing="0"/>
        <w:jc w:val="both"/>
        <w:rPr>
          <w:rFonts w:asciiTheme="majorHAnsi" w:hAnsiTheme="majorHAnsi"/>
          <w:sz w:val="20"/>
          <w:szCs w:val="20"/>
        </w:rPr>
      </w:pPr>
    </w:p>
    <w:p w14:paraId="1CF872D7" w14:textId="471BBD91" w:rsidR="00DF4D55" w:rsidRPr="00A608EE" w:rsidRDefault="002A398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w:t>
      </w:r>
    </w:p>
    <w:p w14:paraId="641EECF4" w14:textId="12524FB5" w:rsidR="488500BF" w:rsidRPr="00A608EE" w:rsidRDefault="488500BF" w:rsidP="00A27AAA">
      <w:pPr>
        <w:numPr>
          <w:ilvl w:val="0"/>
          <w:numId w:val="23"/>
        </w:numPr>
        <w:jc w:val="both"/>
        <w:rPr>
          <w:rFonts w:ascii="Work Sans" w:eastAsia="Work Sans" w:hAnsi="Work Sans" w:cs="Work Sans"/>
          <w:color w:val="000000" w:themeColor="background1"/>
          <w:szCs w:val="20"/>
        </w:rPr>
      </w:pPr>
      <w:hyperlink r:id="rId235">
        <w:r w:rsidRPr="00A608EE">
          <w:rPr>
            <w:rStyle w:val="Hyperlink"/>
            <w:rFonts w:ascii="Work Sans" w:eastAsia="Work Sans" w:hAnsi="Work Sans" w:cs="Work Sans"/>
            <w:szCs w:val="20"/>
          </w:rPr>
          <w:t>Example Staff Responsibilities for Complaints Resolution</w:t>
        </w:r>
      </w:hyperlink>
    </w:p>
    <w:p w14:paraId="30ADF5C5" w14:textId="02B5F860" w:rsidR="488500BF" w:rsidRPr="00A608EE" w:rsidRDefault="488500BF" w:rsidP="00A27AAA">
      <w:pPr>
        <w:pStyle w:val="ListParagraph"/>
        <w:numPr>
          <w:ilvl w:val="0"/>
          <w:numId w:val="23"/>
        </w:numPr>
        <w:spacing w:after="0" w:line="240" w:lineRule="auto"/>
        <w:jc w:val="both"/>
        <w:rPr>
          <w:rFonts w:eastAsia="Work Sans"/>
          <w:color w:val="000000" w:themeColor="background1"/>
          <w:szCs w:val="20"/>
        </w:rPr>
      </w:pPr>
      <w:hyperlink r:id="rId236">
        <w:r w:rsidRPr="00A608EE">
          <w:rPr>
            <w:rStyle w:val="Hyperlink"/>
            <w:rFonts w:ascii="Work Sans" w:eastAsia="Work Sans" w:hAnsi="Work Sans" w:cs="Work Sans"/>
            <w:szCs w:val="20"/>
          </w:rPr>
          <w:t>Yehu Microfinance Surveys Clients on Which Mechanisms to Create</w:t>
        </w:r>
      </w:hyperlink>
    </w:p>
    <w:p w14:paraId="5EF63F68" w14:textId="187321D4" w:rsidR="00F0241D" w:rsidRPr="00A608EE" w:rsidRDefault="00F0241D" w:rsidP="00EE208A">
      <w:pPr>
        <w:pStyle w:val="NormalWeb"/>
        <w:spacing w:before="0" w:beforeAutospacing="0" w:after="0" w:afterAutospacing="0"/>
        <w:jc w:val="both"/>
        <w:rPr>
          <w:rFonts w:asciiTheme="majorHAnsi" w:hAnsiTheme="majorHAnsi"/>
          <w:sz w:val="20"/>
          <w:szCs w:val="20"/>
        </w:rPr>
      </w:pPr>
    </w:p>
    <w:p w14:paraId="464B7F31" w14:textId="77777777" w:rsidR="00205ED4" w:rsidRPr="00A608EE" w:rsidRDefault="00205ED4" w:rsidP="00EE208A">
      <w:pPr>
        <w:pStyle w:val="NormalWeb"/>
        <w:spacing w:before="0" w:beforeAutospacing="0" w:after="0" w:afterAutospacing="0"/>
        <w:jc w:val="both"/>
        <w:rPr>
          <w:rFonts w:asciiTheme="majorHAnsi" w:hAnsiTheme="majorHAnsi"/>
          <w:sz w:val="20"/>
          <w:szCs w:val="20"/>
        </w:rPr>
      </w:pPr>
    </w:p>
    <w:p w14:paraId="7B68F393" w14:textId="47278AE5" w:rsidR="00811BE1" w:rsidRPr="00A608EE" w:rsidRDefault="00F0241D" w:rsidP="00EE208A">
      <w:pPr>
        <w:pStyle w:val="Heading4"/>
        <w:spacing w:before="0" w:line="240" w:lineRule="auto"/>
        <w:jc w:val="both"/>
      </w:pPr>
      <w:r w:rsidRPr="00A608EE">
        <w:rPr>
          <w:rStyle w:val="text-primary"/>
        </w:rPr>
        <w:t>4.E.1.2</w:t>
      </w:r>
      <w:r w:rsidRPr="00A608EE">
        <w:t xml:space="preserve"> </w:t>
      </w:r>
      <w:r w:rsidR="00E2468B" w:rsidRPr="00A608EE">
        <w:t>The provider has at least two complaints channels that are free of charge and accessible to clients</w:t>
      </w:r>
      <w:r w:rsidR="00CA34BC" w:rsidRPr="00A608EE">
        <w:t>.</w:t>
      </w:r>
    </w:p>
    <w:p w14:paraId="268FE522" w14:textId="77777777" w:rsidR="00CA34BC" w:rsidRPr="00A608EE" w:rsidRDefault="00CA34BC" w:rsidP="00EE208A">
      <w:pPr>
        <w:jc w:val="both"/>
      </w:pPr>
    </w:p>
    <w:p w14:paraId="3203B8D0" w14:textId="685205FD" w:rsidR="00693640" w:rsidRPr="00A608EE" w:rsidRDefault="00E6366C"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693640" w:rsidRPr="00A608EE">
        <w:rPr>
          <w:rFonts w:asciiTheme="majorHAnsi" w:hAnsiTheme="majorHAnsi" w:cstheme="majorHAnsi"/>
          <w:b/>
          <w:bCs/>
          <w:color w:val="2145CC" w:themeColor="accent5" w:themeShade="BF"/>
          <w:sz w:val="20"/>
          <w:szCs w:val="20"/>
        </w:rPr>
        <w:t>SPI5 Entry | SPI5 Full | CP Full – Entry CP</w:t>
      </w:r>
      <w:r w:rsidR="0083332E" w:rsidRPr="00A608EE">
        <w:rPr>
          <w:rFonts w:asciiTheme="majorHAnsi" w:hAnsiTheme="majorHAnsi" w:cstheme="majorHAnsi"/>
          <w:b/>
          <w:bCs/>
          <w:color w:val="2145CC" w:themeColor="accent5" w:themeShade="BF"/>
          <w:sz w:val="20"/>
          <w:szCs w:val="20"/>
        </w:rPr>
        <w:t xml:space="preserve"> </w:t>
      </w:r>
      <w:r w:rsidR="0083332E" w:rsidRPr="00A608EE">
        <w:rPr>
          <w:rFonts w:ascii="Work Sans" w:hAnsi="Work Sans"/>
          <w:b/>
          <w:bCs/>
          <w:color w:val="2145CC" w:themeColor="accent5" w:themeShade="BF"/>
          <w:sz w:val="20"/>
          <w:szCs w:val="20"/>
        </w:rPr>
        <w:t>| DI Focus</w:t>
      </w:r>
    </w:p>
    <w:p w14:paraId="747F4D48" w14:textId="77777777" w:rsidR="0083332E" w:rsidRPr="00A608EE" w:rsidRDefault="0083332E" w:rsidP="00EE208A">
      <w:pPr>
        <w:pStyle w:val="NormalWeb"/>
        <w:spacing w:before="0" w:beforeAutospacing="0" w:after="0" w:afterAutospacing="0"/>
        <w:jc w:val="both"/>
        <w:rPr>
          <w:rFonts w:asciiTheme="majorHAnsi" w:hAnsiTheme="majorHAnsi"/>
          <w:sz w:val="20"/>
          <w:szCs w:val="20"/>
        </w:rPr>
      </w:pPr>
    </w:p>
    <w:p w14:paraId="2D5DD694" w14:textId="6FF71220" w:rsidR="001E0369" w:rsidRPr="00A608EE" w:rsidRDefault="00B2531B"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Complaints Handling Mechanism(s) should be adapted to clients’ needs and preferences, and it should be easily accessible for the majority of clients. Usually, this requires both a cost-free number that clients can call, as well as in-person customer service representatives. Complaints &amp; Suggestion boxes are insufficient as illiterate clients cannot write suggestions/complaints, making a complaint in writing presents the added burden of travel to the branch, confidentiality is often limited, and these boxes were often only checked on a monthly basis. Providers should also offer other channels such as a complaints hotline, and make regular visits to client centers or businesses, or call some clients to inquire about any problems they may be experiencing. The channels must be convenient, accessible for illiterate clients, and allow the providers to respond in a timely way.</w:t>
      </w:r>
    </w:p>
    <w:p w14:paraId="084BDEF0"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0790712E"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79424" behindDoc="1" locked="0" layoutInCell="1" allowOverlap="1" wp14:anchorId="4B529AD9" wp14:editId="482D9F67">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539639460"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C6AC83B"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4A050389" w14:textId="4A3608C8" w:rsidR="000D7442" w:rsidRPr="00A608EE" w:rsidRDefault="00FC6779" w:rsidP="002B4852">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0D7442" w:rsidRPr="00A608EE">
        <w:rPr>
          <w:rFonts w:asciiTheme="majorHAnsi" w:hAnsiTheme="majorHAnsi"/>
          <w:sz w:val="20"/>
          <w:szCs w:val="20"/>
        </w:rPr>
        <w:t>The provider has at least two complaints channels that are free of charge and accessible, including to clients with different types of impairments (physical, mental, intellectual or sensory impairments).</w:t>
      </w:r>
    </w:p>
    <w:p w14:paraId="3D657397" w14:textId="6ABE6A69" w:rsidR="000D7442" w:rsidRPr="00A608EE" w:rsidRDefault="000D7442" w:rsidP="002B4852">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If the complaint mechanism initially handles complaints through automated means, the provider makes a channel with live, human interaction available to clients, ensuring accessibility for clients with different types of impairments. Staff interacting with clients to handle complaints are trained in accessibility, inclusion, and communication with clients with different types of impairments.</w:t>
      </w:r>
    </w:p>
    <w:p w14:paraId="31ED127A" w14:textId="1FD552BC" w:rsidR="000D7442" w:rsidRPr="00A608EE" w:rsidRDefault="000D7442" w:rsidP="000D7442">
      <w:pPr>
        <w:pStyle w:val="paragraph"/>
        <w:spacing w:before="0" w:beforeAutospacing="0" w:after="0" w:afterAutospacing="0"/>
        <w:jc w:val="both"/>
        <w:textAlignment w:val="baseline"/>
        <w:rPr>
          <w:rFonts w:asciiTheme="majorHAnsi" w:hAnsiTheme="majorHAnsi"/>
          <w:sz w:val="20"/>
          <w:szCs w:val="20"/>
        </w:rPr>
      </w:pPr>
      <w:r w:rsidRPr="00A608EE">
        <w:rPr>
          <w:rFonts w:asciiTheme="majorHAnsi" w:hAnsiTheme="majorHAnsi"/>
          <w:sz w:val="20"/>
          <w:szCs w:val="20"/>
        </w:rPr>
        <w:t>The provider ensures that clients with disabilities receive confirmation of receipt of their complaints and a notification when the complaint has been resolved in accessible formats (e.g. easy-read, large print, braille, audio formats, oral information, sign language, accessible digital channels).</w:t>
      </w:r>
    </w:p>
    <w:p w14:paraId="03D2CE58" w14:textId="55D3B1E7" w:rsidR="002B4852" w:rsidRPr="00A608EE" w:rsidRDefault="002C02BF" w:rsidP="005C1F6C">
      <w:pPr>
        <w:pStyle w:val="paragraph"/>
        <w:spacing w:before="0" w:beforeAutospacing="0" w:after="0" w:afterAutospacing="0"/>
        <w:jc w:val="both"/>
        <w:textAlignment w:val="baseline"/>
      </w:pPr>
      <w:r w:rsidRPr="00A608EE">
        <w:rPr>
          <w:noProof/>
        </w:rPr>
        <w:lastRenderedPageBreak/>
        <mc:AlternateContent>
          <mc:Choice Requires="wps">
            <w:drawing>
              <wp:anchor distT="0" distB="0" distL="114300" distR="114300" simplePos="0" relativeHeight="251722752" behindDoc="0" locked="0" layoutInCell="1" allowOverlap="1" wp14:anchorId="385ED251" wp14:editId="720A0507">
                <wp:simplePos x="0" y="0"/>
                <wp:positionH relativeFrom="margin">
                  <wp:align>left</wp:align>
                </wp:positionH>
                <wp:positionV relativeFrom="paragraph">
                  <wp:posOffset>193675</wp:posOffset>
                </wp:positionV>
                <wp:extent cx="1828800" cy="4381500"/>
                <wp:effectExtent l="0" t="0" r="24130" b="19050"/>
                <wp:wrapSquare wrapText="bothSides"/>
                <wp:docPr id="1752082542" name="Cuadro de texto 1"/>
                <wp:cNvGraphicFramePr/>
                <a:graphic xmlns:a="http://schemas.openxmlformats.org/drawingml/2006/main">
                  <a:graphicData uri="http://schemas.microsoft.com/office/word/2010/wordprocessingShape">
                    <wps:wsp>
                      <wps:cNvSpPr txBox="1"/>
                      <wps:spPr>
                        <a:xfrm>
                          <a:off x="0" y="0"/>
                          <a:ext cx="1828800" cy="4381500"/>
                        </a:xfrm>
                        <a:prstGeom prst="rect">
                          <a:avLst/>
                        </a:prstGeom>
                        <a:noFill/>
                        <a:ln w="6350">
                          <a:solidFill>
                            <a:prstClr val="black"/>
                          </a:solidFill>
                        </a:ln>
                      </wps:spPr>
                      <wps:txbx>
                        <w:txbxContent>
                          <w:p w14:paraId="3DAA2310" w14:textId="280EDCFA" w:rsidR="001E0369" w:rsidRPr="00820B09" w:rsidRDefault="00EB123D" w:rsidP="001E0369">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1E0369" w:rsidRPr="00820B09">
                              <w:rPr>
                                <w:rFonts w:asciiTheme="majorHAnsi" w:hAnsiTheme="majorHAnsi"/>
                                <w:b/>
                                <w:bCs/>
                                <w:sz w:val="20"/>
                                <w:szCs w:val="20"/>
                              </w:rPr>
                              <w:t>4.E.1.2</w:t>
                            </w:r>
                          </w:p>
                          <w:p w14:paraId="7996C751" w14:textId="7267C3C1" w:rsidR="005B45CB" w:rsidRPr="00820B09" w:rsidRDefault="00BE7F30" w:rsidP="001E0369">
                            <w:pPr>
                              <w:pStyle w:val="NormalWeb"/>
                              <w:spacing w:after="0"/>
                              <w:jc w:val="both"/>
                              <w:rPr>
                                <w:rFonts w:asciiTheme="majorHAnsi" w:hAnsiTheme="majorHAnsi"/>
                                <w:sz w:val="20"/>
                                <w:szCs w:val="20"/>
                              </w:rPr>
                            </w:pPr>
                            <w:r w:rsidRPr="00820B09">
                              <w:rPr>
                                <w:rFonts w:asciiTheme="majorHAnsi" w:hAnsiTheme="majorHAnsi"/>
                                <w:sz w:val="20"/>
                                <w:szCs w:val="20"/>
                              </w:rPr>
                              <w:t>The provider</w:t>
                            </w:r>
                            <w:r w:rsidR="00C161A7" w:rsidRPr="00820B09">
                              <w:rPr>
                                <w:rFonts w:asciiTheme="majorHAnsi" w:hAnsiTheme="majorHAnsi"/>
                                <w:sz w:val="20"/>
                                <w:szCs w:val="20"/>
                              </w:rPr>
                              <w:t>’</w:t>
                            </w:r>
                            <w:r w:rsidRPr="00820B09">
                              <w:rPr>
                                <w:rFonts w:asciiTheme="majorHAnsi" w:hAnsiTheme="majorHAnsi"/>
                                <w:sz w:val="20"/>
                                <w:szCs w:val="20"/>
                              </w:rPr>
                              <w:t xml:space="preserve">s complaints handing processes should be accessible and adapted to the needs of all clients, including those with disabilities, </w:t>
                            </w:r>
                            <w:r w:rsidR="005B45CB" w:rsidRPr="00820B09">
                              <w:rPr>
                                <w:rFonts w:asciiTheme="majorHAnsi" w:hAnsiTheme="majorHAnsi"/>
                                <w:sz w:val="20"/>
                                <w:szCs w:val="20"/>
                              </w:rPr>
                              <w:t>Provide a range of confidential channels for clients to submit complaints (e.g. SMS, website, complaints hotline, online chat with text and voice options), and ensure these are accessible to persons with disabilities. See indicator 4.B.1.2 for more information on accessible servicing channels.</w:t>
                            </w:r>
                          </w:p>
                          <w:p w14:paraId="5D8716AA" w14:textId="77777777" w:rsidR="002C02BF" w:rsidRPr="00820B09" w:rsidRDefault="002C02BF" w:rsidP="002C02BF">
                            <w:pPr>
                              <w:pStyle w:val="NormalWeb"/>
                              <w:spacing w:after="0"/>
                              <w:jc w:val="both"/>
                              <w:rPr>
                                <w:rFonts w:asciiTheme="majorHAnsi" w:hAnsiTheme="majorHAnsi"/>
                                <w:sz w:val="20"/>
                                <w:szCs w:val="20"/>
                              </w:rPr>
                            </w:pPr>
                            <w:r w:rsidRPr="00820B09">
                              <w:rPr>
                                <w:rFonts w:asciiTheme="majorHAnsi" w:hAnsiTheme="majorHAnsi"/>
                                <w:sz w:val="20"/>
                                <w:szCs w:val="20"/>
                              </w:rPr>
                              <w:t xml:space="preserve">Train all staff involved in handling complaints to communicate respectfully and effectively to persons with different types of impairments, including training specialized staff in sign-language, or partnering with third parties to provide sign language interpretation. </w:t>
                            </w:r>
                          </w:p>
                          <w:p w14:paraId="20052C58" w14:textId="109D6C84" w:rsidR="002B4852" w:rsidRPr="00820B09" w:rsidRDefault="002B4852" w:rsidP="002B4852">
                            <w:pPr>
                              <w:pStyle w:val="NormalWeb"/>
                              <w:rPr>
                                <w:rFonts w:asciiTheme="majorHAnsi" w:hAnsiTheme="majorHAnsi"/>
                                <w:sz w:val="20"/>
                                <w:szCs w:val="20"/>
                              </w:rPr>
                            </w:pPr>
                            <w:r w:rsidRPr="00820B09">
                              <w:rPr>
                                <w:rFonts w:asciiTheme="majorHAnsi" w:hAnsiTheme="majorHAnsi"/>
                                <w:sz w:val="20"/>
                                <w:szCs w:val="20"/>
                              </w:rPr>
                              <w:t>Complaints investigation guidelines should adopt a client-cent</w:t>
                            </w:r>
                            <w:r w:rsidR="00C161A7" w:rsidRPr="00820B09">
                              <w:rPr>
                                <w:rFonts w:asciiTheme="majorHAnsi" w:hAnsiTheme="majorHAnsi"/>
                                <w:sz w:val="20"/>
                                <w:szCs w:val="20"/>
                              </w:rPr>
                              <w:t>e</w:t>
                            </w:r>
                            <w:r w:rsidRPr="00820B09">
                              <w:rPr>
                                <w:rFonts w:asciiTheme="majorHAnsi" w:hAnsiTheme="majorHAnsi"/>
                                <w:sz w:val="20"/>
                                <w:szCs w:val="20"/>
                              </w:rPr>
                              <w:t>red or survivor-cent</w:t>
                            </w:r>
                            <w:r w:rsidR="009A0D41" w:rsidRPr="00820B09">
                              <w:rPr>
                                <w:rFonts w:asciiTheme="majorHAnsi" w:hAnsiTheme="majorHAnsi"/>
                                <w:sz w:val="20"/>
                                <w:szCs w:val="20"/>
                              </w:rPr>
                              <w:t>e</w:t>
                            </w:r>
                            <w:r w:rsidRPr="00820B09">
                              <w:rPr>
                                <w:rFonts w:asciiTheme="majorHAnsi" w:hAnsiTheme="majorHAnsi"/>
                                <w:sz w:val="20"/>
                                <w:szCs w:val="20"/>
                              </w:rPr>
                              <w:t xml:space="preserve">red approach and apply gender, age, and disability lenses to ensure fairness, sensitivity, </w:t>
                            </w:r>
                            <w:r w:rsidR="00D36652" w:rsidRPr="00820B09">
                              <w:rPr>
                                <w:rFonts w:asciiTheme="majorHAnsi" w:hAnsiTheme="majorHAnsi"/>
                                <w:sz w:val="20"/>
                                <w:szCs w:val="20"/>
                              </w:rPr>
                              <w:t xml:space="preserve">confidentiality, </w:t>
                            </w:r>
                            <w:r w:rsidRPr="00820B09">
                              <w:rPr>
                                <w:rFonts w:asciiTheme="majorHAnsi" w:hAnsiTheme="majorHAnsi"/>
                                <w:sz w:val="20"/>
                                <w:szCs w:val="20"/>
                              </w:rPr>
                              <w:t>and protection throughout the process</w:t>
                            </w:r>
                            <w:r w:rsidR="00D36652" w:rsidRPr="00820B09">
                              <w:rPr>
                                <w:rFonts w:asciiTheme="majorHAnsi" w:hAnsiTheme="majorHAnsi"/>
                                <w:sz w:val="20"/>
                                <w:szCs w:val="20"/>
                              </w:rPr>
                              <w:t xml:space="preserve"> </w:t>
                            </w:r>
                          </w:p>
                          <w:p w14:paraId="72DB1B44" w14:textId="77777777" w:rsidR="002C02BF" w:rsidRPr="00820B09" w:rsidRDefault="002C02BF" w:rsidP="002B4852">
                            <w:pPr>
                              <w:pStyle w:val="NormalWeb"/>
                              <w:rPr>
                                <w:rFonts w:asciiTheme="majorHAnsi" w:hAnsiTheme="majorHAnsi"/>
                                <w:sz w:val="20"/>
                                <w:szCs w:val="20"/>
                              </w:rPr>
                            </w:pPr>
                            <w:r w:rsidRPr="00820B09">
                              <w:rPr>
                                <w:rFonts w:asciiTheme="majorHAnsi" w:hAnsiTheme="majorHAnsi"/>
                                <w:sz w:val="20"/>
                                <w:szCs w:val="20"/>
                              </w:rPr>
                              <w:t xml:space="preserve">Certain clients, including persons with disabilities, women, and others such as displaced persons, are more vulnerable to abuse or exploitation due to factors such as isolation, dependency on caregivers, communication barriers, low financial literacy, and fear of reporting abuse. Risks of abuse or exploitation are also heightened by power imbalances between FSP staff and vulnerable clients, in particular during loan collection processes. </w:t>
                            </w:r>
                          </w:p>
                          <w:p w14:paraId="27556D63" w14:textId="05F946B6" w:rsidR="00D36652" w:rsidRPr="00820B09" w:rsidRDefault="002C02BF" w:rsidP="002B4852">
                            <w:pPr>
                              <w:pStyle w:val="NormalWeb"/>
                              <w:rPr>
                                <w:rFonts w:asciiTheme="majorHAnsi" w:hAnsiTheme="majorHAnsi"/>
                                <w:sz w:val="20"/>
                                <w:szCs w:val="20"/>
                              </w:rPr>
                            </w:pPr>
                            <w:r w:rsidRPr="00820B09">
                              <w:rPr>
                                <w:rFonts w:asciiTheme="majorHAnsi" w:hAnsiTheme="majorHAnsi"/>
                                <w:sz w:val="20"/>
                                <w:szCs w:val="20"/>
                              </w:rPr>
                              <w:t xml:space="preserve">These risk factors should be identified within client protection policies and highlighted in staff training. Investigations of complaints about exploitation, abuse or harassment should follow a survivor-centered approach, and the risk of causing further harm to the survivor should be recognized. Providers without specialized skills in this area should refer to an experienced third party for support.  </w:t>
                            </w:r>
                          </w:p>
                          <w:p w14:paraId="5AAAA4D9" w14:textId="77777777" w:rsidR="002B4852" w:rsidRPr="00820B09" w:rsidRDefault="002B4852" w:rsidP="00CA3776">
                            <w:pPr>
                              <w:pStyle w:val="NormalWeb"/>
                              <w:jc w:val="both"/>
                              <w:rPr>
                                <w:rFonts w:asciiTheme="majorHAnsi" w:hAnsiTheme="majorHAnsi"/>
                                <w:sz w:val="20"/>
                                <w:szCs w:val="20"/>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5ED251" id="_x0000_s1060" type="#_x0000_t202" style="position:absolute;left:0;text-align:left;margin-left:0;margin-top:15.25pt;width:2in;height:345pt;z-index:25172275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" filled="f" strokeweight=".5pt">
                <v:textbox>
                  <w:txbxContent>
                    <w:p w14:paraId="3DAA2310" w14:textId="280EDCFA" w:rsidR="001E0369" w:rsidRPr="00820B09" w:rsidRDefault="00EB123D" w:rsidP="001E0369">
                      <w:pPr>
                        <w:pStyle w:val="NormalWeb"/>
                        <w:spacing w:after="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1E0369" w:rsidRPr="00820B09">
                        <w:rPr>
                          <w:rFonts w:asciiTheme="majorHAnsi" w:hAnsiTheme="majorHAnsi"/>
                          <w:b/>
                          <w:bCs/>
                          <w:sz w:val="20"/>
                          <w:szCs w:val="20"/>
                        </w:rPr>
                        <w:t>4.E.1.2</w:t>
                      </w:r>
                    </w:p>
                    <w:p w14:paraId="7996C751" w14:textId="7267C3C1" w:rsidR="005B45CB" w:rsidRPr="00820B09" w:rsidRDefault="00BE7F30" w:rsidP="001E0369">
                      <w:pPr>
                        <w:pStyle w:val="NormalWeb"/>
                        <w:spacing w:after="0"/>
                        <w:jc w:val="both"/>
                        <w:rPr>
                          <w:rFonts w:asciiTheme="majorHAnsi" w:hAnsiTheme="majorHAnsi"/>
                          <w:sz w:val="20"/>
                          <w:szCs w:val="20"/>
                        </w:rPr>
                      </w:pPr>
                      <w:r w:rsidRPr="00820B09">
                        <w:rPr>
                          <w:rFonts w:asciiTheme="majorHAnsi" w:hAnsiTheme="majorHAnsi"/>
                          <w:sz w:val="20"/>
                          <w:szCs w:val="20"/>
                        </w:rPr>
                        <w:t>The provider</w:t>
                      </w:r>
                      <w:r w:rsidR="00C161A7" w:rsidRPr="00820B09">
                        <w:rPr>
                          <w:rFonts w:asciiTheme="majorHAnsi" w:hAnsiTheme="majorHAnsi"/>
                          <w:sz w:val="20"/>
                          <w:szCs w:val="20"/>
                        </w:rPr>
                        <w:t>’</w:t>
                      </w:r>
                      <w:r w:rsidRPr="00820B09">
                        <w:rPr>
                          <w:rFonts w:asciiTheme="majorHAnsi" w:hAnsiTheme="majorHAnsi"/>
                          <w:sz w:val="20"/>
                          <w:szCs w:val="20"/>
                        </w:rPr>
                        <w:t xml:space="preserve">s complaints handing processes should be accessible and adapted to the needs of all clients, including those with disabilities, </w:t>
                      </w:r>
                      <w:r w:rsidR="005B45CB" w:rsidRPr="00820B09">
                        <w:rPr>
                          <w:rFonts w:asciiTheme="majorHAnsi" w:hAnsiTheme="majorHAnsi"/>
                          <w:sz w:val="20"/>
                          <w:szCs w:val="20"/>
                        </w:rPr>
                        <w:t>Provide a range of confidential channels for clients to submit complaints (e.g. SMS, website, complaints hotline, online chat with text and voice options), and ensure these are accessible to persons with disabilities. See indicator 4.B.1.2 for more information on accessible servicing channels.</w:t>
                      </w:r>
                    </w:p>
                    <w:p w14:paraId="5D8716AA" w14:textId="77777777" w:rsidR="002C02BF" w:rsidRPr="00820B09" w:rsidRDefault="002C02BF" w:rsidP="002C02BF">
                      <w:pPr>
                        <w:pStyle w:val="NormalWeb"/>
                        <w:spacing w:after="0"/>
                        <w:jc w:val="both"/>
                        <w:rPr>
                          <w:rFonts w:asciiTheme="majorHAnsi" w:hAnsiTheme="majorHAnsi"/>
                          <w:sz w:val="20"/>
                          <w:szCs w:val="20"/>
                        </w:rPr>
                      </w:pPr>
                      <w:r w:rsidRPr="00820B09">
                        <w:rPr>
                          <w:rFonts w:asciiTheme="majorHAnsi" w:hAnsiTheme="majorHAnsi"/>
                          <w:sz w:val="20"/>
                          <w:szCs w:val="20"/>
                        </w:rPr>
                        <w:t xml:space="preserve">Train all staff involved in handling complaints to communicate respectfully and effectively to persons with different types of impairments, including training specialized staff in sign-language, or partnering with third parties to provide sign language interpretation. </w:t>
                      </w:r>
                    </w:p>
                    <w:p w14:paraId="20052C58" w14:textId="109D6C84" w:rsidR="002B4852" w:rsidRPr="00820B09" w:rsidRDefault="002B4852" w:rsidP="002B4852">
                      <w:pPr>
                        <w:pStyle w:val="NormalWeb"/>
                        <w:rPr>
                          <w:rFonts w:asciiTheme="majorHAnsi" w:hAnsiTheme="majorHAnsi"/>
                          <w:sz w:val="20"/>
                          <w:szCs w:val="20"/>
                        </w:rPr>
                      </w:pPr>
                      <w:r w:rsidRPr="00820B09">
                        <w:rPr>
                          <w:rFonts w:asciiTheme="majorHAnsi" w:hAnsiTheme="majorHAnsi"/>
                          <w:sz w:val="20"/>
                          <w:szCs w:val="20"/>
                        </w:rPr>
                        <w:t>Complaints investigation guidelines should adopt a client-cent</w:t>
                      </w:r>
                      <w:r w:rsidR="00C161A7" w:rsidRPr="00820B09">
                        <w:rPr>
                          <w:rFonts w:asciiTheme="majorHAnsi" w:hAnsiTheme="majorHAnsi"/>
                          <w:sz w:val="20"/>
                          <w:szCs w:val="20"/>
                        </w:rPr>
                        <w:t>e</w:t>
                      </w:r>
                      <w:r w:rsidRPr="00820B09">
                        <w:rPr>
                          <w:rFonts w:asciiTheme="majorHAnsi" w:hAnsiTheme="majorHAnsi"/>
                          <w:sz w:val="20"/>
                          <w:szCs w:val="20"/>
                        </w:rPr>
                        <w:t>red or survivor-cent</w:t>
                      </w:r>
                      <w:r w:rsidR="009A0D41" w:rsidRPr="00820B09">
                        <w:rPr>
                          <w:rFonts w:asciiTheme="majorHAnsi" w:hAnsiTheme="majorHAnsi"/>
                          <w:sz w:val="20"/>
                          <w:szCs w:val="20"/>
                        </w:rPr>
                        <w:t>e</w:t>
                      </w:r>
                      <w:r w:rsidRPr="00820B09">
                        <w:rPr>
                          <w:rFonts w:asciiTheme="majorHAnsi" w:hAnsiTheme="majorHAnsi"/>
                          <w:sz w:val="20"/>
                          <w:szCs w:val="20"/>
                        </w:rPr>
                        <w:t xml:space="preserve">red approach and apply gender, age, and disability lenses to ensure fairness, sensitivity, </w:t>
                      </w:r>
                      <w:r w:rsidR="00D36652" w:rsidRPr="00820B09">
                        <w:rPr>
                          <w:rFonts w:asciiTheme="majorHAnsi" w:hAnsiTheme="majorHAnsi"/>
                          <w:sz w:val="20"/>
                          <w:szCs w:val="20"/>
                        </w:rPr>
                        <w:t xml:space="preserve">confidentiality, </w:t>
                      </w:r>
                      <w:r w:rsidRPr="00820B09">
                        <w:rPr>
                          <w:rFonts w:asciiTheme="majorHAnsi" w:hAnsiTheme="majorHAnsi"/>
                          <w:sz w:val="20"/>
                          <w:szCs w:val="20"/>
                        </w:rPr>
                        <w:t>and protection throughout the process</w:t>
                      </w:r>
                      <w:r w:rsidR="00D36652" w:rsidRPr="00820B09">
                        <w:rPr>
                          <w:rFonts w:asciiTheme="majorHAnsi" w:hAnsiTheme="majorHAnsi"/>
                          <w:sz w:val="20"/>
                          <w:szCs w:val="20"/>
                        </w:rPr>
                        <w:t xml:space="preserve"> </w:t>
                      </w:r>
                    </w:p>
                    <w:p w14:paraId="72DB1B44" w14:textId="77777777" w:rsidR="002C02BF" w:rsidRPr="00820B09" w:rsidRDefault="002C02BF" w:rsidP="002B4852">
                      <w:pPr>
                        <w:pStyle w:val="NormalWeb"/>
                        <w:rPr>
                          <w:rFonts w:asciiTheme="majorHAnsi" w:hAnsiTheme="majorHAnsi"/>
                          <w:sz w:val="20"/>
                          <w:szCs w:val="20"/>
                        </w:rPr>
                      </w:pPr>
                      <w:r w:rsidRPr="00820B09">
                        <w:rPr>
                          <w:rFonts w:asciiTheme="majorHAnsi" w:hAnsiTheme="majorHAnsi"/>
                          <w:sz w:val="20"/>
                          <w:szCs w:val="20"/>
                        </w:rPr>
                        <w:t xml:space="preserve">Certain clients, including persons with disabilities, women, and others such as displaced persons, are more vulnerable to abuse or exploitation due to factors such as isolation, dependency on caregivers, communication barriers, low financial literacy, and fear of reporting abuse. Risks of abuse or exploitation are also heightened by power imbalances between FSP staff and vulnerable clients, in particular during loan collection processes. </w:t>
                      </w:r>
                    </w:p>
                    <w:p w14:paraId="27556D63" w14:textId="05F946B6" w:rsidR="00D36652" w:rsidRPr="00820B09" w:rsidRDefault="002C02BF" w:rsidP="002B4852">
                      <w:pPr>
                        <w:pStyle w:val="NormalWeb"/>
                        <w:rPr>
                          <w:rFonts w:asciiTheme="majorHAnsi" w:hAnsiTheme="majorHAnsi"/>
                          <w:sz w:val="20"/>
                          <w:szCs w:val="20"/>
                        </w:rPr>
                      </w:pPr>
                      <w:r w:rsidRPr="00820B09">
                        <w:rPr>
                          <w:rFonts w:asciiTheme="majorHAnsi" w:hAnsiTheme="majorHAnsi"/>
                          <w:sz w:val="20"/>
                          <w:szCs w:val="20"/>
                        </w:rPr>
                        <w:t xml:space="preserve">These risk factors should be identified within client protection policies and highlighted in staff training. Investigations of complaints about exploitation, abuse or harassment should follow a survivor-centered approach, and the risk of causing further harm to the survivor should be recognized. Providers without specialized skills in this area should refer to an experienced third party for support.  </w:t>
                      </w:r>
                    </w:p>
                    <w:p w14:paraId="5AAAA4D9" w14:textId="77777777" w:rsidR="002B4852" w:rsidRPr="00820B09" w:rsidRDefault="002B4852" w:rsidP="00CA3776">
                      <w:pPr>
                        <w:pStyle w:val="NormalWeb"/>
                        <w:jc w:val="both"/>
                        <w:rPr>
                          <w:rFonts w:asciiTheme="majorHAnsi" w:hAnsiTheme="majorHAnsi"/>
                          <w:sz w:val="20"/>
                          <w:szCs w:val="20"/>
                        </w:rPr>
                      </w:pPr>
                    </w:p>
                  </w:txbxContent>
                </v:textbox>
                <w10:wrap type="square" anchorx="margin"/>
              </v:shape>
            </w:pict>
          </mc:Fallback>
        </mc:AlternateContent>
      </w:r>
    </w:p>
    <w:p w14:paraId="1D69F7C4" w14:textId="77777777" w:rsidR="002B4852" w:rsidRPr="00A608EE" w:rsidRDefault="002B4852" w:rsidP="00EE208A">
      <w:pPr>
        <w:pStyle w:val="NormalWeb"/>
        <w:spacing w:before="0" w:beforeAutospacing="0" w:after="0" w:afterAutospacing="0"/>
        <w:jc w:val="both"/>
        <w:rPr>
          <w:rFonts w:asciiTheme="majorHAnsi" w:hAnsiTheme="majorHAnsi"/>
          <w:b/>
          <w:bCs/>
          <w:sz w:val="20"/>
          <w:szCs w:val="20"/>
        </w:rPr>
      </w:pPr>
    </w:p>
    <w:p w14:paraId="5FD0260D" w14:textId="36737C63" w:rsidR="00B2531B" w:rsidRPr="00A608EE" w:rsidRDefault="00B2531B"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4F50B576" w14:textId="77777777" w:rsidR="00B2531B" w:rsidRPr="00A608EE" w:rsidRDefault="00B2531B" w:rsidP="00A27AAA">
      <w:pPr>
        <w:pStyle w:val="NormalWeb"/>
        <w:numPr>
          <w:ilvl w:val="0"/>
          <w:numId w:val="2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(1) offers at least two different channels by which clients can submit complaints (2) which are for the clients free-of-cost and easy to use and (3), if applicable, at least one of those channels needs to be accessible to illiterate clients.</w:t>
      </w:r>
    </w:p>
    <w:p w14:paraId="664E498E" w14:textId="77777777" w:rsidR="00B2531B" w:rsidRPr="00A608EE" w:rsidRDefault="00B2531B" w:rsidP="00A27AAA">
      <w:pPr>
        <w:pStyle w:val="NormalWeb"/>
        <w:numPr>
          <w:ilvl w:val="0"/>
          <w:numId w:val="2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three requirements are not met For instance, only few clients use these channels or one of two channels is challenging to use (e.g. poor internet access).</w:t>
      </w:r>
    </w:p>
    <w:p w14:paraId="6468B6AF" w14:textId="77777777" w:rsidR="00B2531B" w:rsidRPr="00A608EE" w:rsidRDefault="00B2531B" w:rsidP="00A27AAA">
      <w:pPr>
        <w:pStyle w:val="NormalWeb"/>
        <w:numPr>
          <w:ilvl w:val="0"/>
          <w:numId w:val="27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one and/or both of the first two requirements are not met. For instance, clients have just one channel and/or no two channels are free-of-costs for clients.</w:t>
      </w:r>
    </w:p>
    <w:p w14:paraId="2396D44D" w14:textId="77777777" w:rsidR="00B2531B" w:rsidRPr="00A608EE" w:rsidRDefault="00B2531B" w:rsidP="00EE208A">
      <w:pPr>
        <w:pStyle w:val="NormalWeb"/>
        <w:spacing w:before="0" w:beforeAutospacing="0" w:after="0" w:afterAutospacing="0"/>
        <w:jc w:val="both"/>
        <w:rPr>
          <w:rFonts w:asciiTheme="majorHAnsi" w:hAnsiTheme="majorHAnsi"/>
          <w:sz w:val="20"/>
          <w:szCs w:val="20"/>
        </w:rPr>
      </w:pPr>
    </w:p>
    <w:p w14:paraId="20353935" w14:textId="13AB0977" w:rsidR="00B2531B" w:rsidRPr="00A608EE" w:rsidRDefault="00B2531B"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34E073BB" w14:textId="77777777" w:rsidR="00B2531B" w:rsidRPr="00A608EE" w:rsidRDefault="00B2531B" w:rsidP="00A27AAA">
      <w:pPr>
        <w:pStyle w:val="NormalWeb"/>
        <w:numPr>
          <w:ilvl w:val="0"/>
          <w:numId w:val="28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Complaints reports.</w:t>
      </w:r>
    </w:p>
    <w:p w14:paraId="21C49FBB" w14:textId="77777777" w:rsidR="00B2531B" w:rsidRPr="00A608EE" w:rsidRDefault="00B2531B" w:rsidP="00A27AAA">
      <w:pPr>
        <w:pStyle w:val="NormalWeb"/>
        <w:numPr>
          <w:ilvl w:val="0"/>
          <w:numId w:val="28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the head of complaints.</w:t>
      </w:r>
    </w:p>
    <w:p w14:paraId="0F3097C3" w14:textId="77777777" w:rsidR="00B2531B" w:rsidRPr="00A608EE" w:rsidRDefault="00B2531B" w:rsidP="00A27AAA">
      <w:pPr>
        <w:pStyle w:val="NormalWeb"/>
        <w:numPr>
          <w:ilvl w:val="0"/>
          <w:numId w:val="28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customer service representatives/manager.</w:t>
      </w:r>
    </w:p>
    <w:p w14:paraId="563ACA9D" w14:textId="77777777" w:rsidR="00B2531B" w:rsidRPr="00A608EE" w:rsidRDefault="00B2531B" w:rsidP="00A27AAA">
      <w:pPr>
        <w:pStyle w:val="NormalWeb"/>
        <w:numPr>
          <w:ilvl w:val="0"/>
          <w:numId w:val="28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Complaints handling policy or matrix.</w:t>
      </w:r>
    </w:p>
    <w:p w14:paraId="287BBA69" w14:textId="77777777" w:rsidR="00B2531B" w:rsidRPr="00A608EE" w:rsidRDefault="00B2531B" w:rsidP="00A27AAA">
      <w:pPr>
        <w:pStyle w:val="NormalWeb"/>
        <w:numPr>
          <w:ilvl w:val="0"/>
          <w:numId w:val="28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clients.</w:t>
      </w:r>
    </w:p>
    <w:p w14:paraId="085A175F" w14:textId="77777777" w:rsidR="00B2531B" w:rsidRPr="00A608EE" w:rsidRDefault="00B2531B" w:rsidP="00EE208A">
      <w:pPr>
        <w:pStyle w:val="NormalWeb"/>
        <w:spacing w:before="0" w:beforeAutospacing="0" w:after="0" w:afterAutospacing="0"/>
        <w:jc w:val="both"/>
        <w:rPr>
          <w:rFonts w:asciiTheme="majorHAnsi" w:hAnsiTheme="majorHAnsi"/>
          <w:sz w:val="20"/>
          <w:szCs w:val="20"/>
        </w:rPr>
      </w:pPr>
    </w:p>
    <w:p w14:paraId="2DAB0BA9" w14:textId="6C5B5F0B" w:rsidR="00B2531B" w:rsidRPr="00A608EE" w:rsidRDefault="00B2531B"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15EB311B" w14:textId="77777777" w:rsidR="00B2531B" w:rsidRPr="00A608EE" w:rsidRDefault="00B2531B"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Description of all the active complaints channels that clients access and any costs associated with any of those channels.</w:t>
      </w:r>
    </w:p>
    <w:p w14:paraId="4298D7DC" w14:textId="77777777" w:rsidR="00205ED4" w:rsidRPr="00A608EE" w:rsidRDefault="00205ED4" w:rsidP="00EE208A">
      <w:pPr>
        <w:pStyle w:val="NormalWeb"/>
        <w:spacing w:before="0" w:beforeAutospacing="0" w:after="0" w:afterAutospacing="0"/>
        <w:jc w:val="both"/>
        <w:rPr>
          <w:rFonts w:asciiTheme="majorHAnsi" w:hAnsiTheme="majorHAnsi"/>
          <w:sz w:val="20"/>
          <w:szCs w:val="20"/>
        </w:rPr>
      </w:pPr>
    </w:p>
    <w:p w14:paraId="563EEA7F" w14:textId="77777777" w:rsidR="00693640" w:rsidRPr="00A608EE" w:rsidRDefault="00693640" w:rsidP="00EE208A">
      <w:pPr>
        <w:pStyle w:val="NormalWeb"/>
        <w:spacing w:before="0" w:beforeAutospacing="0" w:after="0" w:afterAutospacing="0"/>
        <w:jc w:val="both"/>
        <w:rPr>
          <w:rFonts w:asciiTheme="majorHAnsi" w:hAnsiTheme="majorHAnsi"/>
          <w:sz w:val="20"/>
          <w:szCs w:val="20"/>
        </w:rPr>
      </w:pPr>
    </w:p>
    <w:p w14:paraId="112CAC11" w14:textId="43AA8F0D" w:rsidR="00F0241D" w:rsidRPr="00A608EE" w:rsidRDefault="00F0241D" w:rsidP="00EE208A">
      <w:pPr>
        <w:pStyle w:val="Heading4"/>
        <w:spacing w:before="0" w:line="240" w:lineRule="auto"/>
        <w:jc w:val="both"/>
      </w:pPr>
      <w:r w:rsidRPr="00A608EE">
        <w:rPr>
          <w:rStyle w:val="text-primary"/>
        </w:rPr>
        <w:lastRenderedPageBreak/>
        <w:t xml:space="preserve">4.E.1.3 </w:t>
      </w:r>
      <w:r w:rsidR="00B2531B" w:rsidRPr="00A608EE">
        <w:t>The provider informs clients how to submit a complaint</w:t>
      </w:r>
      <w:r w:rsidR="00CA34BC" w:rsidRPr="00A608EE">
        <w:t>.</w:t>
      </w:r>
    </w:p>
    <w:p w14:paraId="79D1C491" w14:textId="4DF7755A" w:rsidR="00F0241D" w:rsidRPr="00A608EE" w:rsidRDefault="00F0241D"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4.E.1.3.1</w:t>
      </w:r>
      <w:r w:rsidRPr="00A608EE">
        <w:rPr>
          <w:rFonts w:asciiTheme="majorHAnsi" w:hAnsiTheme="majorHAnsi"/>
          <w:i/>
          <w:sz w:val="20"/>
          <w:szCs w:val="20"/>
        </w:rPr>
        <w:t xml:space="preserve"> </w:t>
      </w:r>
      <w:r w:rsidR="00B2531B" w:rsidRPr="00A608EE">
        <w:rPr>
          <w:rFonts w:asciiTheme="majorHAnsi" w:hAnsiTheme="majorHAnsi"/>
          <w:i/>
          <w:sz w:val="20"/>
          <w:szCs w:val="20"/>
        </w:rPr>
        <w:t>The provider displays information on how to submit a complaint in branch offices, at agent locations, in product documentation, and in all digital channels it uses to provide services to clients</w:t>
      </w:r>
      <w:r w:rsidR="00CA34BC" w:rsidRPr="00A608EE">
        <w:rPr>
          <w:rFonts w:asciiTheme="majorHAnsi" w:hAnsiTheme="majorHAnsi"/>
          <w:i/>
          <w:sz w:val="20"/>
          <w:szCs w:val="20"/>
        </w:rPr>
        <w:t>.</w:t>
      </w:r>
    </w:p>
    <w:p w14:paraId="7F6ED7F2" w14:textId="25B01482" w:rsidR="00F0241D" w:rsidRPr="00A608EE" w:rsidRDefault="00F0241D"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4.E.1.3.2</w:t>
      </w:r>
      <w:r w:rsidRPr="00A608EE">
        <w:rPr>
          <w:rFonts w:asciiTheme="majorHAnsi" w:hAnsiTheme="majorHAnsi"/>
          <w:i/>
          <w:sz w:val="20"/>
          <w:szCs w:val="20"/>
        </w:rPr>
        <w:t xml:space="preserve"> </w:t>
      </w:r>
      <w:r w:rsidR="00B2531B" w:rsidRPr="00A608EE">
        <w:rPr>
          <w:rFonts w:asciiTheme="majorHAnsi" w:hAnsiTheme="majorHAnsi"/>
          <w:i/>
          <w:sz w:val="20"/>
          <w:szCs w:val="20"/>
        </w:rPr>
        <w:t>At the time when clients are applying to use a product, the provider informs clients on how to submit a complaint both to itself and to any third party partner</w:t>
      </w:r>
      <w:r w:rsidR="0024366C" w:rsidRPr="00A608EE">
        <w:rPr>
          <w:rFonts w:asciiTheme="majorHAnsi" w:hAnsiTheme="majorHAnsi"/>
          <w:i/>
          <w:sz w:val="20"/>
          <w:szCs w:val="20"/>
        </w:rPr>
        <w:t>.</w:t>
      </w:r>
    </w:p>
    <w:p w14:paraId="32878D34" w14:textId="77777777" w:rsidR="004E70E7" w:rsidRPr="00A608EE" w:rsidRDefault="004E70E7" w:rsidP="00EE208A">
      <w:pPr>
        <w:jc w:val="both"/>
        <w:rPr>
          <w:rFonts w:asciiTheme="majorHAnsi" w:hAnsiTheme="majorHAnsi"/>
          <w:szCs w:val="20"/>
        </w:rPr>
      </w:pPr>
    </w:p>
    <w:p w14:paraId="6D1E79D4" w14:textId="7FD8479F" w:rsidR="00693640"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693640" w:rsidRPr="00A608EE">
        <w:rPr>
          <w:rFonts w:asciiTheme="majorHAnsi" w:hAnsiTheme="majorHAnsi" w:cstheme="majorHAnsi"/>
          <w:b/>
          <w:bCs/>
          <w:color w:val="2145CC" w:themeColor="accent5" w:themeShade="BF"/>
          <w:sz w:val="20"/>
          <w:szCs w:val="20"/>
        </w:rPr>
        <w:t xml:space="preserve">ALINUS | SPI5 Entry | SPI5 Full | CP Commit | CP Full </w:t>
      </w:r>
      <w:r w:rsidR="004A48FF" w:rsidRPr="00A608EE">
        <w:rPr>
          <w:rFonts w:ascii="Work Sans" w:hAnsi="Work Sans"/>
          <w:b/>
          <w:bCs/>
          <w:color w:val="2145CC" w:themeColor="accent5" w:themeShade="BF"/>
          <w:sz w:val="20"/>
          <w:szCs w:val="20"/>
        </w:rPr>
        <w:t>| DI Focus</w:t>
      </w:r>
    </w:p>
    <w:p w14:paraId="4534B473" w14:textId="4F962F16" w:rsidR="00693640" w:rsidRPr="00A608EE" w:rsidRDefault="00693640"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B2531B"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4.E.1.3.1: Entry CP</w:t>
      </w:r>
    </w:p>
    <w:p w14:paraId="11FB7220" w14:textId="5927312B" w:rsidR="00693640" w:rsidRPr="00A608EE" w:rsidRDefault="00693640"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B2531B"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 xml:space="preserve">tail 4.E.1.3.1: SPI5 Entry | SPI5 Full CP Full – Advanced CP </w:t>
      </w:r>
    </w:p>
    <w:p w14:paraId="1F7881F6" w14:textId="44E1EDF0" w:rsidR="00693640" w:rsidRPr="00A608EE" w:rsidRDefault="001E0369"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7AF88ED5" w14:textId="77777777" w:rsidR="00B2531B" w:rsidRPr="00A608EE" w:rsidRDefault="00B2531B" w:rsidP="00EE208A">
      <w:pPr>
        <w:jc w:val="both"/>
        <w:rPr>
          <w:rFonts w:asciiTheme="majorHAnsi" w:hAnsiTheme="majorHAnsi"/>
          <w:sz w:val="20"/>
          <w:szCs w:val="20"/>
          <w:lang w:eastAsia="fr-FR"/>
        </w:rPr>
      </w:pPr>
      <w:r w:rsidRPr="00A608EE">
        <w:rPr>
          <w:rFonts w:asciiTheme="majorHAnsi" w:hAnsiTheme="majorHAnsi"/>
          <w:sz w:val="20"/>
          <w:szCs w:val="20"/>
          <w:lang w:eastAsia="fr-FR"/>
        </w:rPr>
        <w:t>The Complaint Handling Mechanism is only efficient, if clients know about it and are encouraged to use it. The details of this indicator explain the basics of how to inform clients about their right to file complaints, and how to do so. Providers can provide this information in a variety of ways that include in writing through loan contracts, a Key Facts Document, a brochure, via TVs and posters at the branches, social media, posters at agents’ locations, the website, digital channels such as the provider’s App, and orally during the product application and client orientation processes.</w:t>
      </w:r>
    </w:p>
    <w:p w14:paraId="1F18DED1" w14:textId="77777777" w:rsidR="00B2531B" w:rsidRPr="00A608EE" w:rsidRDefault="00B2531B" w:rsidP="00EE208A">
      <w:pPr>
        <w:jc w:val="both"/>
        <w:rPr>
          <w:rFonts w:asciiTheme="majorHAnsi" w:hAnsiTheme="majorHAnsi"/>
          <w:sz w:val="20"/>
          <w:szCs w:val="20"/>
          <w:lang w:eastAsia="fr-FR"/>
        </w:rPr>
      </w:pPr>
    </w:p>
    <w:p w14:paraId="2C8C8B53" w14:textId="48487763" w:rsidR="00B2531B" w:rsidRPr="00A608EE" w:rsidRDefault="00B2531B" w:rsidP="00EE208A">
      <w:pPr>
        <w:jc w:val="both"/>
        <w:rPr>
          <w:rFonts w:asciiTheme="majorHAnsi" w:hAnsiTheme="majorHAnsi"/>
          <w:sz w:val="20"/>
          <w:szCs w:val="20"/>
          <w:lang w:eastAsia="fr-FR"/>
        </w:rPr>
      </w:pPr>
      <w:r w:rsidRPr="00A608EE">
        <w:rPr>
          <w:rFonts w:asciiTheme="majorHAnsi" w:hAnsiTheme="majorHAnsi"/>
          <w:sz w:val="20"/>
          <w:szCs w:val="20"/>
          <w:lang w:eastAsia="fr-FR"/>
        </w:rPr>
        <w:t>This includes how clients submit a complaint not only to their provider, but, if available, also to a self-regulatory organization or public sector ombudsman. Provider must inform clients about how to submit a complaint against third parties as well. This process should include at least 2-3 moments in the customer journey when the client receives this information so that they can internalize it.  One of those moments must be the product application process.</w:t>
      </w:r>
    </w:p>
    <w:p w14:paraId="6F6ED01B" w14:textId="77777777" w:rsidR="00B2531B" w:rsidRPr="00A608EE" w:rsidRDefault="00B2531B" w:rsidP="00EE208A">
      <w:pPr>
        <w:jc w:val="both"/>
        <w:rPr>
          <w:rFonts w:asciiTheme="majorHAnsi" w:hAnsiTheme="majorHAnsi"/>
          <w:sz w:val="20"/>
          <w:szCs w:val="20"/>
          <w:lang w:eastAsia="fr-FR"/>
        </w:rPr>
      </w:pPr>
    </w:p>
    <w:p w14:paraId="26C9B211" w14:textId="1828C734" w:rsidR="00B2531B" w:rsidRPr="00A608EE" w:rsidRDefault="00B2531B" w:rsidP="00EE208A">
      <w:pPr>
        <w:jc w:val="both"/>
        <w:rPr>
          <w:rFonts w:asciiTheme="majorHAnsi" w:hAnsiTheme="majorHAnsi"/>
          <w:sz w:val="20"/>
          <w:szCs w:val="20"/>
          <w:lang w:eastAsia="fr-FR"/>
        </w:rPr>
      </w:pPr>
      <w:r w:rsidRPr="00A608EE">
        <w:rPr>
          <w:rFonts w:asciiTheme="majorHAnsi" w:hAnsiTheme="majorHAnsi"/>
          <w:sz w:val="20"/>
          <w:szCs w:val="20"/>
          <w:lang w:eastAsia="fr-FR"/>
        </w:rPr>
        <w:t>If providers have branch offices, agent locations and/or digital channels, then they must include information on how to submit complaints at each of these locations.</w:t>
      </w:r>
    </w:p>
    <w:p w14:paraId="05D63C98" w14:textId="77777777" w:rsidR="00672763" w:rsidRPr="00A608EE" w:rsidRDefault="00672763" w:rsidP="00EE208A">
      <w:pPr>
        <w:jc w:val="both"/>
        <w:rPr>
          <w:rFonts w:asciiTheme="majorHAnsi" w:hAnsiTheme="majorHAnsi"/>
          <w:sz w:val="20"/>
          <w:szCs w:val="20"/>
          <w:lang w:eastAsia="fr-FR"/>
        </w:rPr>
      </w:pPr>
    </w:p>
    <w:p w14:paraId="51155F0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81472" behindDoc="1" locked="0" layoutInCell="1" allowOverlap="1" wp14:anchorId="3BEBC89E" wp14:editId="6217DAB1">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152356057"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3E68AF2E" w14:textId="77777777" w:rsidR="00672763" w:rsidRPr="00A608EE" w:rsidRDefault="00672763" w:rsidP="00EE208A">
      <w:pPr>
        <w:jc w:val="both"/>
        <w:rPr>
          <w:rFonts w:asciiTheme="majorHAnsi" w:hAnsiTheme="majorHAnsi"/>
          <w:sz w:val="20"/>
          <w:szCs w:val="20"/>
          <w:lang w:eastAsia="fr-FR"/>
        </w:rPr>
      </w:pPr>
    </w:p>
    <w:p w14:paraId="2E5DD500" w14:textId="28A1A494" w:rsidR="001E0369" w:rsidRPr="00A608EE" w:rsidRDefault="00FC6779"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1E0369" w:rsidRPr="00A608EE">
        <w:rPr>
          <w:rFonts w:asciiTheme="majorHAnsi" w:hAnsiTheme="majorHAnsi"/>
          <w:sz w:val="20"/>
          <w:szCs w:val="20"/>
          <w:lang w:eastAsia="fr-FR"/>
        </w:rPr>
        <w:t>The provider provides information to clients on how to submit a complaint in formats that are accessible for clients with different types of impairments (e.g., Easy-read, large print, braille, audio formats, oral information, sign language, accessible digital channels).</w:t>
      </w:r>
    </w:p>
    <w:p w14:paraId="631C0F90" w14:textId="77777777" w:rsidR="00D36652" w:rsidRPr="00A608EE" w:rsidRDefault="00D36652" w:rsidP="00EE208A">
      <w:pPr>
        <w:jc w:val="both"/>
        <w:rPr>
          <w:rFonts w:asciiTheme="majorHAnsi" w:hAnsiTheme="majorHAnsi"/>
          <w:sz w:val="20"/>
          <w:szCs w:val="20"/>
          <w:lang w:eastAsia="fr-FR"/>
        </w:rPr>
      </w:pPr>
    </w:p>
    <w:p w14:paraId="1AA7ADB4" w14:textId="33CEF5C9" w:rsidR="00D36652" w:rsidRPr="00A608EE" w:rsidRDefault="00D36652" w:rsidP="00EE208A">
      <w:pPr>
        <w:jc w:val="both"/>
        <w:rPr>
          <w:rFonts w:asciiTheme="majorHAnsi" w:hAnsiTheme="majorHAnsi"/>
          <w:sz w:val="20"/>
          <w:szCs w:val="20"/>
          <w:lang w:eastAsia="fr-FR"/>
        </w:rPr>
      </w:pPr>
      <w:r w:rsidRPr="00A608EE">
        <w:rPr>
          <w:rFonts w:asciiTheme="majorHAnsi" w:hAnsiTheme="majorHAnsi"/>
          <w:sz w:val="20"/>
          <w:szCs w:val="20"/>
          <w:lang w:eastAsia="fr-FR"/>
        </w:rPr>
        <w:t>[See indicator 4.B.1.4 for more information about accessible information formats]</w:t>
      </w:r>
    </w:p>
    <w:p w14:paraId="6E62EE24" w14:textId="77777777" w:rsidR="001E0369" w:rsidRPr="00A608EE" w:rsidRDefault="001E0369" w:rsidP="00EE208A">
      <w:pPr>
        <w:jc w:val="both"/>
        <w:rPr>
          <w:rFonts w:asciiTheme="majorHAnsi" w:hAnsiTheme="majorHAnsi"/>
          <w:sz w:val="20"/>
          <w:szCs w:val="20"/>
          <w:lang w:eastAsia="fr-FR"/>
        </w:rPr>
      </w:pPr>
    </w:p>
    <w:p w14:paraId="22C0F185" w14:textId="2156D89C" w:rsidR="00B2531B" w:rsidRPr="00A608EE" w:rsidRDefault="00B2531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5EFE4FC2" w14:textId="77777777" w:rsidR="00B2531B" w:rsidRPr="00A608EE" w:rsidRDefault="00B2531B"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4.E.1.3.1</w:t>
      </w:r>
    </w:p>
    <w:p w14:paraId="5D46BA83" w14:textId="77777777" w:rsidR="00B2531B" w:rsidRPr="00A608EE" w:rsidRDefault="00B2531B" w:rsidP="00A27AAA">
      <w:pPr>
        <w:numPr>
          <w:ilvl w:val="0"/>
          <w:numId w:val="281"/>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has a systematic process and visible means in place to (1) share information with all clients at all locations for transactions (each branch office, agent location, and digital channel) about their right to complain and how to submit a complaint differentiated by channel and (2) monitor regularly the effectiveness of this process.</w:t>
      </w:r>
    </w:p>
    <w:p w14:paraId="7D6E2926" w14:textId="77777777" w:rsidR="00B2531B" w:rsidRPr="00A608EE" w:rsidRDefault="00B2531B" w:rsidP="00A27AAA">
      <w:pPr>
        <w:numPr>
          <w:ilvl w:val="0"/>
          <w:numId w:val="281"/>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two requirements are not met fully. For instance, visible means are not available in all locations or not all clients have access to the visible means (e.g. group borrowers missing their initial group meeting) or explanations on how to submit a complaint do not exist for all channels.</w:t>
      </w:r>
    </w:p>
    <w:p w14:paraId="062D96C9" w14:textId="77777777" w:rsidR="00B2531B" w:rsidRPr="00A608EE" w:rsidRDefault="00B2531B" w:rsidP="00A27AAA">
      <w:pPr>
        <w:numPr>
          <w:ilvl w:val="0"/>
          <w:numId w:val="281"/>
        </w:numPr>
        <w:jc w:val="both"/>
        <w:rPr>
          <w:rFonts w:asciiTheme="majorHAnsi" w:hAnsiTheme="majorHAnsi"/>
          <w:sz w:val="20"/>
          <w:szCs w:val="20"/>
          <w:lang w:eastAsia="fr-FR"/>
        </w:rPr>
      </w:pPr>
      <w:r w:rsidRPr="00A608EE">
        <w:rPr>
          <w:rFonts w:asciiTheme="majorHAnsi" w:hAnsiTheme="majorHAnsi"/>
          <w:sz w:val="20"/>
          <w:szCs w:val="20"/>
          <w:lang w:eastAsia="fr-FR"/>
        </w:rPr>
        <w:t>Score ‘no’, if the first requirement is not met. For instance, there are no or some visible means at a few branch offices and not at agent locations and/or there are no or not comprehensible explanations on how to submit a complaint.  </w:t>
      </w:r>
    </w:p>
    <w:p w14:paraId="69A95CB7" w14:textId="77777777" w:rsidR="00B2531B" w:rsidRPr="00A608EE" w:rsidRDefault="00B2531B" w:rsidP="00EE208A">
      <w:pPr>
        <w:jc w:val="both"/>
        <w:rPr>
          <w:rFonts w:asciiTheme="majorHAnsi" w:hAnsiTheme="majorHAnsi"/>
          <w:sz w:val="20"/>
          <w:szCs w:val="20"/>
          <w:u w:val="single"/>
          <w:lang w:eastAsia="fr-FR"/>
        </w:rPr>
      </w:pPr>
    </w:p>
    <w:p w14:paraId="1DFE59CA" w14:textId="29382327" w:rsidR="00B2531B" w:rsidRPr="00A608EE" w:rsidRDefault="00B2531B"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4.E.1.3.2</w:t>
      </w:r>
    </w:p>
    <w:p w14:paraId="41C759C6" w14:textId="77777777" w:rsidR="00B2531B" w:rsidRPr="00A608EE" w:rsidRDefault="00B2531B" w:rsidP="00A27AAA">
      <w:pPr>
        <w:numPr>
          <w:ilvl w:val="0"/>
          <w:numId w:val="282"/>
        </w:numPr>
        <w:jc w:val="both"/>
        <w:rPr>
          <w:rFonts w:asciiTheme="majorHAnsi" w:hAnsiTheme="majorHAnsi"/>
          <w:sz w:val="20"/>
          <w:szCs w:val="20"/>
          <w:lang w:eastAsia="fr-FR"/>
        </w:rPr>
      </w:pPr>
      <w:r w:rsidRPr="00A608EE">
        <w:rPr>
          <w:rFonts w:asciiTheme="majorHAnsi" w:hAnsiTheme="majorHAnsi"/>
          <w:sz w:val="20"/>
          <w:szCs w:val="20"/>
          <w:lang w:eastAsia="fr-FR"/>
        </w:rPr>
        <w:t xml:space="preserve">Score ’yes’, if the provider has a systematic process in place to (1) inform all clients on how to submit a complaint about their provider or its third-party (differentiated </w:t>
      </w:r>
      <w:r w:rsidRPr="00A608EE">
        <w:rPr>
          <w:rFonts w:asciiTheme="majorHAnsi" w:hAnsiTheme="majorHAnsi"/>
          <w:sz w:val="20"/>
          <w:szCs w:val="20"/>
          <w:lang w:eastAsia="fr-FR"/>
        </w:rPr>
        <w:lastRenderedPageBreak/>
        <w:t>by channel) at the time when clients are applying for a product and (2) monitor regularly the effectiveness of this process.</w:t>
      </w:r>
    </w:p>
    <w:p w14:paraId="17CBCE09" w14:textId="77777777" w:rsidR="00B2531B" w:rsidRPr="00A608EE" w:rsidRDefault="00B2531B" w:rsidP="00A27AAA">
      <w:pPr>
        <w:numPr>
          <w:ilvl w:val="0"/>
          <w:numId w:val="282"/>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two requirements are not met fully. For instance, not all clients are sufficiently informed on how to submit a complaint or clients receive explanations on how to submit a complaint for some channels only thereby reducing their choice among channels.</w:t>
      </w:r>
    </w:p>
    <w:p w14:paraId="00ABDF3A" w14:textId="77777777" w:rsidR="00B2531B" w:rsidRPr="00A608EE" w:rsidRDefault="00B2531B" w:rsidP="00A27AAA">
      <w:pPr>
        <w:numPr>
          <w:ilvl w:val="0"/>
          <w:numId w:val="282"/>
        </w:numPr>
        <w:jc w:val="both"/>
        <w:rPr>
          <w:rFonts w:asciiTheme="majorHAnsi" w:hAnsiTheme="majorHAnsi"/>
          <w:sz w:val="20"/>
          <w:szCs w:val="20"/>
          <w:lang w:eastAsia="fr-FR"/>
        </w:rPr>
      </w:pPr>
      <w:r w:rsidRPr="00A608EE">
        <w:rPr>
          <w:rFonts w:asciiTheme="majorHAnsi" w:hAnsiTheme="majorHAnsi"/>
          <w:sz w:val="20"/>
          <w:szCs w:val="20"/>
          <w:lang w:eastAsia="fr-FR"/>
        </w:rPr>
        <w:t>Score ‘no’, if the first requirement is not met. For instance, most clients are not systematically informed on how to submit a complaint when applying for a product.</w:t>
      </w:r>
    </w:p>
    <w:p w14:paraId="78B09459" w14:textId="77777777" w:rsidR="00B2531B" w:rsidRPr="00A608EE" w:rsidRDefault="00B2531B" w:rsidP="00EE208A">
      <w:pPr>
        <w:jc w:val="both"/>
        <w:rPr>
          <w:rFonts w:asciiTheme="majorHAnsi" w:hAnsiTheme="majorHAnsi"/>
          <w:sz w:val="20"/>
          <w:szCs w:val="20"/>
          <w:lang w:eastAsia="fr-FR"/>
        </w:rPr>
      </w:pPr>
    </w:p>
    <w:p w14:paraId="5C9F7123" w14:textId="208A677B" w:rsidR="00B2531B" w:rsidRPr="00A608EE" w:rsidRDefault="00B2531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6BC426FA" w14:textId="77777777" w:rsidR="00B2531B" w:rsidRPr="00A608EE" w:rsidRDefault="00B2531B" w:rsidP="00A27AAA">
      <w:pPr>
        <w:numPr>
          <w:ilvl w:val="0"/>
          <w:numId w:val="283"/>
        </w:numPr>
        <w:jc w:val="both"/>
        <w:rPr>
          <w:rFonts w:asciiTheme="majorHAnsi" w:hAnsiTheme="majorHAnsi"/>
          <w:sz w:val="20"/>
          <w:szCs w:val="20"/>
          <w:lang w:eastAsia="fr-FR"/>
        </w:rPr>
      </w:pPr>
      <w:r w:rsidRPr="00A608EE">
        <w:rPr>
          <w:rFonts w:asciiTheme="majorHAnsi" w:hAnsiTheme="majorHAnsi"/>
          <w:sz w:val="20"/>
          <w:szCs w:val="20"/>
          <w:lang w:eastAsia="fr-FR"/>
        </w:rPr>
        <w:t>Any documentation given to clients that contains the customer complaints channels.</w:t>
      </w:r>
    </w:p>
    <w:p w14:paraId="5F183343" w14:textId="77777777" w:rsidR="00B2531B" w:rsidRPr="00A608EE" w:rsidRDefault="00B2531B" w:rsidP="00A27AAA">
      <w:pPr>
        <w:numPr>
          <w:ilvl w:val="0"/>
          <w:numId w:val="283"/>
        </w:numPr>
        <w:jc w:val="both"/>
        <w:rPr>
          <w:rFonts w:asciiTheme="majorHAnsi" w:hAnsiTheme="majorHAnsi"/>
          <w:sz w:val="20"/>
          <w:szCs w:val="20"/>
          <w:lang w:eastAsia="fr-FR"/>
        </w:rPr>
      </w:pPr>
      <w:r w:rsidRPr="00A608EE">
        <w:rPr>
          <w:rFonts w:asciiTheme="majorHAnsi" w:hAnsiTheme="majorHAnsi"/>
          <w:sz w:val="20"/>
          <w:szCs w:val="20"/>
          <w:lang w:eastAsia="fr-FR"/>
        </w:rPr>
        <w:t>Interviews with clients to verify that they know how to make a complaint.</w:t>
      </w:r>
    </w:p>
    <w:p w14:paraId="3E7387A7" w14:textId="77777777" w:rsidR="00B2531B" w:rsidRPr="00A608EE" w:rsidRDefault="00B2531B" w:rsidP="00A27AAA">
      <w:pPr>
        <w:numPr>
          <w:ilvl w:val="0"/>
          <w:numId w:val="283"/>
        </w:numPr>
        <w:jc w:val="both"/>
        <w:rPr>
          <w:rFonts w:asciiTheme="majorHAnsi" w:hAnsiTheme="majorHAnsi"/>
          <w:sz w:val="20"/>
          <w:szCs w:val="20"/>
          <w:lang w:eastAsia="fr-FR"/>
        </w:rPr>
      </w:pPr>
      <w:r w:rsidRPr="00A608EE">
        <w:rPr>
          <w:rFonts w:asciiTheme="majorHAnsi" w:hAnsiTheme="majorHAnsi"/>
          <w:sz w:val="20"/>
          <w:szCs w:val="20"/>
          <w:lang w:eastAsia="fr-FR"/>
        </w:rPr>
        <w:t>Interview with field staff to talk about the channels, when clients receive information about how to make complaints, and to understand the perspective from the field on the most used channels and most frequent complaints.</w:t>
      </w:r>
    </w:p>
    <w:p w14:paraId="7127E43C" w14:textId="77777777" w:rsidR="00B2531B" w:rsidRPr="00A608EE" w:rsidRDefault="00B2531B" w:rsidP="00A27AAA">
      <w:pPr>
        <w:numPr>
          <w:ilvl w:val="0"/>
          <w:numId w:val="283"/>
        </w:numPr>
        <w:jc w:val="both"/>
        <w:rPr>
          <w:rFonts w:asciiTheme="majorHAnsi" w:hAnsiTheme="majorHAnsi"/>
          <w:sz w:val="20"/>
          <w:szCs w:val="20"/>
          <w:lang w:eastAsia="fr-FR"/>
        </w:rPr>
      </w:pPr>
      <w:r w:rsidRPr="00A608EE">
        <w:rPr>
          <w:rFonts w:asciiTheme="majorHAnsi" w:hAnsiTheme="majorHAnsi"/>
          <w:sz w:val="20"/>
          <w:szCs w:val="20"/>
          <w:lang w:eastAsia="fr-FR"/>
        </w:rPr>
        <w:t>Observation in the branches to see how the complaints mechanism(s) is displayed to clients.</w:t>
      </w:r>
    </w:p>
    <w:p w14:paraId="2247335E" w14:textId="77777777" w:rsidR="00B2531B" w:rsidRPr="00A608EE" w:rsidRDefault="00B2531B" w:rsidP="00EE208A">
      <w:pPr>
        <w:jc w:val="both"/>
        <w:rPr>
          <w:rFonts w:asciiTheme="majorHAnsi" w:hAnsiTheme="majorHAnsi"/>
          <w:sz w:val="20"/>
          <w:szCs w:val="20"/>
          <w:lang w:eastAsia="fr-FR"/>
        </w:rPr>
      </w:pPr>
    </w:p>
    <w:p w14:paraId="226BD872" w14:textId="48B9FDB7" w:rsidR="00B2531B" w:rsidRPr="00A608EE" w:rsidRDefault="00B2531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1E5B50A1" w14:textId="77777777" w:rsidR="00B2531B" w:rsidRPr="00A608EE" w:rsidRDefault="00B2531B" w:rsidP="00A27AAA">
      <w:pPr>
        <w:numPr>
          <w:ilvl w:val="0"/>
          <w:numId w:val="284"/>
        </w:numPr>
        <w:jc w:val="both"/>
        <w:rPr>
          <w:rFonts w:asciiTheme="majorHAnsi" w:hAnsiTheme="majorHAnsi"/>
          <w:sz w:val="20"/>
          <w:szCs w:val="20"/>
          <w:lang w:eastAsia="fr-FR"/>
        </w:rPr>
      </w:pPr>
      <w:r w:rsidRPr="00A608EE">
        <w:rPr>
          <w:rFonts w:asciiTheme="majorHAnsi" w:hAnsiTheme="majorHAnsi"/>
          <w:sz w:val="20"/>
          <w:szCs w:val="20"/>
          <w:lang w:eastAsia="fr-FR"/>
        </w:rPr>
        <w:t>Description of the written and oral communication channels used to share this information.</w:t>
      </w:r>
    </w:p>
    <w:p w14:paraId="3030E158" w14:textId="77777777" w:rsidR="00B2531B" w:rsidRPr="00A608EE" w:rsidRDefault="00B2531B" w:rsidP="00A27AAA">
      <w:pPr>
        <w:numPr>
          <w:ilvl w:val="0"/>
          <w:numId w:val="284"/>
        </w:numPr>
        <w:jc w:val="both"/>
        <w:rPr>
          <w:rFonts w:asciiTheme="majorHAnsi" w:hAnsiTheme="majorHAnsi"/>
          <w:sz w:val="20"/>
          <w:szCs w:val="20"/>
          <w:lang w:eastAsia="fr-FR"/>
        </w:rPr>
      </w:pPr>
      <w:r w:rsidRPr="00A608EE">
        <w:rPr>
          <w:rFonts w:asciiTheme="majorHAnsi" w:hAnsiTheme="majorHAnsi"/>
          <w:sz w:val="20"/>
          <w:szCs w:val="20"/>
          <w:lang w:eastAsia="fr-FR"/>
        </w:rPr>
        <w:t>Transparency checklist, any checklist that field staff use to ensure they fully inform clients.</w:t>
      </w:r>
    </w:p>
    <w:p w14:paraId="5E41B0ED" w14:textId="77777777" w:rsidR="00B2531B" w:rsidRPr="00A608EE" w:rsidRDefault="00B2531B" w:rsidP="00A27AAA">
      <w:pPr>
        <w:numPr>
          <w:ilvl w:val="0"/>
          <w:numId w:val="284"/>
        </w:numPr>
        <w:jc w:val="both"/>
        <w:rPr>
          <w:rFonts w:asciiTheme="majorHAnsi" w:hAnsiTheme="majorHAnsi"/>
          <w:sz w:val="20"/>
          <w:szCs w:val="20"/>
          <w:lang w:eastAsia="fr-FR"/>
        </w:rPr>
      </w:pPr>
      <w:r w:rsidRPr="00A608EE">
        <w:rPr>
          <w:rFonts w:asciiTheme="majorHAnsi" w:hAnsiTheme="majorHAnsi"/>
          <w:sz w:val="20"/>
          <w:szCs w:val="20"/>
          <w:lang w:eastAsia="fr-FR"/>
        </w:rPr>
        <w:t>Description of how the provider educates the clients about complaints submission, including title and page number of a policy or documented process if applicable.</w:t>
      </w:r>
    </w:p>
    <w:p w14:paraId="192D6AA3" w14:textId="77777777" w:rsidR="00B2531B" w:rsidRPr="00A608EE" w:rsidRDefault="00B2531B" w:rsidP="00A27AAA">
      <w:pPr>
        <w:numPr>
          <w:ilvl w:val="0"/>
          <w:numId w:val="284"/>
        </w:numPr>
        <w:jc w:val="both"/>
        <w:rPr>
          <w:rFonts w:asciiTheme="majorHAnsi" w:hAnsiTheme="majorHAnsi"/>
          <w:sz w:val="20"/>
          <w:szCs w:val="20"/>
          <w:lang w:eastAsia="fr-FR"/>
        </w:rPr>
      </w:pPr>
      <w:r w:rsidRPr="00A608EE">
        <w:rPr>
          <w:rFonts w:asciiTheme="majorHAnsi" w:hAnsiTheme="majorHAnsi"/>
          <w:sz w:val="20"/>
          <w:szCs w:val="20"/>
          <w:lang w:eastAsia="fr-FR"/>
        </w:rPr>
        <w:t>Checklist of information to be communicated to the client, including informing the clients about complaints mechanism(s).</w:t>
      </w:r>
    </w:p>
    <w:p w14:paraId="64ADE146" w14:textId="77777777" w:rsidR="001C015E" w:rsidRPr="00A608EE" w:rsidRDefault="001C015E" w:rsidP="00EE208A">
      <w:pPr>
        <w:jc w:val="both"/>
        <w:rPr>
          <w:rFonts w:asciiTheme="majorHAnsi" w:hAnsiTheme="majorHAnsi"/>
          <w:szCs w:val="20"/>
        </w:rPr>
      </w:pPr>
    </w:p>
    <w:p w14:paraId="4F542196" w14:textId="77777777" w:rsidR="00A42B00" w:rsidRPr="00A608EE" w:rsidRDefault="00A42B00" w:rsidP="00EE208A">
      <w:pPr>
        <w:jc w:val="both"/>
        <w:rPr>
          <w:rFonts w:asciiTheme="majorHAnsi" w:hAnsiTheme="majorHAnsi"/>
          <w:szCs w:val="20"/>
        </w:rPr>
      </w:pPr>
    </w:p>
    <w:p w14:paraId="46C7F407" w14:textId="77777777" w:rsidR="00B23185" w:rsidRPr="00A608EE" w:rsidRDefault="00B23185" w:rsidP="00EE208A">
      <w:pPr>
        <w:jc w:val="both"/>
        <w:rPr>
          <w:rFonts w:asciiTheme="majorHAnsi" w:hAnsiTheme="majorHAnsi"/>
          <w:sz w:val="20"/>
          <w:szCs w:val="20"/>
        </w:rPr>
      </w:pPr>
    </w:p>
    <w:p w14:paraId="3990AC9E" w14:textId="77777777" w:rsidR="00A573CD" w:rsidRPr="00A608EE" w:rsidRDefault="00A573CD" w:rsidP="00EE208A">
      <w:pPr>
        <w:jc w:val="both"/>
        <w:rPr>
          <w:rFonts w:asciiTheme="majorHAnsi" w:eastAsiaTheme="majorEastAsia" w:hAnsiTheme="majorHAnsi" w:cstheme="majorHAnsi"/>
          <w:szCs w:val="20"/>
        </w:rPr>
      </w:pPr>
      <w:r w:rsidRPr="00A608EE">
        <w:rPr>
          <w:rFonts w:cstheme="majorHAnsi"/>
          <w:szCs w:val="20"/>
        </w:rPr>
        <w:br w:type="page"/>
      </w:r>
    </w:p>
    <w:p w14:paraId="052EF72A" w14:textId="2D23AFF5" w:rsidR="009217FD" w:rsidRPr="00A608EE" w:rsidRDefault="009217FD" w:rsidP="00EE208A">
      <w:pPr>
        <w:pStyle w:val="Heading1"/>
        <w:spacing w:before="0" w:line="240" w:lineRule="auto"/>
        <w:jc w:val="both"/>
      </w:pPr>
      <w:bookmarkStart w:id="84" w:name="_Toc230938809"/>
      <w:r w:rsidRPr="00A608EE">
        <w:lastRenderedPageBreak/>
        <w:t xml:space="preserve">Dimension 5. </w:t>
      </w:r>
      <w:r w:rsidR="00CE3871" w:rsidRPr="00A608EE">
        <w:t>Responsible Human Resource Development</w:t>
      </w:r>
      <w:bookmarkEnd w:id="84"/>
    </w:p>
    <w:p w14:paraId="63A30963" w14:textId="77777777" w:rsidR="009217FD" w:rsidRPr="00A608EE" w:rsidRDefault="009217FD" w:rsidP="00EE208A">
      <w:pPr>
        <w:jc w:val="both"/>
        <w:rPr>
          <w:rFonts w:asciiTheme="majorHAnsi" w:hAnsiTheme="majorHAnsi"/>
          <w:szCs w:val="20"/>
        </w:rPr>
      </w:pPr>
    </w:p>
    <w:p w14:paraId="3A9FDB93" w14:textId="77777777" w:rsidR="00CE3871" w:rsidRPr="00A608EE" w:rsidRDefault="00CE3871" w:rsidP="00EE208A">
      <w:pPr>
        <w:jc w:val="both"/>
        <w:rPr>
          <w:rFonts w:asciiTheme="majorHAnsi" w:hAnsiTheme="majorHAnsi"/>
          <w:sz w:val="20"/>
          <w:szCs w:val="20"/>
          <w:lang w:eastAsia="fr-FR"/>
        </w:rPr>
      </w:pPr>
      <w:r w:rsidRPr="00A608EE">
        <w:rPr>
          <w:rFonts w:asciiTheme="majorHAnsi" w:hAnsiTheme="majorHAnsi"/>
          <w:sz w:val="20"/>
          <w:szCs w:val="20"/>
          <w:lang w:eastAsia="fr-FR"/>
        </w:rPr>
        <w:t>Qualified and committed human resources - employees, but also agents - are the greatest asset for achieving the social goals, if they are valued by their employer or mandator, understand well their roles and responsibilities, and listened to their ideas about organizational improvements.</w:t>
      </w:r>
      <w:r w:rsidRPr="00A608EE">
        <w:rPr>
          <w:sz w:val="20"/>
          <w:szCs w:val="20"/>
          <w:lang w:eastAsia="fr-FR"/>
        </w:rPr>
        <w:t> </w:t>
      </w:r>
      <w:r w:rsidRPr="00A608EE">
        <w:rPr>
          <w:rFonts w:asciiTheme="majorHAnsi" w:hAnsiTheme="majorHAnsi"/>
          <w:sz w:val="20"/>
          <w:szCs w:val="20"/>
          <w:lang w:eastAsia="fr-FR"/>
        </w:rPr>
        <w:t>Responsible treatment of employees (and also agents) is critical for providers to achieve their social, environmental, and financial goals. Employees have rights, and employees that are well-treated are more likely to treat clients responsibly.</w:t>
      </w:r>
    </w:p>
    <w:p w14:paraId="28E06671" w14:textId="77777777" w:rsidR="00CE3871" w:rsidRPr="00A608EE" w:rsidRDefault="00CE3871" w:rsidP="00EE208A">
      <w:pPr>
        <w:jc w:val="both"/>
        <w:rPr>
          <w:rFonts w:asciiTheme="majorHAnsi" w:hAnsiTheme="majorHAnsi"/>
          <w:sz w:val="20"/>
          <w:szCs w:val="20"/>
          <w:lang w:eastAsia="fr-FR"/>
        </w:rPr>
      </w:pPr>
    </w:p>
    <w:p w14:paraId="21B75FFC" w14:textId="57AD27E5" w:rsidR="00CE3871" w:rsidRPr="00A608EE" w:rsidRDefault="00CE3871" w:rsidP="00EE208A">
      <w:pPr>
        <w:jc w:val="both"/>
        <w:rPr>
          <w:rFonts w:asciiTheme="majorHAnsi" w:hAnsiTheme="majorHAnsi"/>
          <w:sz w:val="20"/>
          <w:szCs w:val="20"/>
          <w:lang w:eastAsia="fr-FR"/>
        </w:rPr>
      </w:pPr>
      <w:r w:rsidRPr="00A608EE">
        <w:rPr>
          <w:rFonts w:asciiTheme="majorHAnsi" w:hAnsiTheme="majorHAnsi"/>
          <w:sz w:val="20"/>
          <w:szCs w:val="20"/>
          <w:lang w:eastAsia="fr-FR"/>
        </w:rPr>
        <w:t>Dimension 5, which Cerise+SPTF co-developed with the</w:t>
      </w:r>
      <w:r w:rsidRPr="00A608EE">
        <w:rPr>
          <w:sz w:val="20"/>
          <w:szCs w:val="20"/>
          <w:lang w:eastAsia="fr-FR"/>
        </w:rPr>
        <w:t> </w:t>
      </w:r>
      <w:r w:rsidRPr="00A608EE">
        <w:rPr>
          <w:rFonts w:asciiTheme="majorHAnsi" w:hAnsiTheme="majorHAnsi"/>
          <w:sz w:val="20"/>
          <w:szCs w:val="20"/>
          <w:lang w:eastAsia="fr-FR"/>
        </w:rPr>
        <w:t>International Labor Organization</w:t>
      </w:r>
      <w:r w:rsidRPr="00A608EE">
        <w:rPr>
          <w:sz w:val="20"/>
          <w:szCs w:val="20"/>
          <w:lang w:eastAsia="fr-FR"/>
        </w:rPr>
        <w:t> </w:t>
      </w:r>
      <w:r w:rsidRPr="00A608EE">
        <w:rPr>
          <w:rFonts w:asciiTheme="majorHAnsi" w:hAnsiTheme="majorHAnsi"/>
          <w:sz w:val="20"/>
          <w:szCs w:val="20"/>
          <w:lang w:eastAsia="fr-FR"/>
        </w:rPr>
        <w:t>and the</w:t>
      </w:r>
      <w:r w:rsidRPr="00A608EE">
        <w:rPr>
          <w:sz w:val="20"/>
          <w:szCs w:val="20"/>
          <w:lang w:eastAsia="fr-FR"/>
        </w:rPr>
        <w:t> </w:t>
      </w:r>
      <w:r w:rsidRPr="00A608EE">
        <w:rPr>
          <w:rFonts w:asciiTheme="majorHAnsi" w:hAnsiTheme="majorHAnsi"/>
          <w:sz w:val="20"/>
          <w:szCs w:val="20"/>
          <w:lang w:eastAsia="fr-FR"/>
        </w:rPr>
        <w:t>e-MFP Human Resources Action Group, has three standards:</w:t>
      </w:r>
    </w:p>
    <w:p w14:paraId="12EA0843" w14:textId="72B00109" w:rsidR="00CE3871" w:rsidRPr="00A608EE" w:rsidRDefault="00CE3871" w:rsidP="00A27AAA">
      <w:pPr>
        <w:numPr>
          <w:ilvl w:val="0"/>
          <w:numId w:val="285"/>
        </w:numPr>
        <w:jc w:val="both"/>
        <w:rPr>
          <w:rFonts w:asciiTheme="majorHAnsi" w:hAnsiTheme="majorHAnsi"/>
          <w:sz w:val="20"/>
          <w:szCs w:val="20"/>
          <w:lang w:eastAsia="fr-FR"/>
        </w:rPr>
      </w:pPr>
      <w:r w:rsidRPr="00A608EE">
        <w:rPr>
          <w:rFonts w:asciiTheme="majorHAnsi" w:hAnsiTheme="majorHAnsi"/>
          <w:sz w:val="20"/>
          <w:szCs w:val="20"/>
          <w:lang w:eastAsia="fr-FR"/>
        </w:rPr>
        <w:t>Standard 5A The provider creates a safe and equitable work environment.</w:t>
      </w:r>
    </w:p>
    <w:p w14:paraId="374BB148" w14:textId="4C8A5C77" w:rsidR="00CE3871" w:rsidRPr="00A608EE" w:rsidRDefault="00CE3871" w:rsidP="00A27AAA">
      <w:pPr>
        <w:numPr>
          <w:ilvl w:val="0"/>
          <w:numId w:val="285"/>
        </w:numPr>
        <w:jc w:val="both"/>
        <w:rPr>
          <w:rFonts w:asciiTheme="majorHAnsi" w:hAnsiTheme="majorHAnsi"/>
          <w:sz w:val="20"/>
          <w:szCs w:val="20"/>
          <w:lang w:eastAsia="fr-FR"/>
        </w:rPr>
      </w:pPr>
      <w:r w:rsidRPr="00A608EE">
        <w:rPr>
          <w:rFonts w:asciiTheme="majorHAnsi" w:hAnsiTheme="majorHAnsi"/>
          <w:sz w:val="20"/>
          <w:szCs w:val="20"/>
          <w:lang w:eastAsia="fr-FR"/>
        </w:rPr>
        <w:t>Standard 5B The provider’s Human Resources Development system is designed to attract and maintain a qualified and motivated workforce.</w:t>
      </w:r>
    </w:p>
    <w:p w14:paraId="6DDCE0CF" w14:textId="689A523B" w:rsidR="00CE3871" w:rsidRPr="00A608EE" w:rsidRDefault="00CE3871" w:rsidP="00A27AAA">
      <w:pPr>
        <w:numPr>
          <w:ilvl w:val="0"/>
          <w:numId w:val="285"/>
        </w:numPr>
        <w:jc w:val="both"/>
        <w:rPr>
          <w:rFonts w:asciiTheme="majorHAnsi" w:hAnsiTheme="majorHAnsi"/>
          <w:sz w:val="20"/>
          <w:szCs w:val="20"/>
          <w:lang w:eastAsia="fr-FR"/>
        </w:rPr>
      </w:pPr>
      <w:r w:rsidRPr="00A608EE">
        <w:rPr>
          <w:rFonts w:asciiTheme="majorHAnsi" w:hAnsiTheme="majorHAnsi"/>
          <w:sz w:val="20"/>
          <w:szCs w:val="20"/>
          <w:lang w:eastAsia="fr-FR"/>
        </w:rPr>
        <w:t>Standard 5C The provider’s Human Resources Development system supports its social strategy.</w:t>
      </w:r>
    </w:p>
    <w:p w14:paraId="3BB09736" w14:textId="77777777" w:rsidR="00CE3871" w:rsidRPr="00A608EE" w:rsidRDefault="00CE3871" w:rsidP="00EE208A">
      <w:pPr>
        <w:jc w:val="both"/>
        <w:rPr>
          <w:rFonts w:asciiTheme="majorHAnsi" w:hAnsiTheme="majorHAnsi"/>
          <w:sz w:val="20"/>
          <w:szCs w:val="20"/>
          <w:lang w:eastAsia="fr-FR"/>
        </w:rPr>
      </w:pPr>
    </w:p>
    <w:p w14:paraId="4DA9543E" w14:textId="43C6C641" w:rsidR="00CE3871" w:rsidRPr="00A608EE" w:rsidRDefault="00CE387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Dimension 5</w:t>
      </w:r>
    </w:p>
    <w:p w14:paraId="56B347E5" w14:textId="587A54F1" w:rsidR="488500BF" w:rsidRPr="00A608EE" w:rsidRDefault="488500BF" w:rsidP="00A27AAA">
      <w:pPr>
        <w:numPr>
          <w:ilvl w:val="0"/>
          <w:numId w:val="24"/>
        </w:numPr>
        <w:jc w:val="both"/>
        <w:rPr>
          <w:sz w:val="20"/>
          <w:szCs w:val="20"/>
        </w:rPr>
      </w:pPr>
      <w:hyperlink r:id="rId237">
        <w:r w:rsidRPr="00A608EE">
          <w:rPr>
            <w:rStyle w:val="Hyperlink"/>
            <w:rFonts w:ascii="Work Sans" w:eastAsia="Work Sans" w:hAnsi="Work Sans" w:cs="Work Sans"/>
            <w:sz w:val="20"/>
            <w:szCs w:val="20"/>
          </w:rPr>
          <w:t>FUNDESER Strengthens HR policies</w:t>
        </w:r>
      </w:hyperlink>
    </w:p>
    <w:p w14:paraId="5E1D830D" w14:textId="5F41AFFA" w:rsidR="00F447F8" w:rsidRPr="00A608EE" w:rsidRDefault="00F447F8" w:rsidP="00A27AAA">
      <w:pPr>
        <w:numPr>
          <w:ilvl w:val="0"/>
          <w:numId w:val="24"/>
        </w:numPr>
        <w:jc w:val="both"/>
        <w:rPr>
          <w:rFonts w:asciiTheme="majorHAnsi" w:hAnsiTheme="majorHAnsi"/>
          <w:color w:val="2A3049"/>
          <w:sz w:val="20"/>
          <w:szCs w:val="20"/>
        </w:rPr>
      </w:pPr>
      <w:hyperlink r:id="rId238" w:history="1">
        <w:r w:rsidRPr="00A608EE">
          <w:rPr>
            <w:rStyle w:val="Hyperlink"/>
            <w:rFonts w:asciiTheme="majorHAnsi" w:hAnsiTheme="majorHAnsi"/>
            <w:sz w:val="20"/>
            <w:szCs w:val="20"/>
          </w:rPr>
          <w:t>Grameen Foundation’s Human Capital Management (HCM) Assessment tool</w:t>
        </w:r>
      </w:hyperlink>
    </w:p>
    <w:p w14:paraId="52FECC5F" w14:textId="77777777" w:rsidR="001E45F3" w:rsidRPr="00A608EE" w:rsidRDefault="001E45F3" w:rsidP="00EE208A">
      <w:pPr>
        <w:jc w:val="both"/>
        <w:rPr>
          <w:rFonts w:asciiTheme="majorHAnsi" w:hAnsiTheme="majorHAnsi"/>
          <w:szCs w:val="20"/>
        </w:rPr>
      </w:pPr>
    </w:p>
    <w:p w14:paraId="529EC7B0" w14:textId="77777777" w:rsidR="0044042E" w:rsidRPr="00A608EE" w:rsidRDefault="0044042E" w:rsidP="00EE208A">
      <w:pPr>
        <w:jc w:val="both"/>
        <w:rPr>
          <w:rFonts w:asciiTheme="majorHAnsi" w:hAnsiTheme="majorHAnsi"/>
          <w:szCs w:val="20"/>
        </w:rPr>
      </w:pPr>
    </w:p>
    <w:p w14:paraId="72E5079B" w14:textId="74FA0574" w:rsidR="001E45F3" w:rsidRPr="00A608EE" w:rsidRDefault="00CE3871" w:rsidP="00EE208A">
      <w:pPr>
        <w:pStyle w:val="Heading2"/>
        <w:spacing w:before="0" w:line="240" w:lineRule="auto"/>
        <w:jc w:val="both"/>
        <w:rPr>
          <w:szCs w:val="20"/>
        </w:rPr>
      </w:pPr>
      <w:bookmarkStart w:id="85" w:name="_Toc230938810"/>
      <w:r w:rsidRPr="00A608EE">
        <w:rPr>
          <w:rStyle w:val="text-primary"/>
        </w:rPr>
        <w:t>Standard 5A. The provider creates a safe and equitable work environment.</w:t>
      </w:r>
      <w:bookmarkEnd w:id="85"/>
    </w:p>
    <w:p w14:paraId="449CD875" w14:textId="77777777" w:rsidR="000015C4" w:rsidRPr="00A608EE" w:rsidRDefault="000015C4" w:rsidP="00EE208A">
      <w:pPr>
        <w:pStyle w:val="NormalWeb"/>
        <w:spacing w:before="0" w:beforeAutospacing="0" w:after="0" w:afterAutospacing="0"/>
        <w:jc w:val="both"/>
        <w:rPr>
          <w:rFonts w:asciiTheme="majorHAnsi" w:hAnsiTheme="majorHAnsi"/>
          <w:sz w:val="20"/>
          <w:szCs w:val="20"/>
        </w:rPr>
      </w:pPr>
    </w:p>
    <w:p w14:paraId="29DBA9FB" w14:textId="77777777" w:rsidR="00CE3871" w:rsidRPr="00A608EE" w:rsidRDefault="00CE3871" w:rsidP="00EE208A">
      <w:pPr>
        <w:jc w:val="both"/>
        <w:rPr>
          <w:rFonts w:asciiTheme="majorHAnsi" w:hAnsiTheme="majorHAnsi"/>
          <w:sz w:val="20"/>
          <w:szCs w:val="20"/>
          <w:lang w:eastAsia="fr-FR"/>
        </w:rPr>
      </w:pPr>
      <w:r w:rsidRPr="00A608EE">
        <w:rPr>
          <w:rFonts w:asciiTheme="majorHAnsi" w:hAnsiTheme="majorHAnsi"/>
          <w:sz w:val="20"/>
          <w:szCs w:val="20"/>
          <w:lang w:eastAsia="fr-FR"/>
        </w:rPr>
        <w:t>Creating a supportive, safe and equitable working environment requires providers to have the policies and procedures in place to guarantee a non-discriminatory and safe place to work, to remunerates staff appropriately, and to address their grievances. It complies or exceeds the national laws including on forced labor and child labor.</w:t>
      </w:r>
    </w:p>
    <w:p w14:paraId="458D1EEF" w14:textId="77777777" w:rsidR="00CE3871" w:rsidRPr="00A608EE" w:rsidRDefault="00CE3871" w:rsidP="00EE208A">
      <w:pPr>
        <w:jc w:val="both"/>
        <w:rPr>
          <w:rFonts w:asciiTheme="majorHAnsi" w:hAnsiTheme="majorHAnsi"/>
          <w:sz w:val="20"/>
          <w:szCs w:val="20"/>
          <w:lang w:eastAsia="fr-FR"/>
        </w:rPr>
      </w:pPr>
    </w:p>
    <w:p w14:paraId="6B14D08E" w14:textId="6A5121DE" w:rsidR="00CE3871" w:rsidRPr="00A608EE" w:rsidRDefault="00CE3871" w:rsidP="00EE208A">
      <w:pPr>
        <w:jc w:val="both"/>
        <w:rPr>
          <w:rFonts w:asciiTheme="majorHAnsi" w:hAnsiTheme="majorHAnsi"/>
          <w:sz w:val="20"/>
          <w:szCs w:val="20"/>
          <w:lang w:eastAsia="fr-FR"/>
        </w:rPr>
      </w:pPr>
      <w:r w:rsidRPr="00A608EE">
        <w:rPr>
          <w:rFonts w:asciiTheme="majorHAnsi" w:hAnsiTheme="majorHAnsi"/>
          <w:sz w:val="20"/>
          <w:szCs w:val="20"/>
          <w:lang w:eastAsia="fr-FR"/>
        </w:rPr>
        <w:t>This standard has 3 essential practices:</w:t>
      </w:r>
    </w:p>
    <w:p w14:paraId="1891D7A4" w14:textId="6B1A2219" w:rsidR="00CE3871" w:rsidRPr="00A608EE" w:rsidRDefault="00CE3871" w:rsidP="00A27AAA">
      <w:pPr>
        <w:numPr>
          <w:ilvl w:val="0"/>
          <w:numId w:val="25"/>
        </w:numPr>
        <w:jc w:val="both"/>
        <w:rPr>
          <w:rFonts w:asciiTheme="majorHAnsi" w:hAnsiTheme="majorHAnsi"/>
          <w:sz w:val="20"/>
          <w:szCs w:val="20"/>
          <w:lang w:eastAsia="fr-FR"/>
        </w:rPr>
      </w:pPr>
      <w:r w:rsidRPr="00A608EE">
        <w:rPr>
          <w:rFonts w:asciiTheme="majorHAnsi" w:hAnsiTheme="majorHAnsi"/>
          <w:sz w:val="20"/>
          <w:szCs w:val="20"/>
          <w:lang w:eastAsia="fr-FR"/>
        </w:rPr>
        <w:t>Essential Practice 5.A.1: A written Human Resources policy is available to all employees that explains and protects their rights.</w:t>
      </w:r>
    </w:p>
    <w:p w14:paraId="2E0A7264" w14:textId="28BF09F7" w:rsidR="00CE3871" w:rsidRPr="00A608EE" w:rsidRDefault="00CE3871" w:rsidP="00A27AAA">
      <w:pPr>
        <w:numPr>
          <w:ilvl w:val="0"/>
          <w:numId w:val="25"/>
        </w:numPr>
        <w:jc w:val="both"/>
        <w:rPr>
          <w:rFonts w:asciiTheme="majorHAnsi" w:hAnsiTheme="majorHAnsi"/>
          <w:sz w:val="20"/>
          <w:szCs w:val="20"/>
          <w:lang w:eastAsia="fr-FR"/>
        </w:rPr>
      </w:pPr>
      <w:r w:rsidRPr="00A608EE">
        <w:rPr>
          <w:rFonts w:asciiTheme="majorHAnsi" w:hAnsiTheme="majorHAnsi"/>
          <w:sz w:val="20"/>
          <w:szCs w:val="20"/>
          <w:lang w:eastAsia="fr-FR"/>
        </w:rPr>
        <w:t>Essential Practice 5.A.2: Employee compensation is equitable and adequate.</w:t>
      </w:r>
    </w:p>
    <w:p w14:paraId="61D32890" w14:textId="4130A97F" w:rsidR="00CE3871" w:rsidRPr="00A608EE" w:rsidRDefault="00CE3871" w:rsidP="00A27AAA">
      <w:pPr>
        <w:numPr>
          <w:ilvl w:val="0"/>
          <w:numId w:val="25"/>
        </w:numPr>
        <w:jc w:val="both"/>
        <w:rPr>
          <w:rFonts w:asciiTheme="majorHAnsi" w:hAnsiTheme="majorHAnsi"/>
          <w:sz w:val="20"/>
          <w:szCs w:val="20"/>
          <w:lang w:eastAsia="fr-FR"/>
        </w:rPr>
      </w:pPr>
      <w:r w:rsidRPr="00A608EE">
        <w:rPr>
          <w:rFonts w:asciiTheme="majorHAnsi" w:hAnsiTheme="majorHAnsi"/>
          <w:sz w:val="20"/>
          <w:szCs w:val="20"/>
          <w:lang w:eastAsia="fr-FR"/>
        </w:rPr>
        <w:t>Essential Practice 5.A.3: The provider has a safety and health management system.</w:t>
      </w:r>
    </w:p>
    <w:p w14:paraId="62D471FD" w14:textId="77777777" w:rsidR="00CE3871" w:rsidRPr="00A608EE" w:rsidRDefault="00CE3871" w:rsidP="00EE208A">
      <w:pPr>
        <w:jc w:val="both"/>
        <w:rPr>
          <w:rFonts w:asciiTheme="majorHAnsi" w:hAnsiTheme="majorHAnsi"/>
          <w:b/>
          <w:bCs/>
          <w:sz w:val="20"/>
          <w:szCs w:val="20"/>
          <w:lang w:eastAsia="fr-FR"/>
        </w:rPr>
      </w:pPr>
    </w:p>
    <w:p w14:paraId="7CC80C07" w14:textId="51E89622" w:rsidR="00CE3871" w:rsidRPr="00A608EE" w:rsidRDefault="00CE3871" w:rsidP="00EE208A">
      <w:pPr>
        <w:jc w:val="both"/>
        <w:rPr>
          <w:rFonts w:asciiTheme="majorHAnsi" w:hAnsiTheme="majorHAnsi"/>
          <w:b/>
          <w:bCs/>
          <w:sz w:val="20"/>
          <w:szCs w:val="20"/>
          <w:lang w:eastAsia="fr-FR"/>
        </w:rPr>
      </w:pPr>
      <w:bookmarkStart w:id="86" w:name="_Hlk204948070"/>
      <w:r w:rsidRPr="00A608EE">
        <w:rPr>
          <w:rFonts w:asciiTheme="majorHAnsi" w:hAnsiTheme="majorHAnsi"/>
          <w:b/>
          <w:bCs/>
          <w:sz w:val="20"/>
          <w:szCs w:val="20"/>
          <w:lang w:eastAsia="fr-FR"/>
        </w:rPr>
        <w:t>Resources for Standard 5A</w:t>
      </w:r>
    </w:p>
    <w:p w14:paraId="21826214" w14:textId="77777777" w:rsidR="00CE3871" w:rsidRPr="00A608EE" w:rsidRDefault="00CE3871" w:rsidP="00A27AAA">
      <w:pPr>
        <w:numPr>
          <w:ilvl w:val="0"/>
          <w:numId w:val="25"/>
        </w:numPr>
        <w:jc w:val="both"/>
        <w:rPr>
          <w:rFonts w:asciiTheme="majorHAnsi" w:hAnsiTheme="majorHAnsi"/>
          <w:sz w:val="20"/>
          <w:szCs w:val="20"/>
          <w:lang w:eastAsia="fr-FR"/>
        </w:rPr>
      </w:pPr>
      <w:hyperlink r:id="rId239" w:tgtFrame="_blank" w:history="1">
        <w:r w:rsidRPr="00A608EE">
          <w:rPr>
            <w:rStyle w:val="Hyperlink"/>
            <w:rFonts w:asciiTheme="majorHAnsi" w:hAnsiTheme="majorHAnsi"/>
            <w:sz w:val="20"/>
            <w:szCs w:val="20"/>
            <w:lang w:eastAsia="fr-FR"/>
          </w:rPr>
          <w:t>SPM Essentials #5: Listening to Employees as a Business Strategy</w:t>
        </w:r>
      </w:hyperlink>
    </w:p>
    <w:p w14:paraId="5394171C" w14:textId="5D2F09F3" w:rsidR="00713B24" w:rsidRPr="00A608EE" w:rsidRDefault="00CE3871" w:rsidP="00A27AAA">
      <w:pPr>
        <w:numPr>
          <w:ilvl w:val="0"/>
          <w:numId w:val="25"/>
        </w:numPr>
        <w:jc w:val="both"/>
        <w:rPr>
          <w:rStyle w:val="Hyperlink"/>
          <w:rFonts w:asciiTheme="majorHAnsi" w:hAnsiTheme="majorHAnsi"/>
          <w:color w:val="auto"/>
          <w:sz w:val="20"/>
          <w:szCs w:val="20"/>
          <w:u w:val="none"/>
          <w:lang w:eastAsia="fr-FR"/>
        </w:rPr>
      </w:pPr>
      <w:hyperlink r:id="rId240" w:tgtFrame="_blank" w:history="1">
        <w:r w:rsidRPr="00A608EE">
          <w:rPr>
            <w:rStyle w:val="Hyperlink"/>
            <w:rFonts w:asciiTheme="majorHAnsi" w:hAnsiTheme="majorHAnsi"/>
            <w:sz w:val="20"/>
            <w:szCs w:val="20"/>
            <w:lang w:eastAsia="fr-FR"/>
          </w:rPr>
          <w:t>Total Rewards Module Grameen Foundation Human Capital Hub</w:t>
        </w:r>
      </w:hyperlink>
    </w:p>
    <w:bookmarkEnd w:id="86"/>
    <w:p w14:paraId="3ECBABCA" w14:textId="77777777" w:rsidR="00B90FDA" w:rsidRPr="00A608EE" w:rsidRDefault="00B90FDA" w:rsidP="00EE208A">
      <w:pPr>
        <w:jc w:val="both"/>
        <w:rPr>
          <w:rFonts w:asciiTheme="majorHAnsi" w:hAnsiTheme="majorHAnsi"/>
          <w:szCs w:val="20"/>
        </w:rPr>
      </w:pPr>
    </w:p>
    <w:p w14:paraId="45C7D182" w14:textId="77777777" w:rsidR="0044042E" w:rsidRPr="00A608EE" w:rsidRDefault="0044042E" w:rsidP="00EE208A">
      <w:pPr>
        <w:jc w:val="both"/>
        <w:rPr>
          <w:rFonts w:asciiTheme="majorHAnsi" w:hAnsiTheme="majorHAnsi"/>
          <w:szCs w:val="20"/>
        </w:rPr>
      </w:pPr>
    </w:p>
    <w:p w14:paraId="73477D90" w14:textId="2E4FFF3A" w:rsidR="00713B24" w:rsidRPr="00A608EE" w:rsidRDefault="00713B24" w:rsidP="00EE208A">
      <w:pPr>
        <w:pStyle w:val="Heading3"/>
        <w:spacing w:before="0" w:line="240" w:lineRule="auto"/>
        <w:jc w:val="both"/>
      </w:pPr>
      <w:bookmarkStart w:id="87" w:name="_Toc230938811"/>
      <w:r w:rsidRPr="00A608EE">
        <w:rPr>
          <w:rStyle w:val="text-primary"/>
        </w:rPr>
        <w:t>5.A.1</w:t>
      </w:r>
      <w:r w:rsidRPr="00A608EE">
        <w:t xml:space="preserve"> </w:t>
      </w:r>
      <w:r w:rsidR="00CE3871" w:rsidRPr="00A608EE">
        <w:t>A written Human Resources policy is available to all employees that explains and protects their rights</w:t>
      </w:r>
      <w:r w:rsidR="00AF3660" w:rsidRPr="00A608EE">
        <w:t>.</w:t>
      </w:r>
      <w:bookmarkEnd w:id="87"/>
    </w:p>
    <w:p w14:paraId="6F035E16" w14:textId="77777777" w:rsidR="00B23185" w:rsidRPr="00A608EE" w:rsidRDefault="00B23185" w:rsidP="00EE208A">
      <w:pPr>
        <w:pStyle w:val="NormalWeb"/>
        <w:spacing w:before="0" w:beforeAutospacing="0" w:after="0" w:afterAutospacing="0"/>
        <w:jc w:val="both"/>
        <w:rPr>
          <w:rFonts w:asciiTheme="majorHAnsi" w:hAnsiTheme="majorHAnsi"/>
          <w:sz w:val="20"/>
          <w:szCs w:val="20"/>
        </w:rPr>
      </w:pPr>
    </w:p>
    <w:p w14:paraId="6FCDD4E9" w14:textId="77777777" w:rsidR="00CE3871" w:rsidRPr="00A608EE" w:rsidRDefault="00CE387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 order to serve clients well, employees must work in an environment that supports and protects their rights and makes them feel valued. A well-developed HR policy provides the foundation for such an environment. It should be easily accessible to all employees, which means that each employee should know that the policy exists, what the contents include, and where to find the entire policy (e.g., on a shared computer drive). Providers should propose to each employee with an abridged version of the HR policy, highlighting the policies that affect employees most significantly and inform employees on policy changes in a timely way. Providers should decide on the format freely in line with their employee’s preferences.</w:t>
      </w:r>
    </w:p>
    <w:p w14:paraId="79E4BD2A" w14:textId="77777777" w:rsidR="00CE3871" w:rsidRPr="00A608EE" w:rsidRDefault="00CE3871" w:rsidP="00EE208A">
      <w:pPr>
        <w:pStyle w:val="NormalWeb"/>
        <w:spacing w:before="0" w:beforeAutospacing="0" w:after="0" w:afterAutospacing="0"/>
        <w:jc w:val="both"/>
        <w:rPr>
          <w:rFonts w:asciiTheme="majorHAnsi" w:hAnsiTheme="majorHAnsi"/>
          <w:sz w:val="20"/>
          <w:szCs w:val="20"/>
        </w:rPr>
      </w:pPr>
    </w:p>
    <w:p w14:paraId="466DDAFE" w14:textId="67CE8C2E" w:rsidR="00CE3871" w:rsidRPr="00A608EE" w:rsidRDefault="00CE387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Developing the HR policy</w:t>
      </w:r>
    </w:p>
    <w:p w14:paraId="7F770EEC" w14:textId="77777777" w:rsidR="00CE3871" w:rsidRPr="00A608EE" w:rsidRDefault="00CE387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involve employees at different levels in the process for developing and/or reviewing the HR policy to enhance its quality and appropriateness and build staff awareness and commitment. Good practice is to form an employee committee that periodically discusses how to improve implementation of the policy. To meet this standard, providers should have a formal mechanism for consulting with employee representatives on HR decisions and policy development and to allow them to have direct access to executive managers.</w:t>
      </w:r>
    </w:p>
    <w:p w14:paraId="63B21811" w14:textId="77777777" w:rsidR="00CE3871" w:rsidRPr="00A608EE" w:rsidRDefault="00CE3871" w:rsidP="00EE208A">
      <w:pPr>
        <w:pStyle w:val="NormalWeb"/>
        <w:spacing w:before="0" w:beforeAutospacing="0" w:after="0" w:afterAutospacing="0"/>
        <w:jc w:val="both"/>
        <w:rPr>
          <w:rFonts w:asciiTheme="majorHAnsi" w:hAnsiTheme="majorHAnsi"/>
          <w:sz w:val="20"/>
          <w:szCs w:val="20"/>
        </w:rPr>
      </w:pPr>
    </w:p>
    <w:p w14:paraId="15846CF9" w14:textId="5739E925" w:rsidR="00CE3871" w:rsidRPr="00A608EE" w:rsidRDefault="00CE387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Making employees aware of the HR policy and helping them understand it</w:t>
      </w:r>
    </w:p>
    <w:p w14:paraId="14553C0A" w14:textId="77777777" w:rsidR="00CE3871" w:rsidRPr="00A608EE" w:rsidRDefault="00CE3871"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HR policy should be part of induction for new employees. All new employees should be aware of the policy and know to whom they can address any questions or concerns. Experience has shown that employees often do not retain much of the HR information shared during induction trainings, because the material is too technical or too overwhelming to be absorbed at one time. It is thus recommended to break down the policy into digestible pieces, use various delivery methods (group discussions and videos, for example), and test employee knowledge at various intervals. Some providers discuss one part of the HR policy (e.g., how to report harassment in the workplace) as part of periodic employee meetings at branches and headquarters.</w:t>
      </w:r>
    </w:p>
    <w:p w14:paraId="6489E349" w14:textId="77777777" w:rsidR="00CE3871" w:rsidRPr="00A608EE" w:rsidRDefault="00CE3871" w:rsidP="00EE208A">
      <w:pPr>
        <w:pStyle w:val="NormalWeb"/>
        <w:spacing w:before="0" w:beforeAutospacing="0" w:after="0" w:afterAutospacing="0"/>
        <w:jc w:val="both"/>
        <w:rPr>
          <w:rFonts w:asciiTheme="majorHAnsi" w:hAnsiTheme="majorHAnsi"/>
          <w:sz w:val="20"/>
          <w:szCs w:val="20"/>
        </w:rPr>
      </w:pPr>
    </w:p>
    <w:p w14:paraId="08A7518D" w14:textId="42522608" w:rsidR="00B23185" w:rsidRPr="00A608EE" w:rsidRDefault="00CE3871"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w:t>
      </w:r>
    </w:p>
    <w:p w14:paraId="10E77CDB" w14:textId="0F8EC8CC" w:rsidR="488500BF" w:rsidRPr="00A608EE" w:rsidRDefault="488500BF" w:rsidP="00A27AAA">
      <w:pPr>
        <w:numPr>
          <w:ilvl w:val="0"/>
          <w:numId w:val="26"/>
        </w:numPr>
        <w:jc w:val="both"/>
        <w:rPr>
          <w:szCs w:val="20"/>
        </w:rPr>
      </w:pPr>
      <w:hyperlink r:id="rId241">
        <w:r w:rsidRPr="00A608EE">
          <w:rPr>
            <w:rStyle w:val="Hyperlink"/>
            <w:rFonts w:ascii="Work Sans" w:eastAsia="Work Sans" w:hAnsi="Work Sans" w:cs="Work Sans"/>
            <w:szCs w:val="20"/>
          </w:rPr>
          <w:t>FINCA Protects Staff with HR Policies</w:t>
        </w:r>
      </w:hyperlink>
    </w:p>
    <w:p w14:paraId="3D5FFE56" w14:textId="77777777" w:rsidR="00B23185" w:rsidRPr="00A608EE" w:rsidRDefault="00B23185" w:rsidP="00EE208A">
      <w:pPr>
        <w:jc w:val="both"/>
        <w:rPr>
          <w:rFonts w:asciiTheme="majorHAnsi" w:hAnsiTheme="majorHAnsi"/>
          <w:szCs w:val="20"/>
        </w:rPr>
      </w:pPr>
    </w:p>
    <w:p w14:paraId="51CBB476" w14:textId="77777777" w:rsidR="00AE4D19" w:rsidRPr="00A608EE" w:rsidRDefault="00AE4D19" w:rsidP="00EE208A">
      <w:pPr>
        <w:jc w:val="both"/>
        <w:rPr>
          <w:rFonts w:asciiTheme="majorHAnsi" w:hAnsiTheme="majorHAnsi"/>
          <w:szCs w:val="20"/>
        </w:rPr>
      </w:pPr>
    </w:p>
    <w:p w14:paraId="5AC12F67" w14:textId="68E8AAFA" w:rsidR="00713B24" w:rsidRPr="00A608EE" w:rsidRDefault="00713B24" w:rsidP="00EE208A">
      <w:pPr>
        <w:pStyle w:val="Heading4"/>
        <w:spacing w:before="0" w:line="240" w:lineRule="auto"/>
        <w:jc w:val="both"/>
      </w:pPr>
      <w:r w:rsidRPr="00A608EE">
        <w:rPr>
          <w:rStyle w:val="text-primary"/>
        </w:rPr>
        <w:t>5.A.1.1</w:t>
      </w:r>
      <w:r w:rsidRPr="00A608EE">
        <w:t xml:space="preserve"> </w:t>
      </w:r>
      <w:r w:rsidR="00CE3871" w:rsidRPr="00A608EE">
        <w:t>The provider’s Human Resource policy explains employees’ rights and responsibilities related to the following</w:t>
      </w:r>
      <w:r w:rsidR="00653D6E" w:rsidRPr="00A608EE">
        <w:t>:</w:t>
      </w:r>
    </w:p>
    <w:p w14:paraId="47A939E9" w14:textId="0BC1A079" w:rsidR="00E91B0C" w:rsidRPr="00A608EE" w:rsidRDefault="00713B24"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rPr>
        <w:t>5.A.1.1.1</w:t>
      </w:r>
      <w:r w:rsidRPr="00A608EE">
        <w:rPr>
          <w:rFonts w:asciiTheme="majorHAnsi" w:hAnsiTheme="majorHAnsi"/>
          <w:i/>
          <w:sz w:val="20"/>
          <w:szCs w:val="20"/>
        </w:rPr>
        <w:t xml:space="preserve"> </w:t>
      </w:r>
      <w:r w:rsidR="00CE3871" w:rsidRPr="00A608EE">
        <w:rPr>
          <w:rFonts w:asciiTheme="majorHAnsi" w:hAnsiTheme="majorHAnsi"/>
          <w:i/>
          <w:sz w:val="20"/>
          <w:szCs w:val="20"/>
        </w:rPr>
        <w:t>Work rules and disciplinary procedures</w:t>
      </w:r>
    </w:p>
    <w:p w14:paraId="4DB57EDB" w14:textId="77777777" w:rsidR="00CE3871" w:rsidRPr="00A608EE" w:rsidRDefault="00713B24"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rPr>
        <w:t>5.A.1.1.2</w:t>
      </w:r>
      <w:r w:rsidRPr="00A608EE">
        <w:rPr>
          <w:rFonts w:asciiTheme="majorHAnsi" w:hAnsiTheme="majorHAnsi"/>
          <w:i/>
          <w:sz w:val="20"/>
          <w:szCs w:val="20"/>
        </w:rPr>
        <w:t xml:space="preserve"> </w:t>
      </w:r>
      <w:r w:rsidR="00CE3871" w:rsidRPr="00A608EE">
        <w:rPr>
          <w:rFonts w:asciiTheme="majorHAnsi" w:hAnsiTheme="majorHAnsi"/>
          <w:i/>
          <w:sz w:val="20"/>
          <w:szCs w:val="20"/>
        </w:rPr>
        <w:t>Grievance resolution</w:t>
      </w:r>
    </w:p>
    <w:p w14:paraId="7437F57B" w14:textId="019842E1" w:rsidR="00713B24" w:rsidRPr="00A608EE" w:rsidRDefault="00713B24"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5.A.1.1.3</w:t>
      </w:r>
      <w:r w:rsidRPr="00A608EE">
        <w:rPr>
          <w:rFonts w:asciiTheme="majorHAnsi" w:hAnsiTheme="majorHAnsi"/>
          <w:i/>
          <w:sz w:val="20"/>
          <w:szCs w:val="20"/>
        </w:rPr>
        <w:t xml:space="preserve"> </w:t>
      </w:r>
      <w:r w:rsidR="00CE3871" w:rsidRPr="00A608EE">
        <w:rPr>
          <w:rFonts w:asciiTheme="majorHAnsi" w:hAnsiTheme="majorHAnsi"/>
          <w:i/>
          <w:sz w:val="20"/>
          <w:szCs w:val="20"/>
        </w:rPr>
        <w:t>Collective bargaining agreements and freedom of association</w:t>
      </w:r>
    </w:p>
    <w:p w14:paraId="21D1603A" w14:textId="5918CD92" w:rsidR="00713B24" w:rsidRPr="00A608EE" w:rsidRDefault="00713B24"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5.A.1.1.4</w:t>
      </w:r>
      <w:r w:rsidRPr="00A608EE">
        <w:rPr>
          <w:rFonts w:asciiTheme="majorHAnsi" w:hAnsiTheme="majorHAnsi"/>
          <w:i/>
          <w:sz w:val="20"/>
          <w:szCs w:val="20"/>
        </w:rPr>
        <w:t xml:space="preserve"> </w:t>
      </w:r>
      <w:r w:rsidR="00CE3871" w:rsidRPr="00A608EE">
        <w:rPr>
          <w:rFonts w:asciiTheme="majorHAnsi" w:hAnsiTheme="majorHAnsi"/>
          <w:i/>
          <w:sz w:val="20"/>
          <w:szCs w:val="20"/>
        </w:rPr>
        <w:t>Whistleblower safeguards</w:t>
      </w:r>
    </w:p>
    <w:p w14:paraId="78656450" w14:textId="2573ADB7" w:rsidR="00713B24" w:rsidRPr="00A608EE" w:rsidRDefault="00713B24"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 xml:space="preserve">5.A.1.1.5 </w:t>
      </w:r>
      <w:r w:rsidR="00CE3871" w:rsidRPr="00A608EE">
        <w:rPr>
          <w:rFonts w:asciiTheme="majorHAnsi" w:hAnsiTheme="majorHAnsi"/>
          <w:i/>
          <w:sz w:val="20"/>
        </w:rPr>
        <w:t>Anti-harassment safeguards</w:t>
      </w:r>
    </w:p>
    <w:p w14:paraId="64C649B2" w14:textId="631208CD" w:rsidR="00713B24" w:rsidRPr="00A608EE" w:rsidRDefault="00713B24"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rPr>
        <w:t>5.A.1.1.6</w:t>
      </w:r>
      <w:r w:rsidRPr="00A608EE">
        <w:rPr>
          <w:rFonts w:asciiTheme="majorHAnsi" w:hAnsiTheme="majorHAnsi"/>
          <w:i/>
          <w:sz w:val="20"/>
          <w:szCs w:val="20"/>
        </w:rPr>
        <w:t xml:space="preserve"> </w:t>
      </w:r>
      <w:r w:rsidR="00CE3871" w:rsidRPr="00A608EE">
        <w:rPr>
          <w:rFonts w:asciiTheme="majorHAnsi" w:hAnsiTheme="majorHAnsi"/>
          <w:i/>
          <w:sz w:val="20"/>
          <w:szCs w:val="20"/>
        </w:rPr>
        <w:t>Conditions for dismissal and exit formalities</w:t>
      </w:r>
    </w:p>
    <w:p w14:paraId="04F5422B" w14:textId="77777777" w:rsidR="00755D19" w:rsidRPr="00A608EE" w:rsidRDefault="00755D19" w:rsidP="00EE208A">
      <w:pPr>
        <w:jc w:val="both"/>
        <w:rPr>
          <w:rFonts w:asciiTheme="majorHAnsi" w:hAnsiTheme="majorHAnsi"/>
          <w:szCs w:val="20"/>
        </w:rPr>
      </w:pPr>
    </w:p>
    <w:p w14:paraId="4C39C3BF" w14:textId="74CDA033" w:rsidR="0044042E" w:rsidRPr="00A608EE" w:rsidRDefault="00E6366C"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AE4D19" w:rsidRPr="00A608EE">
        <w:rPr>
          <w:rFonts w:asciiTheme="majorHAnsi" w:hAnsiTheme="majorHAnsi" w:cstheme="majorHAnsi"/>
          <w:b/>
          <w:bCs/>
          <w:color w:val="2145CC" w:themeColor="accent5" w:themeShade="BF"/>
          <w:sz w:val="20"/>
          <w:szCs w:val="20"/>
        </w:rPr>
        <w:t>ESG Risk</w:t>
      </w:r>
      <w:r w:rsidR="00856562" w:rsidRPr="00A608EE">
        <w:rPr>
          <w:rFonts w:asciiTheme="majorHAnsi" w:hAnsiTheme="majorHAnsi" w:cstheme="majorHAnsi"/>
          <w:b/>
          <w:bCs/>
          <w:color w:val="2145CC" w:themeColor="accent5" w:themeShade="BF"/>
          <w:sz w:val="20"/>
          <w:szCs w:val="20"/>
        </w:rPr>
        <w:t xml:space="preserve"> | </w:t>
      </w:r>
      <w:r w:rsidR="00AE4D19" w:rsidRPr="00A608EE">
        <w:rPr>
          <w:rFonts w:asciiTheme="majorHAnsi" w:hAnsiTheme="majorHAnsi" w:cstheme="majorHAnsi"/>
          <w:b/>
          <w:bCs/>
          <w:color w:val="2145CC" w:themeColor="accent5" w:themeShade="BF"/>
          <w:sz w:val="20"/>
          <w:szCs w:val="20"/>
        </w:rPr>
        <w:t>ALINUS</w:t>
      </w:r>
      <w:r w:rsidR="00856562" w:rsidRPr="00A608EE">
        <w:rPr>
          <w:rFonts w:asciiTheme="majorHAnsi" w:hAnsiTheme="majorHAnsi" w:cstheme="majorHAnsi"/>
          <w:b/>
          <w:bCs/>
          <w:color w:val="2145CC" w:themeColor="accent5" w:themeShade="BF"/>
          <w:sz w:val="20"/>
          <w:szCs w:val="20"/>
        </w:rPr>
        <w:t xml:space="preserve"> | </w:t>
      </w:r>
      <w:r w:rsidR="00AE4D19" w:rsidRPr="00A608EE">
        <w:rPr>
          <w:rFonts w:asciiTheme="majorHAnsi" w:hAnsiTheme="majorHAnsi" w:cstheme="majorHAnsi"/>
          <w:b/>
          <w:bCs/>
          <w:color w:val="2145CC" w:themeColor="accent5" w:themeShade="BF"/>
          <w:sz w:val="20"/>
          <w:szCs w:val="20"/>
        </w:rPr>
        <w:t>SPI5 Entry</w:t>
      </w:r>
      <w:r w:rsidR="00856562" w:rsidRPr="00A608EE">
        <w:rPr>
          <w:rFonts w:asciiTheme="majorHAnsi" w:hAnsiTheme="majorHAnsi" w:cstheme="majorHAnsi"/>
          <w:b/>
          <w:bCs/>
          <w:color w:val="2145CC" w:themeColor="accent5" w:themeShade="BF"/>
          <w:sz w:val="20"/>
          <w:szCs w:val="20"/>
        </w:rPr>
        <w:t xml:space="preserve"> | </w:t>
      </w:r>
      <w:r w:rsidR="00AE4D19"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5F72E532" w14:textId="2A71EAED" w:rsidR="0044042E" w:rsidRPr="00A608EE" w:rsidRDefault="0044042E" w:rsidP="003A06B6">
      <w:pPr>
        <w:pStyle w:val="paragraph"/>
        <w:spacing w:before="120" w:beforeAutospacing="0" w:after="120" w:afterAutospacing="0"/>
        <w:jc w:val="both"/>
        <w:textAlignment w:val="baseline"/>
        <w:rPr>
          <w:rFonts w:asciiTheme="majorHAnsi" w:hAnsiTheme="majorHAnsi"/>
          <w:sz w:val="20"/>
          <w:szCs w:val="20"/>
        </w:rPr>
      </w:pPr>
    </w:p>
    <w:p w14:paraId="1EC0F52B" w14:textId="1F7FACAD" w:rsidR="002C183A" w:rsidRPr="00A608EE" w:rsidRDefault="00CE3871" w:rsidP="00EE208A">
      <w:pPr>
        <w:jc w:val="both"/>
        <w:rPr>
          <w:rFonts w:asciiTheme="majorHAnsi" w:hAnsiTheme="majorHAnsi"/>
          <w:sz w:val="20"/>
          <w:szCs w:val="20"/>
          <w:lang w:eastAsia="fr-FR"/>
        </w:rPr>
      </w:pPr>
      <w:r w:rsidRPr="00A608EE">
        <w:rPr>
          <w:rFonts w:asciiTheme="majorHAnsi" w:hAnsiTheme="majorHAnsi"/>
          <w:sz w:val="20"/>
          <w:szCs w:val="20"/>
          <w:lang w:eastAsia="fr-FR"/>
        </w:rPr>
        <w:t>Providers should formalize working conditions and communicate on them transparently to employees. A written HR policy - compliant with national labor law - must include key elements related to working rules, conditions, and staff protection. It must be easily accessible to all employees: each employee should know that the policy exists, what its covers, and where to find the entire policy. Its effective dissemination to each employee is a basic indicator of operational management in human resources.</w:t>
      </w:r>
    </w:p>
    <w:p w14:paraId="18DD5607" w14:textId="77777777" w:rsidR="00672763" w:rsidRPr="00A608EE" w:rsidRDefault="00672763" w:rsidP="00EE208A">
      <w:pPr>
        <w:jc w:val="both"/>
        <w:rPr>
          <w:rFonts w:asciiTheme="majorHAnsi" w:hAnsiTheme="majorHAnsi"/>
          <w:sz w:val="20"/>
          <w:szCs w:val="20"/>
          <w:lang w:eastAsia="fr-FR"/>
        </w:rPr>
      </w:pPr>
    </w:p>
    <w:p w14:paraId="2AF8791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83520" behindDoc="1" locked="0" layoutInCell="1" allowOverlap="1" wp14:anchorId="194B5EE6" wp14:editId="454E2615">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02250201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4C6D57A" w14:textId="77777777" w:rsidR="00672763" w:rsidRPr="00A608EE" w:rsidRDefault="00672763" w:rsidP="00EE208A">
      <w:pPr>
        <w:jc w:val="both"/>
        <w:rPr>
          <w:rFonts w:asciiTheme="majorHAnsi" w:hAnsiTheme="majorHAnsi"/>
          <w:sz w:val="20"/>
          <w:szCs w:val="20"/>
          <w:lang w:eastAsia="fr-FR"/>
        </w:rPr>
      </w:pPr>
    </w:p>
    <w:p w14:paraId="7F391202" w14:textId="2AF408BB" w:rsidR="002C183A" w:rsidRPr="00A608EE" w:rsidRDefault="00FC6779" w:rsidP="002C183A">
      <w:pPr>
        <w:pStyle w:val="Heading4"/>
        <w:spacing w:before="0" w:line="240" w:lineRule="auto"/>
        <w:jc w:val="both"/>
        <w:rPr>
          <w:rFonts w:eastAsia="Times New Roman" w:cs="Times New Roman"/>
          <w:i w:val="0"/>
          <w:iCs w:val="0"/>
          <w:sz w:val="20"/>
          <w:szCs w:val="20"/>
          <w:lang w:eastAsia="fr-FR"/>
        </w:rPr>
      </w:pPr>
      <w:r w:rsidRPr="00A608EE">
        <w:rPr>
          <w:rFonts w:ascii="Work Sans" w:hAnsi="Work Sans"/>
          <w:b/>
          <w:bCs/>
          <w:i w:val="0"/>
          <w:iCs w:val="0"/>
          <w:sz w:val="20"/>
          <w:szCs w:val="20"/>
          <w:lang w:eastAsia="fr-FR"/>
        </w:rPr>
        <w:t>DI Indicator:</w:t>
      </w:r>
      <w:r w:rsidRPr="00A608EE">
        <w:rPr>
          <w:rFonts w:ascii="Work Sans" w:hAnsi="Work Sans"/>
          <w:sz w:val="20"/>
          <w:szCs w:val="20"/>
          <w:lang w:eastAsia="fr-FR"/>
        </w:rPr>
        <w:t xml:space="preserve"> </w:t>
      </w:r>
      <w:r w:rsidR="002C183A" w:rsidRPr="00A608EE">
        <w:rPr>
          <w:rFonts w:eastAsia="Times New Roman" w:cs="Times New Roman"/>
          <w:i w:val="0"/>
          <w:iCs w:val="0"/>
          <w:sz w:val="20"/>
          <w:szCs w:val="20"/>
          <w:lang w:eastAsia="fr-FR"/>
        </w:rPr>
        <w:t>The provider’s Human Resource policy explains employees’ rights and responsibilities related to the following:</w:t>
      </w:r>
    </w:p>
    <w:p w14:paraId="350A67FC" w14:textId="3FD0DC0E" w:rsidR="002C183A" w:rsidRPr="00A608EE" w:rsidRDefault="002C183A" w:rsidP="00A27AAA">
      <w:pPr>
        <w:pStyle w:val="NormalWeb"/>
        <w:numPr>
          <w:ilvl w:val="0"/>
          <w:numId w:val="39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Workplace accessibility and the provision of reasonable accommodations in the workplace, to enable persons with disabilities to participate in the workforce on an equal basis with others.</w:t>
      </w:r>
    </w:p>
    <w:p w14:paraId="55D04078" w14:textId="4A96DF99" w:rsidR="002C183A" w:rsidRPr="00A608EE" w:rsidRDefault="002C183A" w:rsidP="00A27AAA">
      <w:pPr>
        <w:pStyle w:val="NormalWeb"/>
        <w:numPr>
          <w:ilvl w:val="0"/>
          <w:numId w:val="39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zero-tolerance policy toward discrimination based on all Protected Categories including sex, disability, race, or religion.</w:t>
      </w:r>
    </w:p>
    <w:p w14:paraId="689A36E6" w14:textId="77777777" w:rsidR="002C183A" w:rsidRPr="00A608EE" w:rsidRDefault="002C183A" w:rsidP="00224A9B">
      <w:pPr>
        <w:pStyle w:val="paragraph"/>
        <w:spacing w:before="0" w:beforeAutospacing="0" w:after="0" w:afterAutospacing="0"/>
        <w:jc w:val="both"/>
        <w:textAlignment w:val="baseline"/>
        <w:rPr>
          <w:rStyle w:val="normaltextrun"/>
          <w:rFonts w:asciiTheme="majorHAnsi" w:hAnsiTheme="majorHAnsi"/>
          <w:sz w:val="20"/>
          <w:szCs w:val="20"/>
        </w:rPr>
      </w:pPr>
    </w:p>
    <w:p w14:paraId="08EB1123" w14:textId="77777777" w:rsidR="00224A9B" w:rsidRPr="00A608EE" w:rsidRDefault="00224A9B" w:rsidP="00EE208A">
      <w:pPr>
        <w:jc w:val="both"/>
        <w:rPr>
          <w:rFonts w:asciiTheme="majorHAnsi" w:hAnsiTheme="majorHAnsi"/>
          <w:b/>
          <w:bCs/>
          <w:sz w:val="20"/>
          <w:szCs w:val="20"/>
          <w:lang w:eastAsia="fr-FR"/>
        </w:rPr>
      </w:pPr>
      <w:r w:rsidRPr="00A608EE">
        <w:rPr>
          <w:noProof/>
        </w:rPr>
        <w:lastRenderedPageBreak/>
        <mc:AlternateContent>
          <mc:Choice Requires="wps">
            <w:drawing>
              <wp:anchor distT="0" distB="0" distL="114300" distR="114300" simplePos="0" relativeHeight="251726848" behindDoc="0" locked="0" layoutInCell="1" allowOverlap="1" wp14:anchorId="6CB8958E" wp14:editId="004E61F9">
                <wp:simplePos x="0" y="0"/>
                <wp:positionH relativeFrom="column">
                  <wp:posOffset>0</wp:posOffset>
                </wp:positionH>
                <wp:positionV relativeFrom="paragraph">
                  <wp:posOffset>0</wp:posOffset>
                </wp:positionV>
                <wp:extent cx="1828800" cy="1828800"/>
                <wp:effectExtent l="0" t="0" r="0" b="0"/>
                <wp:wrapSquare wrapText="bothSides"/>
                <wp:docPr id="1669566751"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43F0A37B" w14:textId="0258BC4E" w:rsidR="00224A9B" w:rsidRPr="00820B09" w:rsidRDefault="00EB123D" w:rsidP="00224A9B">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224A9B" w:rsidRPr="00820B09">
                              <w:rPr>
                                <w:rFonts w:asciiTheme="majorHAnsi" w:hAnsiTheme="majorHAnsi"/>
                                <w:b/>
                                <w:bCs/>
                                <w:sz w:val="20"/>
                                <w:szCs w:val="20"/>
                                <w:lang w:eastAsia="fr-FR"/>
                              </w:rPr>
                              <w:t>5.A.1.1</w:t>
                            </w:r>
                          </w:p>
                          <w:p w14:paraId="36A8F289" w14:textId="77777777" w:rsidR="00224A9B" w:rsidRPr="00820B09" w:rsidRDefault="00224A9B" w:rsidP="00224A9B">
                            <w:pPr>
                              <w:jc w:val="both"/>
                              <w:rPr>
                                <w:rFonts w:asciiTheme="majorHAnsi" w:hAnsiTheme="majorHAnsi"/>
                                <w:sz w:val="20"/>
                                <w:szCs w:val="20"/>
                                <w:lang w:eastAsia="fr-FR"/>
                              </w:rPr>
                            </w:pPr>
                          </w:p>
                          <w:p w14:paraId="276D8BD7" w14:textId="7A3208C7" w:rsidR="009E3256" w:rsidRPr="00820B09" w:rsidRDefault="009E3256" w:rsidP="009E3256">
                            <w:pPr>
                              <w:jc w:val="both"/>
                              <w:rPr>
                                <w:rFonts w:asciiTheme="majorHAnsi" w:hAnsiTheme="majorHAnsi"/>
                                <w:sz w:val="20"/>
                                <w:szCs w:val="20"/>
                                <w:lang w:eastAsia="fr-FR"/>
                              </w:rPr>
                            </w:pPr>
                            <w:r w:rsidRPr="00820B09">
                              <w:rPr>
                                <w:rFonts w:asciiTheme="majorHAnsi" w:hAnsiTheme="majorHAnsi"/>
                                <w:sz w:val="20"/>
                                <w:szCs w:val="20"/>
                                <w:lang w:eastAsia="fr-FR"/>
                              </w:rPr>
                              <w:t>The provider’s HR policy should include measures to ensure all employees, including those with disabilities, are treated fairly, respectfully and without discrimination, have decent work conditions, and enjoy equal opportunities, in all aspects of their employment. These rights are articulated in the UN Convention of the Rights of Persons with Disabilities (UNCRPD), and are legal requirements in many countries.</w:t>
                            </w:r>
                          </w:p>
                          <w:p w14:paraId="149A94EA" w14:textId="77777777" w:rsidR="009E3256" w:rsidRPr="00820B09" w:rsidRDefault="009E3256" w:rsidP="009E3256">
                            <w:pPr>
                              <w:jc w:val="both"/>
                              <w:rPr>
                                <w:rFonts w:asciiTheme="majorHAnsi" w:hAnsiTheme="majorHAnsi"/>
                                <w:sz w:val="20"/>
                                <w:szCs w:val="20"/>
                                <w:lang w:eastAsia="fr-FR"/>
                              </w:rPr>
                            </w:pPr>
                          </w:p>
                          <w:p w14:paraId="7C177290" w14:textId="1297C442" w:rsidR="009E3256" w:rsidRPr="00820B09" w:rsidRDefault="009E3256" w:rsidP="009E3256">
                            <w:pPr>
                              <w:jc w:val="both"/>
                              <w:rPr>
                                <w:rFonts w:asciiTheme="majorHAnsi" w:hAnsiTheme="majorHAnsi"/>
                                <w:sz w:val="20"/>
                                <w:szCs w:val="20"/>
                                <w:lang w:eastAsia="fr-FR"/>
                              </w:rPr>
                            </w:pPr>
                            <w:r w:rsidRPr="00820B09">
                              <w:rPr>
                                <w:rFonts w:asciiTheme="majorHAnsi" w:hAnsiTheme="majorHAnsi"/>
                                <w:sz w:val="20"/>
                                <w:szCs w:val="20"/>
                                <w:lang w:eastAsia="fr-FR"/>
                              </w:rPr>
                              <w:t xml:space="preserve">Policies should prohibit discrimination on the basis of protected characteristics, including disability, including discrimination by denial of reasonable accommodation. </w:t>
                            </w:r>
                            <w:r w:rsidR="000F103B" w:rsidRPr="00820B09">
                              <w:rPr>
                                <w:rFonts w:asciiTheme="majorHAnsi" w:hAnsiTheme="majorHAnsi"/>
                                <w:sz w:val="20"/>
                                <w:szCs w:val="20"/>
                                <w:lang w:eastAsia="fr-FR"/>
                              </w:rPr>
                              <w:t xml:space="preserve">Reasonable accommodation differs from general accessibility measures in that it responds to individual circumstances, rather than applying to all users. While accessibility aims to remove barriers at a systemic level, reasonable accommodation enables equitable access in specific situations where existing systems do not fully meet an individual’s needs. It </w:t>
                            </w:r>
                            <w:r w:rsidRPr="00820B09">
                              <w:rPr>
                                <w:rFonts w:asciiTheme="majorHAnsi" w:hAnsiTheme="majorHAnsi"/>
                                <w:sz w:val="20"/>
                                <w:szCs w:val="20"/>
                                <w:lang w:eastAsia="fr-FR"/>
                              </w:rPr>
                              <w:t>is defined in the UNCRPD as:</w:t>
                            </w:r>
                          </w:p>
                          <w:p w14:paraId="3857FFBB" w14:textId="6B38C4C1" w:rsidR="009E3256" w:rsidRPr="00820B09" w:rsidRDefault="009E3256" w:rsidP="009E3256">
                            <w:pPr>
                              <w:ind w:left="708"/>
                              <w:jc w:val="both"/>
                              <w:rPr>
                                <w:rFonts w:asciiTheme="majorHAnsi" w:hAnsiTheme="majorHAnsi"/>
                                <w:sz w:val="20"/>
                                <w:szCs w:val="20"/>
                                <w:lang w:eastAsia="fr-FR"/>
                              </w:rPr>
                            </w:pPr>
                            <w:r w:rsidRPr="00820B09">
                              <w:rPr>
                                <w:rFonts w:asciiTheme="majorHAnsi" w:hAnsiTheme="majorHAnsi"/>
                                <w:sz w:val="20"/>
                                <w:szCs w:val="20"/>
                                <w:lang w:eastAsia="fr-FR"/>
                              </w:rPr>
                              <w:t>“</w:t>
                            </w:r>
                            <w:r w:rsidR="00571480" w:rsidRPr="00820B09">
                              <w:rPr>
                                <w:rFonts w:asciiTheme="majorHAnsi" w:hAnsiTheme="majorHAnsi"/>
                                <w:sz w:val="20"/>
                                <w:szCs w:val="20"/>
                                <w:lang w:eastAsia="fr-FR"/>
                              </w:rPr>
                              <w:t>Necessary</w:t>
                            </w:r>
                            <w:r w:rsidRPr="00820B09">
                              <w:rPr>
                                <w:rFonts w:asciiTheme="majorHAnsi" w:hAnsiTheme="majorHAnsi"/>
                                <w:sz w:val="20"/>
                                <w:szCs w:val="20"/>
                                <w:lang w:eastAsia="fr-FR"/>
                              </w:rPr>
                              <w:t xml:space="preserve"> and appropriate modification and adjustments not imposing a disproportionate or undue burden, where needed in a particular case, to ensure to persons with disabilities the enjoyment or exercise on an equal basis with others of all human rights and fundamental freedoms”.</w:t>
                            </w:r>
                          </w:p>
                          <w:p w14:paraId="317B06A5" w14:textId="77777777" w:rsidR="009E3256" w:rsidRPr="00820B09" w:rsidRDefault="009E3256" w:rsidP="009E3256">
                            <w:pPr>
                              <w:jc w:val="both"/>
                              <w:rPr>
                                <w:rFonts w:asciiTheme="majorHAnsi" w:hAnsiTheme="majorHAnsi"/>
                                <w:sz w:val="20"/>
                                <w:szCs w:val="20"/>
                                <w:lang w:eastAsia="fr-FR"/>
                              </w:rPr>
                            </w:pPr>
                          </w:p>
                          <w:p w14:paraId="550DA616" w14:textId="35EEC6B2" w:rsidR="009E3256" w:rsidRPr="00820B09" w:rsidRDefault="009E3256" w:rsidP="009E3256">
                            <w:pPr>
                              <w:jc w:val="both"/>
                              <w:rPr>
                                <w:rFonts w:asciiTheme="majorHAnsi" w:hAnsiTheme="majorHAnsi"/>
                                <w:sz w:val="20"/>
                                <w:szCs w:val="20"/>
                                <w:lang w:eastAsia="fr-FR"/>
                              </w:rPr>
                            </w:pPr>
                            <w:r w:rsidRPr="00820B09">
                              <w:rPr>
                                <w:rFonts w:asciiTheme="majorHAnsi" w:hAnsiTheme="majorHAnsi"/>
                                <w:sz w:val="20"/>
                                <w:szCs w:val="20"/>
                                <w:lang w:eastAsia="fr-FR"/>
                              </w:rPr>
                              <w:t>Inclusive employment in underpinned by an accessible workplace. Providers should take steps to make their workplace premises and IT systems accessible to persons with disabilities</w:t>
                            </w:r>
                            <w:r w:rsidR="000C48E0" w:rsidRPr="00820B09">
                              <w:rPr>
                                <w:rFonts w:asciiTheme="majorHAnsi" w:hAnsiTheme="majorHAnsi"/>
                                <w:sz w:val="20"/>
                                <w:szCs w:val="20"/>
                                <w:lang w:eastAsia="fr-FR"/>
                              </w:rPr>
                              <w:t xml:space="preserve"> (see indicator 3.B.2.2 for information about physical and digital accessibility). They should </w:t>
                            </w:r>
                            <w:r w:rsidRPr="00820B09">
                              <w:rPr>
                                <w:rFonts w:asciiTheme="majorHAnsi" w:hAnsiTheme="majorHAnsi"/>
                                <w:sz w:val="20"/>
                                <w:szCs w:val="20"/>
                                <w:lang w:eastAsia="fr-FR"/>
                              </w:rPr>
                              <w:t xml:space="preserve">also implement procedures to provide reasonable accommodation to individual employees to enable them to perform their job to their full potential and participate in work activities on an equal basis with others. </w:t>
                            </w:r>
                            <w:r w:rsidR="003775F2" w:rsidRPr="00820B09">
                              <w:rPr>
                                <w:rFonts w:asciiTheme="majorHAnsi" w:hAnsiTheme="majorHAnsi"/>
                                <w:sz w:val="20"/>
                                <w:szCs w:val="20"/>
                                <w:lang w:eastAsia="fr-FR"/>
                              </w:rPr>
                              <w:t>These procedures and process should enable all employees to request accommodations during onboarding and orientation, as part of return-to-work procedures after illness or accidents, and any time during their employment.</w:t>
                            </w:r>
                          </w:p>
                          <w:p w14:paraId="5A70E481" w14:textId="77777777" w:rsidR="003768B4" w:rsidRPr="00820B09" w:rsidRDefault="003768B4" w:rsidP="009E3256">
                            <w:pPr>
                              <w:jc w:val="both"/>
                              <w:rPr>
                                <w:rFonts w:asciiTheme="majorHAnsi" w:hAnsiTheme="majorHAnsi"/>
                                <w:sz w:val="20"/>
                                <w:szCs w:val="20"/>
                                <w:lang w:eastAsia="fr-FR"/>
                              </w:rPr>
                            </w:pPr>
                          </w:p>
                          <w:p w14:paraId="068756A1" w14:textId="77777777" w:rsidR="003775F2" w:rsidRPr="00820B09" w:rsidRDefault="003775F2" w:rsidP="003775F2">
                            <w:pPr>
                              <w:jc w:val="both"/>
                              <w:rPr>
                                <w:rFonts w:asciiTheme="majorHAnsi" w:hAnsiTheme="majorHAnsi"/>
                                <w:sz w:val="20"/>
                                <w:szCs w:val="20"/>
                                <w:lang w:eastAsia="fr-FR"/>
                              </w:rPr>
                            </w:pPr>
                            <w:r w:rsidRPr="00820B09">
                              <w:rPr>
                                <w:rFonts w:asciiTheme="majorHAnsi" w:hAnsiTheme="majorHAnsi"/>
                                <w:sz w:val="20"/>
                                <w:szCs w:val="20"/>
                                <w:lang w:eastAsia="fr-FR"/>
                              </w:rPr>
                              <w:t>Workplace accommodations may include a wide range of measures, many of them simple and inexpensive, including (but not limited to):</w:t>
                            </w:r>
                          </w:p>
                          <w:p w14:paraId="111300E2" w14:textId="72DB3B8D"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Adjusting workplace layouts to assist navigation.</w:t>
                            </w:r>
                          </w:p>
                          <w:p w14:paraId="21159FE4" w14:textId="2A0784CA"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Workstation adjustments.</w:t>
                            </w:r>
                          </w:p>
                          <w:p w14:paraId="55A3B3BC" w14:textId="4746F992"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Providing information in accessible formats.</w:t>
                            </w:r>
                          </w:p>
                          <w:p w14:paraId="04331F33" w14:textId="3DCEF5F9"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Providing assistive technologies.</w:t>
                            </w:r>
                          </w:p>
                          <w:p w14:paraId="38408A38" w14:textId="4D9663D1"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Flexible working arrangements, such as remote working or adjusted working hours.</w:t>
                            </w:r>
                          </w:p>
                          <w:p w14:paraId="32B7CFAB" w14:textId="4A688526" w:rsidR="003768B4"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Implementing protocols for inclusive in-person and online meetings.</w:t>
                            </w:r>
                          </w:p>
                          <w:p w14:paraId="241B387E" w14:textId="063106C2" w:rsidR="003768B4" w:rsidRPr="00820B09" w:rsidRDefault="003775F2" w:rsidP="009E3256">
                            <w:pPr>
                              <w:jc w:val="both"/>
                              <w:rPr>
                                <w:rFonts w:asciiTheme="majorHAnsi" w:hAnsiTheme="majorHAnsi"/>
                                <w:sz w:val="20"/>
                                <w:szCs w:val="20"/>
                                <w:lang w:eastAsia="fr-FR"/>
                              </w:rPr>
                            </w:pPr>
                            <w:r w:rsidRPr="00820B09">
                              <w:rPr>
                                <w:rFonts w:asciiTheme="majorHAnsi" w:hAnsiTheme="majorHAnsi"/>
                                <w:sz w:val="20"/>
                                <w:szCs w:val="20"/>
                                <w:lang w:eastAsia="fr-FR"/>
                              </w:rPr>
                              <w:t>As the initial stage of the employment lifecycle, inclusive recruitment practices are an essential foundation for equal participation of persons with disabilities in the workforce. Recruitment processes should provide all candidates an equal opportunity to apply and succeed based on their merits. This involves proactive measures to ensure non-discrimination, minimize bias, and enable accessibility at every stage, including job advertisements, candidate sourcing, screening, shortlisting, selection, and onboarding. All candidates should be given the opportunity to request reasonable accommodation at all stages.</w:t>
                            </w:r>
                          </w:p>
                          <w:p w14:paraId="5AB2A0DA" w14:textId="77777777" w:rsidR="00FD4831" w:rsidRPr="00820B09" w:rsidRDefault="00FD4831" w:rsidP="009E3256">
                            <w:pPr>
                              <w:jc w:val="both"/>
                              <w:rPr>
                                <w:rFonts w:asciiTheme="majorHAnsi" w:hAnsiTheme="majorHAnsi"/>
                                <w:sz w:val="20"/>
                                <w:szCs w:val="20"/>
                                <w:lang w:eastAsia="fr-FR"/>
                              </w:rPr>
                            </w:pPr>
                          </w:p>
                          <w:p w14:paraId="5A96EB01" w14:textId="028592E5" w:rsidR="00FD4831" w:rsidRPr="00820B09" w:rsidRDefault="00FD4831" w:rsidP="009E3256">
                            <w:pPr>
                              <w:jc w:val="both"/>
                              <w:rPr>
                                <w:rFonts w:asciiTheme="majorHAnsi" w:hAnsiTheme="majorHAnsi"/>
                                <w:sz w:val="20"/>
                                <w:szCs w:val="20"/>
                                <w:lang w:eastAsia="fr-FR"/>
                              </w:rPr>
                            </w:pPr>
                            <w:r w:rsidRPr="00820B09">
                              <w:rPr>
                                <w:rFonts w:asciiTheme="majorHAnsi" w:hAnsiTheme="majorHAnsi"/>
                                <w:sz w:val="20"/>
                                <w:szCs w:val="20"/>
                                <w:lang w:eastAsia="fr-FR"/>
                              </w:rPr>
                              <w:t xml:space="preserve">Both HR staff and line managers should receive training on </w:t>
                            </w:r>
                            <w:r w:rsidR="00C23D0C" w:rsidRPr="00820B09">
                              <w:rPr>
                                <w:rFonts w:asciiTheme="majorHAnsi" w:hAnsiTheme="majorHAnsi"/>
                                <w:sz w:val="20"/>
                                <w:szCs w:val="20"/>
                                <w:lang w:eastAsia="fr-FR"/>
                              </w:rPr>
                              <w:t xml:space="preserve">providing reasonable accommodation, addressing </w:t>
                            </w:r>
                            <w:r w:rsidRPr="00820B09">
                              <w:rPr>
                                <w:rFonts w:asciiTheme="majorHAnsi" w:hAnsiTheme="majorHAnsi"/>
                                <w:sz w:val="20"/>
                                <w:szCs w:val="20"/>
                                <w:lang w:eastAsia="fr-FR"/>
                              </w:rPr>
                              <w:t>unconscious bias, inclusive recruitment and performance management, and prevention of exploitation, abuse and harassment in the workplace.</w:t>
                            </w:r>
                            <w:r w:rsidR="00C23D0C" w:rsidRPr="00820B09">
                              <w:rPr>
                                <w:rFonts w:asciiTheme="majorHAnsi" w:hAnsiTheme="majorHAnsi"/>
                                <w:sz w:val="20"/>
                                <w:szCs w:val="20"/>
                                <w:lang w:eastAsia="fr-FR"/>
                              </w:rPr>
                              <w:t xml:space="preserve"> HR staff should be trained on role-specific topics including job adaptation, return-to-work processes (including for persons who have acquired disabilities during their employment), and workplace health and safety considerations for employees with </w:t>
                            </w:r>
                            <w:r w:rsidR="00571480" w:rsidRPr="00820B09">
                              <w:rPr>
                                <w:rFonts w:asciiTheme="majorHAnsi" w:hAnsiTheme="majorHAnsi"/>
                                <w:sz w:val="20"/>
                                <w:szCs w:val="20"/>
                                <w:lang w:eastAsia="fr-FR"/>
                              </w:rPr>
                              <w:t>disabilities.</w:t>
                            </w:r>
                          </w:p>
                          <w:p w14:paraId="41D5F101" w14:textId="77777777" w:rsidR="00FD4831" w:rsidRPr="00820B09" w:rsidRDefault="00FD4831" w:rsidP="009E3256">
                            <w:pPr>
                              <w:jc w:val="both"/>
                              <w:rPr>
                                <w:rFonts w:asciiTheme="majorHAnsi" w:hAnsiTheme="majorHAnsi"/>
                                <w:sz w:val="20"/>
                                <w:szCs w:val="20"/>
                                <w:lang w:eastAsia="fr-FR"/>
                              </w:rPr>
                            </w:pPr>
                          </w:p>
                          <w:p w14:paraId="6BCC7B61" w14:textId="3ADB1EBC" w:rsidR="009A58DF" w:rsidRPr="00820B09" w:rsidRDefault="009A58DF" w:rsidP="009E3256">
                            <w:pPr>
                              <w:jc w:val="both"/>
                              <w:rPr>
                                <w:rFonts w:asciiTheme="majorHAnsi" w:hAnsiTheme="majorHAnsi"/>
                                <w:sz w:val="20"/>
                                <w:szCs w:val="20"/>
                                <w:lang w:eastAsia="fr-FR"/>
                              </w:rPr>
                            </w:pPr>
                            <w:r w:rsidRPr="00820B09">
                              <w:rPr>
                                <w:rFonts w:asciiTheme="majorHAnsi" w:hAnsiTheme="majorHAnsi"/>
                                <w:sz w:val="20"/>
                                <w:szCs w:val="20"/>
                                <w:lang w:eastAsia="fr-FR"/>
                              </w:rPr>
                              <w:t>The BFFI Disability Inclusion Guide for FSPs providers further information and resources on inclusive recruitment and employment</w:t>
                            </w:r>
                            <w:r w:rsidR="00C23D0C" w:rsidRPr="00820B09">
                              <w:rPr>
                                <w:rFonts w:asciiTheme="majorHAnsi" w:hAnsiTheme="majorHAnsi"/>
                                <w:sz w:val="20"/>
                                <w:szCs w:val="20"/>
                                <w:lang w:eastAsia="fr-FR"/>
                              </w:rPr>
                              <w:t>, and staff training</w:t>
                            </w:r>
                            <w:r w:rsidRPr="00820B09">
                              <w:rPr>
                                <w:rFonts w:asciiTheme="majorHAnsi" w:hAnsiTheme="majorHAnsi"/>
                                <w:sz w:val="20"/>
                                <w:szCs w:val="20"/>
                                <w:lang w:eastAsia="fr-FR"/>
                              </w:rPr>
                              <w:t>.</w:t>
                            </w:r>
                            <w:r w:rsidR="00AF3865" w:rsidRPr="00820B09">
                              <w:rPr>
                                <w:rFonts w:asciiTheme="majorHAnsi" w:hAnsiTheme="majorHAnsi"/>
                                <w:sz w:val="20"/>
                                <w:szCs w:val="20"/>
                                <w:lang w:eastAsia="fr-FR"/>
                              </w:rPr>
                              <w:t xml:space="preserve"> See also resources for this indicator.</w:t>
                            </w:r>
                          </w:p>
                          <w:p w14:paraId="58E612F9" w14:textId="639878C8" w:rsidR="00224A9B" w:rsidRPr="00820B09" w:rsidRDefault="00224A9B" w:rsidP="009B0184">
                            <w:pPr>
                              <w:jc w:val="both"/>
                              <w:rPr>
                                <w:rFonts w:asciiTheme="majorHAnsi" w:hAnsiTheme="majorHAnsi"/>
                                <w:sz w:val="20"/>
                                <w:szCs w:val="20"/>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CB8958E" id="_x0000_s1061" type="#_x0000_t202" style="position:absolute;left:0;text-align:left;margin-left:0;margin-top:0;width:2in;height:2in;z-index:2517268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" filled="f" strokeweight=".5pt">
                <v:textbox style="mso-fit-shape-to-text:t">
                  <w:txbxContent>
                    <w:p w14:paraId="43F0A37B" w14:textId="0258BC4E" w:rsidR="00224A9B" w:rsidRPr="00820B09" w:rsidRDefault="00EB123D" w:rsidP="00224A9B">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224A9B" w:rsidRPr="00820B09">
                        <w:rPr>
                          <w:rFonts w:asciiTheme="majorHAnsi" w:hAnsiTheme="majorHAnsi"/>
                          <w:b/>
                          <w:bCs/>
                          <w:sz w:val="20"/>
                          <w:szCs w:val="20"/>
                          <w:lang w:eastAsia="fr-FR"/>
                        </w:rPr>
                        <w:t>5.A.1.1</w:t>
                      </w:r>
                    </w:p>
                    <w:p w14:paraId="36A8F289" w14:textId="77777777" w:rsidR="00224A9B" w:rsidRPr="00820B09" w:rsidRDefault="00224A9B" w:rsidP="00224A9B">
                      <w:pPr>
                        <w:jc w:val="both"/>
                        <w:rPr>
                          <w:rFonts w:asciiTheme="majorHAnsi" w:hAnsiTheme="majorHAnsi"/>
                          <w:sz w:val="20"/>
                          <w:szCs w:val="20"/>
                          <w:lang w:eastAsia="fr-FR"/>
                        </w:rPr>
                      </w:pPr>
                    </w:p>
                    <w:p w14:paraId="276D8BD7" w14:textId="7A3208C7" w:rsidR="009E3256" w:rsidRPr="00820B09" w:rsidRDefault="009E3256" w:rsidP="009E3256">
                      <w:pPr>
                        <w:jc w:val="both"/>
                        <w:rPr>
                          <w:rFonts w:asciiTheme="majorHAnsi" w:hAnsiTheme="majorHAnsi"/>
                          <w:sz w:val="20"/>
                          <w:szCs w:val="20"/>
                          <w:lang w:eastAsia="fr-FR"/>
                        </w:rPr>
                      </w:pPr>
                      <w:r w:rsidRPr="00820B09">
                        <w:rPr>
                          <w:rFonts w:asciiTheme="majorHAnsi" w:hAnsiTheme="majorHAnsi"/>
                          <w:sz w:val="20"/>
                          <w:szCs w:val="20"/>
                          <w:lang w:eastAsia="fr-FR"/>
                        </w:rPr>
                        <w:t>The provider’s HR policy should include measures to ensure all employees, including those with disabilities, are treated fairly, respectfully and without discrimination, have decent work conditions, and enjoy equal opportunities, in all aspects of their employment. These rights are articulated in the UN Convention of the Rights of Persons with Disabilities (UNCRPD), and are legal requirements in many countries.</w:t>
                      </w:r>
                    </w:p>
                    <w:p w14:paraId="149A94EA" w14:textId="77777777" w:rsidR="009E3256" w:rsidRPr="00820B09" w:rsidRDefault="009E3256" w:rsidP="009E3256">
                      <w:pPr>
                        <w:jc w:val="both"/>
                        <w:rPr>
                          <w:rFonts w:asciiTheme="majorHAnsi" w:hAnsiTheme="majorHAnsi"/>
                          <w:sz w:val="20"/>
                          <w:szCs w:val="20"/>
                          <w:lang w:eastAsia="fr-FR"/>
                        </w:rPr>
                      </w:pPr>
                    </w:p>
                    <w:p w14:paraId="7C177290" w14:textId="1297C442" w:rsidR="009E3256" w:rsidRPr="00820B09" w:rsidRDefault="009E3256" w:rsidP="009E3256">
                      <w:pPr>
                        <w:jc w:val="both"/>
                        <w:rPr>
                          <w:rFonts w:asciiTheme="majorHAnsi" w:hAnsiTheme="majorHAnsi"/>
                          <w:sz w:val="20"/>
                          <w:szCs w:val="20"/>
                          <w:lang w:eastAsia="fr-FR"/>
                        </w:rPr>
                      </w:pPr>
                      <w:r w:rsidRPr="00820B09">
                        <w:rPr>
                          <w:rFonts w:asciiTheme="majorHAnsi" w:hAnsiTheme="majorHAnsi"/>
                          <w:sz w:val="20"/>
                          <w:szCs w:val="20"/>
                          <w:lang w:eastAsia="fr-FR"/>
                        </w:rPr>
                        <w:t xml:space="preserve">Policies should prohibit discrimination on the basis of protected characteristics, including disability, including discrimination by denial of reasonable accommodation. </w:t>
                      </w:r>
                      <w:r w:rsidR="000F103B" w:rsidRPr="00820B09">
                        <w:rPr>
                          <w:rFonts w:asciiTheme="majorHAnsi" w:hAnsiTheme="majorHAnsi"/>
                          <w:sz w:val="20"/>
                          <w:szCs w:val="20"/>
                          <w:lang w:eastAsia="fr-FR"/>
                        </w:rPr>
                        <w:t xml:space="preserve">Reasonable accommodation differs from general accessibility measures in that it responds to individual circumstances, rather than applying to all users. While accessibility aims to remove barriers at a systemic level, reasonable accommodation enables equitable access in specific situations where existing systems do not fully meet an individual’s needs. It </w:t>
                      </w:r>
                      <w:r w:rsidRPr="00820B09">
                        <w:rPr>
                          <w:rFonts w:asciiTheme="majorHAnsi" w:hAnsiTheme="majorHAnsi"/>
                          <w:sz w:val="20"/>
                          <w:szCs w:val="20"/>
                          <w:lang w:eastAsia="fr-FR"/>
                        </w:rPr>
                        <w:t>is defined in the UNCRPD as:</w:t>
                      </w:r>
                    </w:p>
                    <w:p w14:paraId="3857FFBB" w14:textId="6B38C4C1" w:rsidR="009E3256" w:rsidRPr="00820B09" w:rsidRDefault="009E3256" w:rsidP="009E3256">
                      <w:pPr>
                        <w:ind w:left="708"/>
                        <w:jc w:val="both"/>
                        <w:rPr>
                          <w:rFonts w:asciiTheme="majorHAnsi" w:hAnsiTheme="majorHAnsi"/>
                          <w:sz w:val="20"/>
                          <w:szCs w:val="20"/>
                          <w:lang w:eastAsia="fr-FR"/>
                        </w:rPr>
                      </w:pPr>
                      <w:r w:rsidRPr="00820B09">
                        <w:rPr>
                          <w:rFonts w:asciiTheme="majorHAnsi" w:hAnsiTheme="majorHAnsi"/>
                          <w:sz w:val="20"/>
                          <w:szCs w:val="20"/>
                          <w:lang w:eastAsia="fr-FR"/>
                        </w:rPr>
                        <w:t>“</w:t>
                      </w:r>
                      <w:r w:rsidR="00571480" w:rsidRPr="00820B09">
                        <w:rPr>
                          <w:rFonts w:asciiTheme="majorHAnsi" w:hAnsiTheme="majorHAnsi"/>
                          <w:sz w:val="20"/>
                          <w:szCs w:val="20"/>
                          <w:lang w:eastAsia="fr-FR"/>
                        </w:rPr>
                        <w:t>Necessary</w:t>
                      </w:r>
                      <w:r w:rsidRPr="00820B09">
                        <w:rPr>
                          <w:rFonts w:asciiTheme="majorHAnsi" w:hAnsiTheme="majorHAnsi"/>
                          <w:sz w:val="20"/>
                          <w:szCs w:val="20"/>
                          <w:lang w:eastAsia="fr-FR"/>
                        </w:rPr>
                        <w:t xml:space="preserve"> and appropriate modification and adjustments not imposing a disproportionate or undue burden, where needed in a particular case, to ensure to persons with disabilities the enjoyment or exercise on an equal basis with others of all human rights and fundamental freedoms”.</w:t>
                      </w:r>
                    </w:p>
                    <w:p w14:paraId="317B06A5" w14:textId="77777777" w:rsidR="009E3256" w:rsidRPr="00820B09" w:rsidRDefault="009E3256" w:rsidP="009E3256">
                      <w:pPr>
                        <w:jc w:val="both"/>
                        <w:rPr>
                          <w:rFonts w:asciiTheme="majorHAnsi" w:hAnsiTheme="majorHAnsi"/>
                          <w:sz w:val="20"/>
                          <w:szCs w:val="20"/>
                          <w:lang w:eastAsia="fr-FR"/>
                        </w:rPr>
                      </w:pPr>
                    </w:p>
                    <w:p w14:paraId="550DA616" w14:textId="35EEC6B2" w:rsidR="009E3256" w:rsidRPr="00820B09" w:rsidRDefault="009E3256" w:rsidP="009E3256">
                      <w:pPr>
                        <w:jc w:val="both"/>
                        <w:rPr>
                          <w:rFonts w:asciiTheme="majorHAnsi" w:hAnsiTheme="majorHAnsi"/>
                          <w:sz w:val="20"/>
                          <w:szCs w:val="20"/>
                          <w:lang w:eastAsia="fr-FR"/>
                        </w:rPr>
                      </w:pPr>
                      <w:r w:rsidRPr="00820B09">
                        <w:rPr>
                          <w:rFonts w:asciiTheme="majorHAnsi" w:hAnsiTheme="majorHAnsi"/>
                          <w:sz w:val="20"/>
                          <w:szCs w:val="20"/>
                          <w:lang w:eastAsia="fr-FR"/>
                        </w:rPr>
                        <w:t>Inclusive employment in underpinned by an accessible workplace. Providers should take steps to make their workplace premises and IT systems accessible to persons with disabilities</w:t>
                      </w:r>
                      <w:r w:rsidR="000C48E0" w:rsidRPr="00820B09">
                        <w:rPr>
                          <w:rFonts w:asciiTheme="majorHAnsi" w:hAnsiTheme="majorHAnsi"/>
                          <w:sz w:val="20"/>
                          <w:szCs w:val="20"/>
                          <w:lang w:eastAsia="fr-FR"/>
                        </w:rPr>
                        <w:t xml:space="preserve"> (see indicator 3.B.2.2 for information about physical and digital accessibility). They should </w:t>
                      </w:r>
                      <w:r w:rsidRPr="00820B09">
                        <w:rPr>
                          <w:rFonts w:asciiTheme="majorHAnsi" w:hAnsiTheme="majorHAnsi"/>
                          <w:sz w:val="20"/>
                          <w:szCs w:val="20"/>
                          <w:lang w:eastAsia="fr-FR"/>
                        </w:rPr>
                        <w:t xml:space="preserve">also implement procedures to provide reasonable accommodation to individual employees to enable them to perform their job to their full potential and participate in work activities on an equal basis with others. </w:t>
                      </w:r>
                      <w:r w:rsidR="003775F2" w:rsidRPr="00820B09">
                        <w:rPr>
                          <w:rFonts w:asciiTheme="majorHAnsi" w:hAnsiTheme="majorHAnsi"/>
                          <w:sz w:val="20"/>
                          <w:szCs w:val="20"/>
                          <w:lang w:eastAsia="fr-FR"/>
                        </w:rPr>
                        <w:t>These procedures and process should enable all employees to request accommodations during onboarding and orientation, as part of return-to-work procedures after illness or accidents, and any time during their employment.</w:t>
                      </w:r>
                    </w:p>
                    <w:p w14:paraId="5A70E481" w14:textId="77777777" w:rsidR="003768B4" w:rsidRPr="00820B09" w:rsidRDefault="003768B4" w:rsidP="009E3256">
                      <w:pPr>
                        <w:jc w:val="both"/>
                        <w:rPr>
                          <w:rFonts w:asciiTheme="majorHAnsi" w:hAnsiTheme="majorHAnsi"/>
                          <w:sz w:val="20"/>
                          <w:szCs w:val="20"/>
                          <w:lang w:eastAsia="fr-FR"/>
                        </w:rPr>
                      </w:pPr>
                    </w:p>
                    <w:p w14:paraId="068756A1" w14:textId="77777777" w:rsidR="003775F2" w:rsidRPr="00820B09" w:rsidRDefault="003775F2" w:rsidP="003775F2">
                      <w:pPr>
                        <w:jc w:val="both"/>
                        <w:rPr>
                          <w:rFonts w:asciiTheme="majorHAnsi" w:hAnsiTheme="majorHAnsi"/>
                          <w:sz w:val="20"/>
                          <w:szCs w:val="20"/>
                          <w:lang w:eastAsia="fr-FR"/>
                        </w:rPr>
                      </w:pPr>
                      <w:r w:rsidRPr="00820B09">
                        <w:rPr>
                          <w:rFonts w:asciiTheme="majorHAnsi" w:hAnsiTheme="majorHAnsi"/>
                          <w:sz w:val="20"/>
                          <w:szCs w:val="20"/>
                          <w:lang w:eastAsia="fr-FR"/>
                        </w:rPr>
                        <w:t>Workplace accommodations may include a wide range of measures, many of them simple and inexpensive, including (but not limited to):</w:t>
                      </w:r>
                    </w:p>
                    <w:p w14:paraId="111300E2" w14:textId="72DB3B8D"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Adjusting workplace layouts to assist navigation.</w:t>
                      </w:r>
                    </w:p>
                    <w:p w14:paraId="21159FE4" w14:textId="2A0784CA"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Workstation adjustments.</w:t>
                      </w:r>
                    </w:p>
                    <w:p w14:paraId="55A3B3BC" w14:textId="4746F992"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Providing information in accessible formats.</w:t>
                      </w:r>
                    </w:p>
                    <w:p w14:paraId="04331F33" w14:textId="3DCEF5F9"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Providing assistive technologies.</w:t>
                      </w:r>
                    </w:p>
                    <w:p w14:paraId="38408A38" w14:textId="4D9663D1" w:rsidR="003775F2"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Flexible working arrangements, such as remote working or adjusted working hours.</w:t>
                      </w:r>
                    </w:p>
                    <w:p w14:paraId="32B7CFAB" w14:textId="4A688526" w:rsidR="003768B4" w:rsidRPr="00820B09" w:rsidRDefault="003775F2" w:rsidP="00A27AAA">
                      <w:pPr>
                        <w:pStyle w:val="ListParagraph"/>
                        <w:numPr>
                          <w:ilvl w:val="0"/>
                          <w:numId w:val="407"/>
                        </w:numPr>
                        <w:jc w:val="both"/>
                        <w:rPr>
                          <w:rFonts w:asciiTheme="majorHAnsi" w:hAnsiTheme="majorHAnsi"/>
                          <w:szCs w:val="20"/>
                          <w:lang w:eastAsia="fr-FR"/>
                        </w:rPr>
                      </w:pPr>
                      <w:r w:rsidRPr="00820B09">
                        <w:rPr>
                          <w:rFonts w:asciiTheme="majorHAnsi" w:hAnsiTheme="majorHAnsi"/>
                          <w:szCs w:val="20"/>
                          <w:lang w:eastAsia="fr-FR"/>
                        </w:rPr>
                        <w:t>Implementing protocols for inclusive in-person and online meetings.</w:t>
                      </w:r>
                    </w:p>
                    <w:p w14:paraId="241B387E" w14:textId="063106C2" w:rsidR="003768B4" w:rsidRPr="00820B09" w:rsidRDefault="003775F2" w:rsidP="009E3256">
                      <w:pPr>
                        <w:jc w:val="both"/>
                        <w:rPr>
                          <w:rFonts w:asciiTheme="majorHAnsi" w:hAnsiTheme="majorHAnsi"/>
                          <w:sz w:val="20"/>
                          <w:szCs w:val="20"/>
                          <w:lang w:eastAsia="fr-FR"/>
                        </w:rPr>
                      </w:pPr>
                      <w:r w:rsidRPr="00820B09">
                        <w:rPr>
                          <w:rFonts w:asciiTheme="majorHAnsi" w:hAnsiTheme="majorHAnsi"/>
                          <w:sz w:val="20"/>
                          <w:szCs w:val="20"/>
                          <w:lang w:eastAsia="fr-FR"/>
                        </w:rPr>
                        <w:t>As the initial stage of the employment lifecycle, inclusive recruitment practices are an essential foundation for equal participation of persons with disabilities in the workforce. Recruitment processes should provide all candidates an equal opportunity to apply and succeed based on their merits. This involves proactive measures to ensure non-discrimination, minimize bias, and enable accessibility at every stage, including job advertisements, candidate sourcing, screening, shortlisting, selection, and onboarding. All candidates should be given the opportunity to request reasonable accommodation at all stages.</w:t>
                      </w:r>
                    </w:p>
                    <w:p w14:paraId="5AB2A0DA" w14:textId="77777777" w:rsidR="00FD4831" w:rsidRPr="00820B09" w:rsidRDefault="00FD4831" w:rsidP="009E3256">
                      <w:pPr>
                        <w:jc w:val="both"/>
                        <w:rPr>
                          <w:rFonts w:asciiTheme="majorHAnsi" w:hAnsiTheme="majorHAnsi"/>
                          <w:sz w:val="20"/>
                          <w:szCs w:val="20"/>
                          <w:lang w:eastAsia="fr-FR"/>
                        </w:rPr>
                      </w:pPr>
                    </w:p>
                    <w:p w14:paraId="5A96EB01" w14:textId="028592E5" w:rsidR="00FD4831" w:rsidRPr="00820B09" w:rsidRDefault="00FD4831" w:rsidP="009E3256">
                      <w:pPr>
                        <w:jc w:val="both"/>
                        <w:rPr>
                          <w:rFonts w:asciiTheme="majorHAnsi" w:hAnsiTheme="majorHAnsi"/>
                          <w:sz w:val="20"/>
                          <w:szCs w:val="20"/>
                          <w:lang w:eastAsia="fr-FR"/>
                        </w:rPr>
                      </w:pPr>
                      <w:r w:rsidRPr="00820B09">
                        <w:rPr>
                          <w:rFonts w:asciiTheme="majorHAnsi" w:hAnsiTheme="majorHAnsi"/>
                          <w:sz w:val="20"/>
                          <w:szCs w:val="20"/>
                          <w:lang w:eastAsia="fr-FR"/>
                        </w:rPr>
                        <w:t xml:space="preserve">Both HR staff and line managers should receive training on </w:t>
                      </w:r>
                      <w:r w:rsidR="00C23D0C" w:rsidRPr="00820B09">
                        <w:rPr>
                          <w:rFonts w:asciiTheme="majorHAnsi" w:hAnsiTheme="majorHAnsi"/>
                          <w:sz w:val="20"/>
                          <w:szCs w:val="20"/>
                          <w:lang w:eastAsia="fr-FR"/>
                        </w:rPr>
                        <w:t xml:space="preserve">providing reasonable accommodation, addressing </w:t>
                      </w:r>
                      <w:r w:rsidRPr="00820B09">
                        <w:rPr>
                          <w:rFonts w:asciiTheme="majorHAnsi" w:hAnsiTheme="majorHAnsi"/>
                          <w:sz w:val="20"/>
                          <w:szCs w:val="20"/>
                          <w:lang w:eastAsia="fr-FR"/>
                        </w:rPr>
                        <w:t>unconscious bias, inclusive recruitment and performance management, and prevention of exploitation, abuse and harassment in the workplace.</w:t>
                      </w:r>
                      <w:r w:rsidR="00C23D0C" w:rsidRPr="00820B09">
                        <w:rPr>
                          <w:rFonts w:asciiTheme="majorHAnsi" w:hAnsiTheme="majorHAnsi"/>
                          <w:sz w:val="20"/>
                          <w:szCs w:val="20"/>
                          <w:lang w:eastAsia="fr-FR"/>
                        </w:rPr>
                        <w:t xml:space="preserve"> HR staff should be trained on role-specific topics including job adaptation, return-to-work processes (including for persons who have acquired disabilities during their employment), and workplace health and safety considerations for employees with </w:t>
                      </w:r>
                      <w:r w:rsidR="00571480" w:rsidRPr="00820B09">
                        <w:rPr>
                          <w:rFonts w:asciiTheme="majorHAnsi" w:hAnsiTheme="majorHAnsi"/>
                          <w:sz w:val="20"/>
                          <w:szCs w:val="20"/>
                          <w:lang w:eastAsia="fr-FR"/>
                        </w:rPr>
                        <w:t>disabilities.</w:t>
                      </w:r>
                    </w:p>
                    <w:p w14:paraId="41D5F101" w14:textId="77777777" w:rsidR="00FD4831" w:rsidRPr="00820B09" w:rsidRDefault="00FD4831" w:rsidP="009E3256">
                      <w:pPr>
                        <w:jc w:val="both"/>
                        <w:rPr>
                          <w:rFonts w:asciiTheme="majorHAnsi" w:hAnsiTheme="majorHAnsi"/>
                          <w:sz w:val="20"/>
                          <w:szCs w:val="20"/>
                          <w:lang w:eastAsia="fr-FR"/>
                        </w:rPr>
                      </w:pPr>
                    </w:p>
                    <w:p w14:paraId="6BCC7B61" w14:textId="3ADB1EBC" w:rsidR="009A58DF" w:rsidRPr="00820B09" w:rsidRDefault="009A58DF" w:rsidP="009E3256">
                      <w:pPr>
                        <w:jc w:val="both"/>
                        <w:rPr>
                          <w:rFonts w:asciiTheme="majorHAnsi" w:hAnsiTheme="majorHAnsi"/>
                          <w:sz w:val="20"/>
                          <w:szCs w:val="20"/>
                          <w:lang w:eastAsia="fr-FR"/>
                        </w:rPr>
                      </w:pPr>
                      <w:r w:rsidRPr="00820B09">
                        <w:rPr>
                          <w:rFonts w:asciiTheme="majorHAnsi" w:hAnsiTheme="majorHAnsi"/>
                          <w:sz w:val="20"/>
                          <w:szCs w:val="20"/>
                          <w:lang w:eastAsia="fr-FR"/>
                        </w:rPr>
                        <w:t>The BFFI Disability Inclusion Guide for FSPs providers further information and resources on inclusive recruitment and employment</w:t>
                      </w:r>
                      <w:r w:rsidR="00C23D0C" w:rsidRPr="00820B09">
                        <w:rPr>
                          <w:rFonts w:asciiTheme="majorHAnsi" w:hAnsiTheme="majorHAnsi"/>
                          <w:sz w:val="20"/>
                          <w:szCs w:val="20"/>
                          <w:lang w:eastAsia="fr-FR"/>
                        </w:rPr>
                        <w:t>, and staff training</w:t>
                      </w:r>
                      <w:r w:rsidRPr="00820B09">
                        <w:rPr>
                          <w:rFonts w:asciiTheme="majorHAnsi" w:hAnsiTheme="majorHAnsi"/>
                          <w:sz w:val="20"/>
                          <w:szCs w:val="20"/>
                          <w:lang w:eastAsia="fr-FR"/>
                        </w:rPr>
                        <w:t>.</w:t>
                      </w:r>
                      <w:r w:rsidR="00AF3865" w:rsidRPr="00820B09">
                        <w:rPr>
                          <w:rFonts w:asciiTheme="majorHAnsi" w:hAnsiTheme="majorHAnsi"/>
                          <w:sz w:val="20"/>
                          <w:szCs w:val="20"/>
                          <w:lang w:eastAsia="fr-FR"/>
                        </w:rPr>
                        <w:t xml:space="preserve"> See also resources for this indicator.</w:t>
                      </w:r>
                    </w:p>
                    <w:p w14:paraId="58E612F9" w14:textId="639878C8" w:rsidR="00224A9B" w:rsidRPr="00820B09" w:rsidRDefault="00224A9B" w:rsidP="009B0184">
                      <w:pPr>
                        <w:jc w:val="both"/>
                        <w:rPr>
                          <w:rFonts w:asciiTheme="majorHAnsi" w:hAnsiTheme="majorHAnsi"/>
                          <w:sz w:val="20"/>
                          <w:szCs w:val="20"/>
                          <w:lang w:eastAsia="fr-FR"/>
                        </w:rPr>
                      </w:pPr>
                    </w:p>
                  </w:txbxContent>
                </v:textbox>
                <w10:wrap type="square"/>
              </v:shape>
            </w:pict>
          </mc:Fallback>
        </mc:AlternateContent>
      </w:r>
    </w:p>
    <w:p w14:paraId="232C8AA5" w14:textId="0DE79926" w:rsidR="00CE3871" w:rsidRPr="00A608EE" w:rsidRDefault="00CE387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lastRenderedPageBreak/>
        <w:t>Scoring guidance</w:t>
      </w:r>
    </w:p>
    <w:p w14:paraId="7ECF92C9" w14:textId="77777777" w:rsidR="00CE3871" w:rsidRPr="00A608EE" w:rsidRDefault="00CE3871" w:rsidP="00EE208A">
      <w:pPr>
        <w:jc w:val="both"/>
        <w:rPr>
          <w:rFonts w:asciiTheme="majorHAnsi" w:hAnsiTheme="majorHAnsi"/>
          <w:sz w:val="20"/>
          <w:szCs w:val="20"/>
          <w:lang w:eastAsia="fr-FR"/>
        </w:rPr>
      </w:pPr>
      <w:r w:rsidRPr="00A608EE">
        <w:rPr>
          <w:rFonts w:asciiTheme="majorHAnsi" w:hAnsiTheme="majorHAnsi"/>
          <w:sz w:val="20"/>
          <w:szCs w:val="20"/>
          <w:lang w:eastAsia="fr-FR"/>
        </w:rPr>
        <w:t>For each detail:</w:t>
      </w:r>
    </w:p>
    <w:p w14:paraId="7C3F27B8" w14:textId="77777777" w:rsidR="00CE3871" w:rsidRPr="00A608EE" w:rsidRDefault="00CE3871" w:rsidP="00A27AAA">
      <w:pPr>
        <w:numPr>
          <w:ilvl w:val="0"/>
          <w:numId w:val="286"/>
        </w:numPr>
        <w:jc w:val="both"/>
        <w:rPr>
          <w:rFonts w:asciiTheme="majorHAnsi" w:hAnsiTheme="majorHAnsi"/>
          <w:sz w:val="20"/>
          <w:szCs w:val="20"/>
          <w:lang w:eastAsia="fr-FR"/>
        </w:rPr>
      </w:pPr>
      <w:r w:rsidRPr="00A608EE">
        <w:rPr>
          <w:rFonts w:asciiTheme="majorHAnsi" w:hAnsiTheme="majorHAnsi"/>
          <w:sz w:val="20"/>
          <w:szCs w:val="20"/>
          <w:lang w:eastAsia="fr-FR"/>
        </w:rPr>
        <w:t>Score ‘yes’, if:</w:t>
      </w:r>
    </w:p>
    <w:p w14:paraId="1DE3C40B" w14:textId="77777777" w:rsidR="00CE3871" w:rsidRPr="00A608EE" w:rsidRDefault="00CE3871" w:rsidP="00A27AAA">
      <w:pPr>
        <w:numPr>
          <w:ilvl w:val="1"/>
          <w:numId w:val="286"/>
        </w:numPr>
        <w:jc w:val="both"/>
        <w:rPr>
          <w:rFonts w:asciiTheme="majorHAnsi" w:hAnsiTheme="majorHAnsi"/>
          <w:sz w:val="20"/>
          <w:szCs w:val="20"/>
          <w:lang w:eastAsia="fr-FR"/>
        </w:rPr>
      </w:pPr>
      <w:r w:rsidRPr="00A608EE">
        <w:rPr>
          <w:rFonts w:asciiTheme="majorHAnsi" w:hAnsiTheme="majorHAnsi"/>
          <w:sz w:val="20"/>
          <w:szCs w:val="20"/>
          <w:lang w:eastAsia="fr-FR"/>
        </w:rPr>
        <w:t>the provider complies fully with the rights and responsibilities for all employees related to the detail concerned,</w:t>
      </w:r>
    </w:p>
    <w:p w14:paraId="45E499C3" w14:textId="77777777" w:rsidR="00CE3871" w:rsidRPr="00A608EE" w:rsidRDefault="00CE3871" w:rsidP="00A27AAA">
      <w:pPr>
        <w:numPr>
          <w:ilvl w:val="1"/>
          <w:numId w:val="286"/>
        </w:numPr>
        <w:jc w:val="both"/>
        <w:rPr>
          <w:rFonts w:asciiTheme="majorHAnsi" w:hAnsiTheme="majorHAnsi"/>
          <w:sz w:val="20"/>
          <w:szCs w:val="20"/>
          <w:lang w:eastAsia="fr-FR"/>
        </w:rPr>
      </w:pPr>
      <w:r w:rsidRPr="00A608EE">
        <w:rPr>
          <w:rFonts w:asciiTheme="majorHAnsi" w:hAnsiTheme="majorHAnsi"/>
          <w:sz w:val="20"/>
          <w:szCs w:val="20"/>
          <w:lang w:eastAsia="fr-FR"/>
        </w:rPr>
        <w:t>the formal HR policy describes clearly the employees’ rights and responsibilities related to the detail concerned that are</w:t>
      </w:r>
    </w:p>
    <w:p w14:paraId="6DEB976B" w14:textId="77777777" w:rsidR="00CE3871" w:rsidRPr="00A608EE" w:rsidRDefault="00CE3871" w:rsidP="00A27AAA">
      <w:pPr>
        <w:numPr>
          <w:ilvl w:val="1"/>
          <w:numId w:val="286"/>
        </w:numPr>
        <w:jc w:val="both"/>
        <w:rPr>
          <w:rFonts w:asciiTheme="majorHAnsi" w:hAnsiTheme="majorHAnsi"/>
          <w:sz w:val="20"/>
          <w:szCs w:val="20"/>
          <w:lang w:eastAsia="fr-FR"/>
        </w:rPr>
      </w:pPr>
      <w:r w:rsidRPr="00A608EE">
        <w:rPr>
          <w:rFonts w:asciiTheme="majorHAnsi" w:hAnsiTheme="majorHAnsi"/>
          <w:sz w:val="20"/>
          <w:szCs w:val="20"/>
          <w:lang w:eastAsia="fr-FR"/>
        </w:rPr>
        <w:t>understood well by the employees</w:t>
      </w:r>
    </w:p>
    <w:p w14:paraId="021CCBF3" w14:textId="77777777" w:rsidR="00CE3871" w:rsidRPr="00A608EE" w:rsidRDefault="00CE3871" w:rsidP="00A27AAA">
      <w:pPr>
        <w:numPr>
          <w:ilvl w:val="0"/>
          <w:numId w:val="286"/>
        </w:numPr>
        <w:jc w:val="both"/>
        <w:rPr>
          <w:rFonts w:asciiTheme="majorHAnsi" w:hAnsiTheme="majorHAnsi"/>
          <w:sz w:val="20"/>
          <w:szCs w:val="20"/>
          <w:lang w:eastAsia="fr-FR"/>
        </w:rPr>
      </w:pPr>
      <w:r w:rsidRPr="00A608EE">
        <w:rPr>
          <w:rFonts w:asciiTheme="majorHAnsi" w:hAnsiTheme="majorHAnsi"/>
          <w:sz w:val="20"/>
          <w:szCs w:val="20"/>
          <w:lang w:eastAsia="fr-FR"/>
        </w:rPr>
        <w:t>Score ‘partially’, if (1) the provider complies largely with the rights and responsibilities for all employees related to the detail concerned with no major risks identified, but they are not included in the formal HR policy and/or not well understood by the employees. In other words: if the first requirement is mostly met, but not the second and/or third.</w:t>
      </w:r>
    </w:p>
    <w:p w14:paraId="25C8E84B" w14:textId="77777777" w:rsidR="00CE3871" w:rsidRPr="00A608EE" w:rsidRDefault="00CE3871" w:rsidP="00A27AAA">
      <w:pPr>
        <w:numPr>
          <w:ilvl w:val="0"/>
          <w:numId w:val="286"/>
        </w:numPr>
        <w:jc w:val="both"/>
        <w:rPr>
          <w:rFonts w:asciiTheme="majorHAnsi" w:hAnsiTheme="majorHAnsi"/>
          <w:sz w:val="20"/>
          <w:szCs w:val="20"/>
          <w:lang w:eastAsia="fr-FR"/>
        </w:rPr>
      </w:pPr>
      <w:r w:rsidRPr="00A608EE">
        <w:rPr>
          <w:rFonts w:asciiTheme="majorHAnsi" w:hAnsiTheme="majorHAnsi"/>
          <w:sz w:val="20"/>
          <w:szCs w:val="20"/>
          <w:lang w:eastAsia="fr-FR"/>
        </w:rPr>
        <w:t>Score ‘no’, if (1) the provider does largely not comply with the rights and responsibilities for all employees related to the detail concerned with major risks identified, regardless of whether the second and third requirements are met.</w:t>
      </w:r>
    </w:p>
    <w:p w14:paraId="1547C654" w14:textId="77777777" w:rsidR="00CE3871" w:rsidRPr="00A608EE" w:rsidRDefault="00CE3871" w:rsidP="00EE208A">
      <w:pPr>
        <w:jc w:val="both"/>
        <w:rPr>
          <w:rFonts w:asciiTheme="majorHAnsi" w:hAnsiTheme="majorHAnsi"/>
          <w:szCs w:val="20"/>
          <w:lang w:eastAsia="fr-FR"/>
        </w:rPr>
      </w:pPr>
    </w:p>
    <w:p w14:paraId="278455E0" w14:textId="1AF3C7E1" w:rsidR="00CE3871" w:rsidRPr="00A608EE" w:rsidRDefault="00CE387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1ADF2794" w14:textId="77777777" w:rsidR="00CE3871" w:rsidRPr="00A608EE" w:rsidRDefault="00CE3871" w:rsidP="00A27AAA">
      <w:pPr>
        <w:numPr>
          <w:ilvl w:val="0"/>
          <w:numId w:val="287"/>
        </w:numPr>
        <w:jc w:val="both"/>
        <w:rPr>
          <w:rFonts w:asciiTheme="majorHAnsi" w:hAnsiTheme="majorHAnsi"/>
          <w:sz w:val="20"/>
          <w:szCs w:val="20"/>
          <w:lang w:eastAsia="fr-FR"/>
        </w:rPr>
      </w:pPr>
      <w:r w:rsidRPr="00A608EE">
        <w:rPr>
          <w:rFonts w:asciiTheme="majorHAnsi" w:hAnsiTheme="majorHAnsi"/>
          <w:sz w:val="20"/>
          <w:szCs w:val="20"/>
          <w:lang w:eastAsia="fr-FR"/>
        </w:rPr>
        <w:t>HR Policy &amp; Procedures Manual</w:t>
      </w:r>
    </w:p>
    <w:p w14:paraId="7DFE0AE4" w14:textId="77777777" w:rsidR="00CE3871" w:rsidRPr="00A608EE" w:rsidRDefault="00CE3871" w:rsidP="00A27AAA">
      <w:pPr>
        <w:numPr>
          <w:ilvl w:val="0"/>
          <w:numId w:val="287"/>
        </w:numPr>
        <w:jc w:val="both"/>
        <w:rPr>
          <w:rFonts w:asciiTheme="majorHAnsi" w:hAnsiTheme="majorHAnsi"/>
          <w:sz w:val="20"/>
          <w:szCs w:val="20"/>
          <w:lang w:eastAsia="fr-FR"/>
        </w:rPr>
      </w:pPr>
      <w:r w:rsidRPr="00A608EE">
        <w:rPr>
          <w:rFonts w:asciiTheme="majorHAnsi" w:hAnsiTheme="majorHAnsi"/>
          <w:sz w:val="20"/>
          <w:szCs w:val="20"/>
          <w:lang w:eastAsia="fr-FR"/>
        </w:rPr>
        <w:t>Interview of HR manager</w:t>
      </w:r>
    </w:p>
    <w:p w14:paraId="15F4BA87" w14:textId="77777777" w:rsidR="00CE3871" w:rsidRPr="00A608EE" w:rsidRDefault="00CE3871" w:rsidP="00A27AAA">
      <w:pPr>
        <w:numPr>
          <w:ilvl w:val="0"/>
          <w:numId w:val="287"/>
        </w:numPr>
        <w:jc w:val="both"/>
        <w:rPr>
          <w:rFonts w:asciiTheme="majorHAnsi" w:hAnsiTheme="majorHAnsi"/>
          <w:sz w:val="20"/>
          <w:szCs w:val="20"/>
          <w:lang w:eastAsia="fr-FR"/>
        </w:rPr>
      </w:pPr>
      <w:r w:rsidRPr="00A608EE">
        <w:rPr>
          <w:rFonts w:asciiTheme="majorHAnsi" w:hAnsiTheme="majorHAnsi"/>
          <w:sz w:val="20"/>
          <w:szCs w:val="20"/>
          <w:lang w:eastAsia="fr-FR"/>
        </w:rPr>
        <w:t>Interviews of employees at branch and head office level</w:t>
      </w:r>
    </w:p>
    <w:p w14:paraId="657D8212" w14:textId="77777777" w:rsidR="00CE3871" w:rsidRPr="00A608EE" w:rsidRDefault="00CE3871" w:rsidP="00EE208A">
      <w:pPr>
        <w:jc w:val="both"/>
        <w:rPr>
          <w:rFonts w:asciiTheme="majorHAnsi" w:hAnsiTheme="majorHAnsi"/>
          <w:sz w:val="20"/>
          <w:szCs w:val="20"/>
          <w:lang w:eastAsia="fr-FR"/>
        </w:rPr>
      </w:pPr>
    </w:p>
    <w:p w14:paraId="68A47D85" w14:textId="340957E4" w:rsidR="00CE3871" w:rsidRPr="00A608EE" w:rsidRDefault="00CE387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0970452A" w14:textId="77777777" w:rsidR="00CE3871" w:rsidRPr="00A608EE" w:rsidRDefault="00CE3871" w:rsidP="00A27AAA">
      <w:pPr>
        <w:numPr>
          <w:ilvl w:val="0"/>
          <w:numId w:val="288"/>
        </w:numPr>
        <w:jc w:val="both"/>
        <w:rPr>
          <w:rFonts w:asciiTheme="majorHAnsi" w:hAnsiTheme="majorHAnsi"/>
          <w:sz w:val="20"/>
          <w:szCs w:val="20"/>
          <w:lang w:eastAsia="fr-FR"/>
        </w:rPr>
      </w:pPr>
      <w:r w:rsidRPr="00A608EE">
        <w:rPr>
          <w:rFonts w:asciiTheme="majorHAnsi" w:hAnsiTheme="majorHAnsi"/>
          <w:sz w:val="20"/>
          <w:szCs w:val="20"/>
          <w:lang w:eastAsia="fr-FR"/>
        </w:rPr>
        <w:t>Explain where the HR policy is available and give the chapter or page where the six indicator details are covered. Include how and when the policy was distributed to staff (e.g., last year by email or each revised version is posted to the intranet, etc.).</w:t>
      </w:r>
    </w:p>
    <w:p w14:paraId="331A1AAD" w14:textId="77777777" w:rsidR="00CE3871" w:rsidRPr="00A608EE" w:rsidRDefault="00CE3871" w:rsidP="00A27AAA">
      <w:pPr>
        <w:numPr>
          <w:ilvl w:val="0"/>
          <w:numId w:val="288"/>
        </w:numPr>
        <w:jc w:val="both"/>
        <w:rPr>
          <w:rFonts w:asciiTheme="majorHAnsi" w:hAnsiTheme="majorHAnsi"/>
          <w:sz w:val="20"/>
          <w:szCs w:val="20"/>
          <w:lang w:eastAsia="fr-FR"/>
        </w:rPr>
      </w:pPr>
      <w:r w:rsidRPr="00A608EE">
        <w:rPr>
          <w:rFonts w:asciiTheme="majorHAnsi" w:hAnsiTheme="majorHAnsi"/>
          <w:sz w:val="20"/>
          <w:szCs w:val="20"/>
          <w:lang w:eastAsia="fr-FR"/>
        </w:rPr>
        <w:t>If the employees’ rights are not explicitly mentioned in the HR policy, an assessment of potential risk(s) (for the employees, but also for clients) of non-compliance with these rights is required.</w:t>
      </w:r>
    </w:p>
    <w:p w14:paraId="1A07B076" w14:textId="77777777" w:rsidR="00CE3871" w:rsidRPr="00A608EE" w:rsidRDefault="00CE3871" w:rsidP="00EE208A">
      <w:pPr>
        <w:jc w:val="both"/>
        <w:rPr>
          <w:rFonts w:asciiTheme="majorHAnsi" w:hAnsiTheme="majorHAnsi"/>
          <w:szCs w:val="20"/>
          <w:lang w:eastAsia="fr-FR"/>
        </w:rPr>
      </w:pPr>
    </w:p>
    <w:p w14:paraId="0B7E1E17" w14:textId="6C05151B" w:rsidR="00CE3871" w:rsidRPr="00A608EE" w:rsidRDefault="00CE3871" w:rsidP="00EE208A">
      <w:pPr>
        <w:jc w:val="both"/>
        <w:rPr>
          <w:rFonts w:asciiTheme="majorHAnsi" w:hAnsiTheme="majorHAnsi"/>
          <w:sz w:val="20"/>
          <w:szCs w:val="20"/>
          <w:lang w:eastAsia="fr-FR"/>
        </w:rPr>
      </w:pPr>
      <w:r w:rsidRPr="00A608EE">
        <w:rPr>
          <w:rFonts w:asciiTheme="majorHAnsi" w:hAnsiTheme="majorHAnsi"/>
          <w:sz w:val="20"/>
          <w:szCs w:val="20"/>
          <w:lang w:eastAsia="fr-FR"/>
        </w:rPr>
        <w:t>Examples are:</w:t>
      </w:r>
    </w:p>
    <w:p w14:paraId="00551786" w14:textId="77777777" w:rsidR="00CE3871" w:rsidRPr="00A608EE" w:rsidRDefault="00CE3871" w:rsidP="00A27AAA">
      <w:pPr>
        <w:numPr>
          <w:ilvl w:val="0"/>
          <w:numId w:val="289"/>
        </w:numPr>
        <w:jc w:val="both"/>
        <w:rPr>
          <w:rFonts w:asciiTheme="majorHAnsi" w:hAnsiTheme="majorHAnsi"/>
          <w:sz w:val="20"/>
          <w:szCs w:val="20"/>
          <w:lang w:eastAsia="fr-FR"/>
        </w:rPr>
      </w:pPr>
      <w:r w:rsidRPr="00A608EE">
        <w:rPr>
          <w:rFonts w:asciiTheme="majorHAnsi" w:hAnsiTheme="majorHAnsi"/>
          <w:sz w:val="20"/>
          <w:szCs w:val="20"/>
          <w:u w:val="single"/>
          <w:lang w:eastAsia="fr-FR"/>
        </w:rPr>
        <w:t>For 5.A.1.1.1</w:t>
      </w:r>
      <w:r w:rsidRPr="00A608EE">
        <w:rPr>
          <w:rFonts w:asciiTheme="majorHAnsi" w:hAnsiTheme="majorHAnsi"/>
          <w:sz w:val="20"/>
          <w:szCs w:val="20"/>
          <w:lang w:eastAsia="fr-FR"/>
        </w:rPr>
        <w:t>: rules left to the subjective appreciation of a manager, disproportionate sanctions, no opportunity to defend itself in case of sanction.</w:t>
      </w:r>
    </w:p>
    <w:p w14:paraId="5B7427E0" w14:textId="77777777" w:rsidR="00CE3871" w:rsidRPr="00A608EE" w:rsidRDefault="00CE3871" w:rsidP="00A27AAA">
      <w:pPr>
        <w:numPr>
          <w:ilvl w:val="0"/>
          <w:numId w:val="289"/>
        </w:numPr>
        <w:jc w:val="both"/>
        <w:rPr>
          <w:rFonts w:asciiTheme="majorHAnsi" w:hAnsiTheme="majorHAnsi"/>
          <w:sz w:val="20"/>
          <w:szCs w:val="20"/>
          <w:lang w:eastAsia="fr-FR"/>
        </w:rPr>
      </w:pPr>
      <w:r w:rsidRPr="00A608EE">
        <w:rPr>
          <w:rFonts w:asciiTheme="majorHAnsi" w:hAnsiTheme="majorHAnsi"/>
          <w:sz w:val="20"/>
          <w:szCs w:val="20"/>
          <w:u w:val="single"/>
          <w:lang w:eastAsia="fr-FR"/>
        </w:rPr>
        <w:t>For 5.A.1.1.2</w:t>
      </w:r>
      <w:r w:rsidRPr="00A608EE">
        <w:rPr>
          <w:rFonts w:asciiTheme="majorHAnsi" w:hAnsiTheme="majorHAnsi"/>
          <w:sz w:val="20"/>
          <w:szCs w:val="20"/>
          <w:lang w:eastAsia="fr-FR"/>
        </w:rPr>
        <w:t>: lack of annual performance appraisal with manager.</w:t>
      </w:r>
      <w:r w:rsidRPr="00A608EE">
        <w:rPr>
          <w:rFonts w:asciiTheme="majorHAnsi" w:hAnsiTheme="majorHAnsi"/>
          <w:sz w:val="20"/>
          <w:szCs w:val="20"/>
          <w:lang w:eastAsia="fr-FR"/>
        </w:rPr>
        <w:br/>
        <w:t>Also check compliance with 5.B.2.2 (if there is a grievance mechanism in place) whether there is a risk of non-compliance with these rights?</w:t>
      </w:r>
    </w:p>
    <w:p w14:paraId="122A9F0F" w14:textId="77777777" w:rsidR="00CE3871" w:rsidRPr="00A608EE" w:rsidRDefault="00CE3871" w:rsidP="00A27AAA">
      <w:pPr>
        <w:numPr>
          <w:ilvl w:val="0"/>
          <w:numId w:val="289"/>
        </w:numPr>
        <w:jc w:val="both"/>
        <w:rPr>
          <w:rFonts w:asciiTheme="majorHAnsi" w:hAnsiTheme="majorHAnsi"/>
          <w:sz w:val="20"/>
          <w:szCs w:val="20"/>
          <w:lang w:eastAsia="fr-FR"/>
        </w:rPr>
      </w:pPr>
      <w:r w:rsidRPr="00A608EE">
        <w:rPr>
          <w:rFonts w:asciiTheme="majorHAnsi" w:hAnsiTheme="majorHAnsi"/>
          <w:sz w:val="20"/>
          <w:szCs w:val="20"/>
          <w:u w:val="single"/>
          <w:lang w:eastAsia="fr-FR"/>
        </w:rPr>
        <w:t>For 5.A.1.1.3</w:t>
      </w:r>
      <w:r w:rsidRPr="00A608EE">
        <w:rPr>
          <w:rFonts w:asciiTheme="majorHAnsi" w:hAnsiTheme="majorHAnsi"/>
          <w:sz w:val="20"/>
          <w:szCs w:val="20"/>
          <w:lang w:eastAsia="fr-FR"/>
        </w:rPr>
        <w:t>: the provider must, at least, respect the country's law regarding these rights; if the law is not applicable to the provider, assess whether its commitment to respect this right is credible regarding its size and processes.</w:t>
      </w:r>
    </w:p>
    <w:p w14:paraId="0824CCC8" w14:textId="77777777" w:rsidR="00CE3871" w:rsidRPr="00A608EE" w:rsidRDefault="00CE3871" w:rsidP="00A27AAA">
      <w:pPr>
        <w:numPr>
          <w:ilvl w:val="0"/>
          <w:numId w:val="289"/>
        </w:numPr>
        <w:jc w:val="both"/>
        <w:rPr>
          <w:rFonts w:asciiTheme="majorHAnsi" w:hAnsiTheme="majorHAnsi"/>
          <w:sz w:val="20"/>
          <w:szCs w:val="20"/>
          <w:lang w:eastAsia="fr-FR"/>
        </w:rPr>
      </w:pPr>
      <w:r w:rsidRPr="00A608EE">
        <w:rPr>
          <w:rFonts w:asciiTheme="majorHAnsi" w:hAnsiTheme="majorHAnsi"/>
          <w:sz w:val="20"/>
          <w:szCs w:val="20"/>
          <w:u w:val="single"/>
          <w:lang w:eastAsia="fr-FR"/>
        </w:rPr>
        <w:t>For 5.A.1.1.4</w:t>
      </w:r>
      <w:r w:rsidRPr="00A608EE">
        <w:rPr>
          <w:rFonts w:asciiTheme="majorHAnsi" w:hAnsiTheme="majorHAnsi"/>
          <w:sz w:val="20"/>
          <w:szCs w:val="20"/>
          <w:lang w:eastAsia="fr-FR"/>
        </w:rPr>
        <w:t>: Definition: a whistleblower is someone who discloses a policy violation or wrongdoing that s/he has observed; check whether there is a risk of non-compliance, no independent channel to report to, procedures and channels that do not ensure the confidentiality of the identity of the reporting person, absence of impartial person or department for following up the reports.</w:t>
      </w:r>
    </w:p>
    <w:p w14:paraId="06D0CF54" w14:textId="77777777" w:rsidR="00CE3871" w:rsidRPr="00A608EE" w:rsidRDefault="00CE3871" w:rsidP="00A27AAA">
      <w:pPr>
        <w:numPr>
          <w:ilvl w:val="0"/>
          <w:numId w:val="289"/>
        </w:numPr>
        <w:jc w:val="both"/>
        <w:rPr>
          <w:rFonts w:asciiTheme="majorHAnsi" w:hAnsiTheme="majorHAnsi"/>
          <w:sz w:val="20"/>
          <w:szCs w:val="20"/>
          <w:lang w:eastAsia="fr-FR"/>
        </w:rPr>
      </w:pPr>
      <w:r w:rsidRPr="00A608EE">
        <w:rPr>
          <w:rFonts w:asciiTheme="majorHAnsi" w:hAnsiTheme="majorHAnsi"/>
          <w:sz w:val="20"/>
          <w:szCs w:val="20"/>
          <w:u w:val="single"/>
          <w:lang w:eastAsia="fr-FR"/>
        </w:rPr>
        <w:t>For 5.A.1.1.5</w:t>
      </w:r>
      <w:r w:rsidRPr="00A608EE">
        <w:rPr>
          <w:rFonts w:asciiTheme="majorHAnsi" w:hAnsiTheme="majorHAnsi"/>
          <w:sz w:val="20"/>
          <w:szCs w:val="20"/>
          <w:lang w:eastAsia="fr-FR"/>
        </w:rPr>
        <w:t>: women field staff with male supervisor, work in isolation at the branch level, culture in the region/country</w:t>
      </w:r>
    </w:p>
    <w:p w14:paraId="13AE859C" w14:textId="77777777" w:rsidR="00CE3871" w:rsidRPr="00A608EE" w:rsidRDefault="00CE3871" w:rsidP="00A27AAA">
      <w:pPr>
        <w:numPr>
          <w:ilvl w:val="0"/>
          <w:numId w:val="289"/>
        </w:numPr>
        <w:jc w:val="both"/>
        <w:rPr>
          <w:rFonts w:asciiTheme="majorHAnsi" w:hAnsiTheme="majorHAnsi"/>
          <w:sz w:val="20"/>
          <w:szCs w:val="20"/>
          <w:lang w:eastAsia="fr-FR"/>
        </w:rPr>
      </w:pPr>
      <w:r w:rsidRPr="00A608EE">
        <w:rPr>
          <w:rFonts w:asciiTheme="majorHAnsi" w:hAnsiTheme="majorHAnsi"/>
          <w:sz w:val="20"/>
          <w:szCs w:val="20"/>
          <w:u w:val="single"/>
          <w:lang w:eastAsia="fr-FR"/>
        </w:rPr>
        <w:t>For 5.A.1.1.6</w:t>
      </w:r>
      <w:r w:rsidRPr="00A608EE">
        <w:rPr>
          <w:rFonts w:asciiTheme="majorHAnsi" w:hAnsiTheme="majorHAnsi"/>
          <w:sz w:val="20"/>
          <w:szCs w:val="20"/>
          <w:lang w:eastAsia="fr-FR"/>
        </w:rPr>
        <w:t>: non-respect of local right of notice, cases of abusive dismissals</w:t>
      </w:r>
    </w:p>
    <w:p w14:paraId="09C52ABC" w14:textId="77777777" w:rsidR="00CE3871" w:rsidRPr="00A608EE" w:rsidRDefault="00CE3871" w:rsidP="00EE208A">
      <w:pPr>
        <w:jc w:val="both"/>
        <w:rPr>
          <w:rFonts w:asciiTheme="majorHAnsi" w:hAnsiTheme="majorHAnsi"/>
          <w:sz w:val="20"/>
          <w:szCs w:val="20"/>
          <w:lang w:eastAsia="fr-FR"/>
        </w:rPr>
      </w:pPr>
    </w:p>
    <w:p w14:paraId="29487F13" w14:textId="5AC9C631" w:rsidR="00CE3871" w:rsidRPr="00A608EE" w:rsidRDefault="00CE387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Field examples / Guidance for implementation</w:t>
      </w:r>
    </w:p>
    <w:p w14:paraId="5D3FC7BA" w14:textId="77777777" w:rsidR="00CE3871" w:rsidRPr="00A608EE" w:rsidRDefault="00CE3871" w:rsidP="00A27AAA">
      <w:pPr>
        <w:numPr>
          <w:ilvl w:val="0"/>
          <w:numId w:val="290"/>
        </w:numPr>
        <w:jc w:val="both"/>
        <w:rPr>
          <w:rFonts w:asciiTheme="majorHAnsi" w:hAnsiTheme="majorHAnsi"/>
          <w:sz w:val="20"/>
          <w:szCs w:val="20"/>
          <w:lang w:eastAsia="fr-FR"/>
        </w:rPr>
      </w:pPr>
      <w:hyperlink r:id="rId242" w:history="1">
        <w:r w:rsidRPr="00A608EE">
          <w:rPr>
            <w:rStyle w:val="Hyperlink"/>
            <w:rFonts w:asciiTheme="majorHAnsi" w:hAnsiTheme="majorHAnsi"/>
            <w:sz w:val="20"/>
            <w:szCs w:val="20"/>
            <w:lang w:eastAsia="fr-FR"/>
          </w:rPr>
          <w:t>Guidance for USSEPM-ALIGNED HR</w:t>
        </w:r>
      </w:hyperlink>
    </w:p>
    <w:p w14:paraId="4E0CC40B" w14:textId="77777777" w:rsidR="00CE3871" w:rsidRPr="00A608EE" w:rsidRDefault="00CE3871" w:rsidP="00EE208A">
      <w:pPr>
        <w:jc w:val="both"/>
        <w:rPr>
          <w:rFonts w:asciiTheme="majorHAnsi" w:hAnsiTheme="majorHAnsi"/>
          <w:sz w:val="20"/>
          <w:szCs w:val="20"/>
          <w:lang w:eastAsia="fr-FR"/>
        </w:rPr>
      </w:pPr>
    </w:p>
    <w:p w14:paraId="72DE23E0" w14:textId="0FCD323B" w:rsidR="00CE3871" w:rsidRPr="00A608EE" w:rsidRDefault="00CE3871" w:rsidP="00EE208A">
      <w:pPr>
        <w:jc w:val="both"/>
        <w:rPr>
          <w:rFonts w:asciiTheme="majorHAnsi" w:hAnsiTheme="majorHAnsi"/>
          <w:b/>
          <w:bCs/>
          <w:sz w:val="20"/>
          <w:szCs w:val="20"/>
          <w:lang w:eastAsia="fr-FR"/>
        </w:rPr>
      </w:pPr>
      <w:bookmarkStart w:id="88" w:name="_Hlk204948317"/>
      <w:r w:rsidRPr="00A608EE">
        <w:rPr>
          <w:rFonts w:asciiTheme="majorHAnsi" w:hAnsiTheme="majorHAnsi"/>
          <w:b/>
          <w:bCs/>
          <w:sz w:val="20"/>
          <w:szCs w:val="20"/>
          <w:lang w:eastAsia="fr-FR"/>
        </w:rPr>
        <w:t>Resources for indicator 5.A.1.1</w:t>
      </w:r>
    </w:p>
    <w:p w14:paraId="5AF21CA7" w14:textId="77777777" w:rsidR="00CE3871" w:rsidRPr="00A608EE" w:rsidRDefault="00CE3871" w:rsidP="00A27AAA">
      <w:pPr>
        <w:numPr>
          <w:ilvl w:val="0"/>
          <w:numId w:val="291"/>
        </w:numPr>
        <w:jc w:val="both"/>
        <w:rPr>
          <w:rFonts w:asciiTheme="majorHAnsi" w:hAnsiTheme="majorHAnsi"/>
          <w:sz w:val="20"/>
          <w:szCs w:val="20"/>
          <w:lang w:eastAsia="fr-FR"/>
        </w:rPr>
      </w:pPr>
      <w:hyperlink r:id="rId243" w:tgtFrame="_blank" w:history="1">
        <w:r w:rsidRPr="00A608EE">
          <w:rPr>
            <w:rStyle w:val="Hyperlink"/>
            <w:rFonts w:asciiTheme="majorHAnsi" w:hAnsiTheme="majorHAnsi"/>
            <w:sz w:val="20"/>
            <w:szCs w:val="20"/>
            <w:lang w:eastAsia="fr-FR"/>
          </w:rPr>
          <w:t>MicroLoan Foundation Whistleblower Policy</w:t>
        </w:r>
      </w:hyperlink>
    </w:p>
    <w:p w14:paraId="1542228A" w14:textId="77777777" w:rsidR="00CE3871" w:rsidRPr="00A608EE" w:rsidRDefault="00CE3871" w:rsidP="00A27AAA">
      <w:pPr>
        <w:numPr>
          <w:ilvl w:val="0"/>
          <w:numId w:val="291"/>
        </w:numPr>
        <w:jc w:val="both"/>
        <w:rPr>
          <w:rFonts w:asciiTheme="majorHAnsi" w:hAnsiTheme="majorHAnsi"/>
          <w:sz w:val="20"/>
          <w:szCs w:val="20"/>
          <w:lang w:eastAsia="fr-FR"/>
        </w:rPr>
      </w:pPr>
      <w:hyperlink r:id="rId244" w:tgtFrame="_blank" w:history="1">
        <w:r w:rsidRPr="00A608EE">
          <w:rPr>
            <w:rStyle w:val="Hyperlink"/>
            <w:rFonts w:asciiTheme="majorHAnsi" w:hAnsiTheme="majorHAnsi"/>
            <w:sz w:val="20"/>
            <w:szCs w:val="20"/>
            <w:lang w:eastAsia="fr-FR"/>
          </w:rPr>
          <w:t>Creditaccess Grameen Whistleblower Policy</w:t>
        </w:r>
      </w:hyperlink>
    </w:p>
    <w:p w14:paraId="196CC04E" w14:textId="77777777" w:rsidR="00D62CA9" w:rsidRPr="00A608EE" w:rsidRDefault="00D62CA9" w:rsidP="00A27AAA">
      <w:pPr>
        <w:pStyle w:val="ListParagraph"/>
        <w:numPr>
          <w:ilvl w:val="0"/>
          <w:numId w:val="291"/>
        </w:numPr>
        <w:spacing w:after="0"/>
        <w:ind w:left="714" w:hanging="357"/>
        <w:contextualSpacing w:val="0"/>
        <w:jc w:val="both"/>
        <w:rPr>
          <w:rFonts w:asciiTheme="majorHAnsi" w:eastAsia="Times New Roman" w:hAnsiTheme="majorHAnsi" w:cs="Times New Roman"/>
          <w:szCs w:val="20"/>
          <w:lang w:eastAsia="fr-FR"/>
        </w:rPr>
      </w:pPr>
      <w:r w:rsidRPr="00A608EE">
        <w:rPr>
          <w:rFonts w:asciiTheme="majorHAnsi" w:hAnsiTheme="majorHAnsi"/>
          <w:b/>
          <w:bCs/>
          <w:szCs w:val="20"/>
          <w:lang w:eastAsia="fr-FR"/>
        </w:rPr>
        <w:t xml:space="preserve">[DI Focus]: </w:t>
      </w:r>
      <w:hyperlink r:id="rId245" w:history="1">
        <w:r w:rsidRPr="00A608EE">
          <w:rPr>
            <w:rStyle w:val="Hyperlink"/>
            <w:rFonts w:asciiTheme="majorHAnsi" w:hAnsiTheme="majorHAnsi"/>
            <w:szCs w:val="20"/>
            <w:lang w:eastAsia="fr-FR"/>
          </w:rPr>
          <w:t>ILO ‘Promoting Diversity and Inclusion through Workplace Adjustments: a Practical Guide’: guidance proving reasonable accommodation in the workplace, including an example policy on reasonable accommodation.</w:t>
        </w:r>
      </w:hyperlink>
    </w:p>
    <w:p w14:paraId="0AAE5402" w14:textId="36C4279B" w:rsidR="00AF3865" w:rsidRPr="00A608EE" w:rsidRDefault="00AF3865" w:rsidP="00A27AAA">
      <w:pPr>
        <w:pStyle w:val="ListParagraph"/>
        <w:numPr>
          <w:ilvl w:val="0"/>
          <w:numId w:val="291"/>
        </w:numPr>
        <w:spacing w:after="0"/>
        <w:ind w:left="714" w:hanging="357"/>
        <w:contextualSpacing w:val="0"/>
        <w:jc w:val="both"/>
        <w:rPr>
          <w:rFonts w:asciiTheme="majorHAnsi" w:eastAsia="Times New Roman" w:hAnsiTheme="majorHAnsi" w:cs="Times New Roman"/>
          <w:szCs w:val="20"/>
          <w:lang w:eastAsia="fr-FR"/>
        </w:rPr>
      </w:pPr>
      <w:r w:rsidRPr="00A608EE">
        <w:rPr>
          <w:rFonts w:asciiTheme="majorHAnsi" w:hAnsiTheme="majorHAnsi"/>
          <w:b/>
          <w:bCs/>
          <w:szCs w:val="20"/>
          <w:lang w:eastAsia="fr-FR"/>
        </w:rPr>
        <w:lastRenderedPageBreak/>
        <w:t>[DI Focus]:</w:t>
      </w:r>
      <w:r w:rsidRPr="00A608EE">
        <w:rPr>
          <w:rFonts w:asciiTheme="majorHAnsi" w:hAnsiTheme="majorHAnsi"/>
          <w:szCs w:val="20"/>
          <w:lang w:eastAsia="fr-FR"/>
        </w:rPr>
        <w:t xml:space="preserve"> </w:t>
      </w:r>
      <w:hyperlink r:id="rId246" w:history="1">
        <w:r w:rsidRPr="00A608EE">
          <w:rPr>
            <w:rStyle w:val="Hyperlink"/>
            <w:rFonts w:asciiTheme="majorHAnsi" w:hAnsiTheme="majorHAnsi"/>
            <w:szCs w:val="20"/>
            <w:lang w:eastAsia="fr-FR"/>
          </w:rPr>
          <w:t xml:space="preserve">Inclusive Futures, </w:t>
        </w:r>
        <w:r w:rsidR="00EE0ECB" w:rsidRPr="00A608EE">
          <w:rPr>
            <w:rStyle w:val="Hyperlink"/>
            <w:rFonts w:asciiTheme="majorHAnsi" w:hAnsiTheme="majorHAnsi"/>
            <w:szCs w:val="20"/>
            <w:lang w:eastAsia="fr-FR"/>
          </w:rPr>
          <w:t>‘</w:t>
        </w:r>
        <w:r w:rsidRPr="00A608EE">
          <w:rPr>
            <w:rStyle w:val="Hyperlink"/>
            <w:rFonts w:asciiTheme="majorHAnsi" w:hAnsiTheme="majorHAnsi"/>
            <w:szCs w:val="20"/>
            <w:lang w:eastAsia="fr-FR"/>
          </w:rPr>
          <w:t>The disability-confident employers’ toolkit</w:t>
        </w:r>
        <w:r w:rsidR="00EE0ECB" w:rsidRPr="00A608EE">
          <w:rPr>
            <w:rStyle w:val="Hyperlink"/>
            <w:rFonts w:asciiTheme="majorHAnsi" w:hAnsiTheme="majorHAnsi"/>
            <w:szCs w:val="20"/>
            <w:lang w:eastAsia="fr-FR"/>
          </w:rPr>
          <w:t>’</w:t>
        </w:r>
        <w:r w:rsidRPr="00A608EE">
          <w:rPr>
            <w:rStyle w:val="Hyperlink"/>
            <w:rFonts w:asciiTheme="majorHAnsi" w:hAnsiTheme="majorHAnsi"/>
            <w:szCs w:val="20"/>
            <w:lang w:eastAsia="fr-FR"/>
          </w:rPr>
          <w:t xml:space="preserve">: practical tools </w:t>
        </w:r>
        <w:r w:rsidR="00EE0ECB" w:rsidRPr="00A608EE">
          <w:rPr>
            <w:rStyle w:val="Hyperlink"/>
            <w:rFonts w:asciiTheme="majorHAnsi" w:hAnsiTheme="majorHAnsi"/>
            <w:szCs w:val="20"/>
            <w:lang w:eastAsia="fr-FR"/>
          </w:rPr>
          <w:t xml:space="preserve">and </w:t>
        </w:r>
        <w:r w:rsidR="00EE0ECB" w:rsidRPr="00A608EE">
          <w:rPr>
            <w:rStyle w:val="Hyperlink"/>
            <w:rFonts w:asciiTheme="majorHAnsi" w:eastAsia="Times New Roman" w:hAnsiTheme="majorHAnsi" w:cs="Times New Roman"/>
            <w:szCs w:val="20"/>
            <w:lang w:eastAsia="fr-FR"/>
          </w:rPr>
          <w:t xml:space="preserve">resources on including persons with disabilities in the workplace, </w:t>
        </w:r>
        <w:r w:rsidRPr="00A608EE">
          <w:rPr>
            <w:rStyle w:val="Hyperlink"/>
            <w:rFonts w:asciiTheme="majorHAnsi" w:eastAsia="Times New Roman" w:hAnsiTheme="majorHAnsi" w:cs="Times New Roman"/>
            <w:szCs w:val="20"/>
            <w:lang w:eastAsia="fr-FR"/>
          </w:rPr>
          <w:t>including inclusive recruitment guide</w:t>
        </w:r>
        <w:r w:rsidR="00D62CA9" w:rsidRPr="00A608EE">
          <w:rPr>
            <w:rStyle w:val="Hyperlink"/>
            <w:rFonts w:asciiTheme="majorHAnsi" w:eastAsia="Times New Roman" w:hAnsiTheme="majorHAnsi" w:cs="Times New Roman"/>
            <w:szCs w:val="20"/>
            <w:lang w:eastAsia="fr-FR"/>
          </w:rPr>
          <w:t>lines</w:t>
        </w:r>
        <w:r w:rsidRPr="00A608EE">
          <w:rPr>
            <w:rStyle w:val="Hyperlink"/>
            <w:rFonts w:asciiTheme="majorHAnsi" w:eastAsia="Times New Roman" w:hAnsiTheme="majorHAnsi" w:cs="Times New Roman"/>
            <w:szCs w:val="20"/>
            <w:lang w:eastAsia="fr-FR"/>
          </w:rPr>
          <w:t xml:space="preserve">, </w:t>
        </w:r>
        <w:r w:rsidR="00EE0ECB" w:rsidRPr="00A608EE">
          <w:rPr>
            <w:rStyle w:val="Hyperlink"/>
            <w:rFonts w:asciiTheme="majorHAnsi" w:eastAsia="Times New Roman" w:hAnsiTheme="majorHAnsi" w:cs="Times New Roman"/>
            <w:szCs w:val="20"/>
            <w:lang w:eastAsia="fr-FR"/>
          </w:rPr>
          <w:t xml:space="preserve">and checklists for </w:t>
        </w:r>
        <w:r w:rsidRPr="00A608EE">
          <w:rPr>
            <w:rStyle w:val="Hyperlink"/>
            <w:rFonts w:asciiTheme="majorHAnsi" w:eastAsia="Times New Roman" w:hAnsiTheme="majorHAnsi" w:cs="Times New Roman"/>
            <w:szCs w:val="20"/>
            <w:lang w:eastAsia="fr-FR"/>
          </w:rPr>
          <w:t>workplace accessibility audit</w:t>
        </w:r>
        <w:r w:rsidR="00EE0ECB" w:rsidRPr="00A608EE">
          <w:rPr>
            <w:rStyle w:val="Hyperlink"/>
            <w:rFonts w:asciiTheme="majorHAnsi" w:eastAsia="Times New Roman" w:hAnsiTheme="majorHAnsi" w:cs="Times New Roman"/>
            <w:szCs w:val="20"/>
            <w:lang w:eastAsia="fr-FR"/>
          </w:rPr>
          <w:t>s.</w:t>
        </w:r>
      </w:hyperlink>
    </w:p>
    <w:p w14:paraId="2A989B77" w14:textId="28262D60" w:rsidR="00D62CA9" w:rsidRPr="00A608EE" w:rsidRDefault="00D62CA9" w:rsidP="00A27AAA">
      <w:pPr>
        <w:pStyle w:val="ListParagraph"/>
        <w:numPr>
          <w:ilvl w:val="0"/>
          <w:numId w:val="291"/>
        </w:numPr>
        <w:rPr>
          <w:rFonts w:asciiTheme="majorHAnsi" w:eastAsia="Times New Roman" w:hAnsiTheme="majorHAnsi" w:cs="Times New Roman"/>
          <w:szCs w:val="20"/>
          <w:lang w:eastAsia="fr-FR"/>
        </w:rPr>
      </w:pPr>
      <w:r w:rsidRPr="00A608EE">
        <w:rPr>
          <w:rFonts w:asciiTheme="majorHAnsi" w:eastAsia="Times New Roman" w:hAnsiTheme="majorHAnsi" w:cs="Times New Roman"/>
          <w:b/>
          <w:bCs/>
          <w:szCs w:val="20"/>
          <w:lang w:eastAsia="fr-FR"/>
        </w:rPr>
        <w:t>[DI Focus]:</w:t>
      </w:r>
      <w:r w:rsidRPr="00A608EE">
        <w:rPr>
          <w:rFonts w:asciiTheme="majorHAnsi" w:eastAsia="Times New Roman" w:hAnsiTheme="majorHAnsi" w:cs="Times New Roman"/>
          <w:szCs w:val="20"/>
          <w:lang w:eastAsia="fr-FR"/>
        </w:rPr>
        <w:t xml:space="preserve"> </w:t>
      </w:r>
      <w:hyperlink r:id="rId247" w:history="1">
        <w:r w:rsidRPr="00A608EE">
          <w:rPr>
            <w:rStyle w:val="Hyperlink"/>
            <w:rFonts w:asciiTheme="majorHAnsi" w:eastAsia="Times New Roman" w:hAnsiTheme="majorHAnsi" w:cs="Times New Roman"/>
            <w:szCs w:val="20"/>
            <w:lang w:eastAsia="fr-FR"/>
          </w:rPr>
          <w:t>Humanity &amp; Inclusion (HI), Inclusive Employer Toolbox: factsheets and practice guides, including inclusive recruitment processes and reasonable accommodation</w:t>
        </w:r>
      </w:hyperlink>
      <w:r w:rsidRPr="00A608EE">
        <w:rPr>
          <w:rFonts w:asciiTheme="majorHAnsi" w:eastAsia="Times New Roman" w:hAnsiTheme="majorHAnsi" w:cs="Times New Roman"/>
          <w:szCs w:val="20"/>
          <w:lang w:eastAsia="fr-FR"/>
        </w:rPr>
        <w:t xml:space="preserve"> </w:t>
      </w:r>
    </w:p>
    <w:p w14:paraId="664DFF45" w14:textId="5FB3FB4E" w:rsidR="00EE0ECB" w:rsidRPr="00A608EE" w:rsidRDefault="00EE0ECB" w:rsidP="00A27AAA">
      <w:pPr>
        <w:pStyle w:val="ListParagraph"/>
        <w:numPr>
          <w:ilvl w:val="0"/>
          <w:numId w:val="291"/>
        </w:numPr>
        <w:rPr>
          <w:rFonts w:asciiTheme="majorHAnsi" w:hAnsiTheme="majorHAnsi"/>
          <w:szCs w:val="20"/>
          <w:lang w:eastAsia="fr-FR"/>
        </w:rPr>
      </w:pPr>
      <w:r w:rsidRPr="00A608EE">
        <w:rPr>
          <w:rFonts w:asciiTheme="majorHAnsi" w:hAnsiTheme="majorHAnsi"/>
          <w:b/>
          <w:bCs/>
          <w:szCs w:val="20"/>
          <w:lang w:eastAsia="fr-FR"/>
        </w:rPr>
        <w:t xml:space="preserve">[DI Focus[: </w:t>
      </w:r>
      <w:hyperlink r:id="rId248" w:history="1">
        <w:r w:rsidRPr="00A608EE">
          <w:rPr>
            <w:rStyle w:val="Hyperlink"/>
            <w:rFonts w:asciiTheme="majorHAnsi" w:hAnsiTheme="majorHAnsi"/>
            <w:szCs w:val="20"/>
            <w:lang w:eastAsia="fr-FR"/>
          </w:rPr>
          <w:t>International Finance Corporation (IFC) ‘Inclusive Banking: Emerging Practices to Advance the Economic Inclusion of Persons with Disabilities’: Includes examples and case studies on inclusive and targeted recruitment</w:t>
        </w:r>
      </w:hyperlink>
    </w:p>
    <w:p w14:paraId="2D93763B" w14:textId="2E65FCF9" w:rsidR="00B23185" w:rsidRPr="00A608EE" w:rsidRDefault="00D62CA9" w:rsidP="00A27AAA">
      <w:pPr>
        <w:pStyle w:val="ListParagraph"/>
        <w:numPr>
          <w:ilvl w:val="0"/>
          <w:numId w:val="291"/>
        </w:numPr>
        <w:rPr>
          <w:rFonts w:asciiTheme="majorHAnsi" w:hAnsiTheme="majorHAnsi"/>
          <w:szCs w:val="20"/>
          <w:lang w:eastAsia="fr-FR"/>
        </w:rPr>
      </w:pPr>
      <w:r w:rsidRPr="00A608EE">
        <w:rPr>
          <w:rFonts w:asciiTheme="majorHAnsi" w:hAnsiTheme="majorHAnsi"/>
          <w:b/>
          <w:bCs/>
          <w:szCs w:val="20"/>
          <w:lang w:eastAsia="fr-FR"/>
        </w:rPr>
        <w:t>[</w:t>
      </w:r>
      <w:bookmarkStart w:id="89" w:name="_Hlk227589358"/>
      <w:r w:rsidRPr="00A608EE">
        <w:rPr>
          <w:rFonts w:asciiTheme="majorHAnsi" w:hAnsiTheme="majorHAnsi"/>
          <w:b/>
          <w:bCs/>
          <w:szCs w:val="20"/>
          <w:lang w:eastAsia="fr-FR"/>
        </w:rPr>
        <w:t>DI Focus]:</w:t>
      </w:r>
      <w:r w:rsidRPr="00A608EE">
        <w:rPr>
          <w:rFonts w:asciiTheme="majorHAnsi" w:hAnsiTheme="majorHAnsi"/>
          <w:szCs w:val="20"/>
          <w:lang w:eastAsia="fr-FR"/>
        </w:rPr>
        <w:t xml:space="preserve"> </w:t>
      </w:r>
      <w:hyperlink r:id="rId249" w:history="1">
        <w:r w:rsidRPr="00A608EE">
          <w:rPr>
            <w:rStyle w:val="Hyperlink"/>
            <w:rFonts w:asciiTheme="majorHAnsi" w:hAnsiTheme="majorHAnsi"/>
            <w:szCs w:val="20"/>
            <w:lang w:eastAsia="fr-FR"/>
          </w:rPr>
          <w:t>Opportunity International’s ‘Workplace Accessibility Needs Assessment Form’, provides simple template for FSPs to identify accessibility needs of employees with disabilities</w:t>
        </w:r>
        <w:bookmarkEnd w:id="88"/>
      </w:hyperlink>
      <w:bookmarkEnd w:id="89"/>
    </w:p>
    <w:p w14:paraId="73301902" w14:textId="77777777" w:rsidR="007E2FAF" w:rsidRPr="00A608EE" w:rsidRDefault="007E2FAF" w:rsidP="00EE208A">
      <w:pPr>
        <w:jc w:val="both"/>
        <w:rPr>
          <w:rFonts w:asciiTheme="majorHAnsi" w:hAnsiTheme="majorHAnsi"/>
          <w:szCs w:val="20"/>
        </w:rPr>
      </w:pPr>
    </w:p>
    <w:p w14:paraId="4AE827A0" w14:textId="2FEF2D0A" w:rsidR="00DE0E45" w:rsidRPr="00A608EE" w:rsidRDefault="00713B24" w:rsidP="00EE208A">
      <w:pPr>
        <w:pStyle w:val="Heading4"/>
        <w:spacing w:before="0" w:line="240" w:lineRule="auto"/>
        <w:jc w:val="both"/>
      </w:pPr>
      <w:r w:rsidRPr="00A608EE">
        <w:rPr>
          <w:rStyle w:val="text-primary"/>
        </w:rPr>
        <w:t>5.A.1.3</w:t>
      </w:r>
      <w:r w:rsidRPr="00A608EE">
        <w:t xml:space="preserve"> </w:t>
      </w:r>
      <w:r w:rsidR="00153F2E" w:rsidRPr="00A608EE">
        <w:t>The provider’s non-discrimination policy towards employees covers all internationally recognized Protected Categories</w:t>
      </w:r>
      <w:r w:rsidR="00DE0E45" w:rsidRPr="00A608EE">
        <w:t xml:space="preserve">. </w:t>
      </w:r>
    </w:p>
    <w:p w14:paraId="10677F5F" w14:textId="77777777" w:rsidR="007E2FAF" w:rsidRPr="00A608EE" w:rsidRDefault="007E2FAF" w:rsidP="00EE208A">
      <w:pPr>
        <w:jc w:val="both"/>
        <w:rPr>
          <w:rFonts w:asciiTheme="majorHAnsi" w:hAnsiTheme="majorHAnsi"/>
          <w:b/>
          <w:szCs w:val="20"/>
        </w:rPr>
      </w:pPr>
    </w:p>
    <w:p w14:paraId="067B04D7" w14:textId="7D4E8757" w:rsidR="007E2FAF" w:rsidRPr="00A608EE" w:rsidRDefault="00E6366C"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7E2FAF" w:rsidRPr="00A608EE">
        <w:rPr>
          <w:rFonts w:asciiTheme="majorHAnsi" w:hAnsiTheme="majorHAnsi" w:cstheme="majorHAnsi"/>
          <w:b/>
          <w:bCs/>
          <w:color w:val="2145CC" w:themeColor="accent5" w:themeShade="BF"/>
          <w:sz w:val="20"/>
          <w:szCs w:val="20"/>
        </w:rPr>
        <w:t>ESG Risk</w:t>
      </w:r>
      <w:r w:rsidR="00856562" w:rsidRPr="00A608EE">
        <w:rPr>
          <w:rFonts w:asciiTheme="majorHAnsi" w:hAnsiTheme="majorHAnsi" w:cstheme="majorHAnsi"/>
          <w:b/>
          <w:bCs/>
          <w:color w:val="2145CC" w:themeColor="accent5" w:themeShade="BF"/>
          <w:sz w:val="20"/>
          <w:szCs w:val="20"/>
        </w:rPr>
        <w:t xml:space="preserve"> | </w:t>
      </w:r>
      <w:r w:rsidR="007E2FAF" w:rsidRPr="00A608EE">
        <w:rPr>
          <w:rFonts w:asciiTheme="majorHAnsi" w:hAnsiTheme="majorHAnsi" w:cstheme="majorHAnsi"/>
          <w:b/>
          <w:bCs/>
          <w:color w:val="2145CC" w:themeColor="accent5" w:themeShade="BF"/>
          <w:sz w:val="20"/>
          <w:szCs w:val="20"/>
        </w:rPr>
        <w:t>ALINUS</w:t>
      </w:r>
      <w:r w:rsidR="00856562" w:rsidRPr="00A608EE">
        <w:rPr>
          <w:rFonts w:asciiTheme="majorHAnsi" w:hAnsiTheme="majorHAnsi" w:cstheme="majorHAnsi"/>
          <w:b/>
          <w:bCs/>
          <w:color w:val="2145CC" w:themeColor="accent5" w:themeShade="BF"/>
          <w:sz w:val="20"/>
          <w:szCs w:val="20"/>
        </w:rPr>
        <w:t xml:space="preserve"> | </w:t>
      </w:r>
      <w:r w:rsidR="007E2FAF" w:rsidRPr="00A608EE">
        <w:rPr>
          <w:rFonts w:asciiTheme="majorHAnsi" w:hAnsiTheme="majorHAnsi" w:cstheme="majorHAnsi"/>
          <w:b/>
          <w:bCs/>
          <w:color w:val="2145CC" w:themeColor="accent5" w:themeShade="BF"/>
          <w:sz w:val="20"/>
          <w:szCs w:val="20"/>
        </w:rPr>
        <w:t>SPI5 Entry</w:t>
      </w:r>
      <w:r w:rsidR="00856562" w:rsidRPr="00A608EE">
        <w:rPr>
          <w:rFonts w:asciiTheme="majorHAnsi" w:hAnsiTheme="majorHAnsi" w:cstheme="majorHAnsi"/>
          <w:b/>
          <w:bCs/>
          <w:color w:val="2145CC" w:themeColor="accent5" w:themeShade="BF"/>
          <w:sz w:val="20"/>
          <w:szCs w:val="20"/>
        </w:rPr>
        <w:t xml:space="preserve"> | </w:t>
      </w:r>
      <w:r w:rsidR="007E2FAF"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3624ADA8" w14:textId="6F4E5EA9" w:rsidR="007E2FAF" w:rsidRPr="00A608EE" w:rsidRDefault="00567651"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476FB3C9" w14:textId="5205E666" w:rsidR="007E2FAF" w:rsidRPr="00A608EE" w:rsidRDefault="00DC2003" w:rsidP="00EE208A">
      <w:pPr>
        <w:pStyle w:val="NormalWeb"/>
        <w:spacing w:before="0" w:beforeAutospacing="0" w:after="0" w:afterAutospacing="0"/>
        <w:jc w:val="both"/>
        <w:rPr>
          <w:rFonts w:asciiTheme="majorHAnsi" w:hAnsiTheme="majorHAnsi"/>
          <w:i/>
          <w:iCs/>
          <w:sz w:val="20"/>
          <w:szCs w:val="20"/>
        </w:rPr>
      </w:pPr>
      <w:r w:rsidRPr="00A608EE">
        <w:rPr>
          <w:rFonts w:asciiTheme="majorHAnsi" w:hAnsiTheme="majorHAnsi"/>
          <w:i/>
          <w:iCs/>
          <w:sz w:val="20"/>
          <w:szCs w:val="20"/>
        </w:rPr>
        <w:t>[Note: Protected Categories are as follows: People over 40 years old; Sex; Race/ethnicity/national extraction/social origin/caste; Religion; Health status, including HIV status; Disability; Sexual orientation; Political affiliation/opinion; Civil/marital status; Participation in a trade union.]</w:t>
      </w:r>
    </w:p>
    <w:p w14:paraId="7F1DA927"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48788785"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Responsible providers must offer equal access to jobs, promotion and trainings is key to being a responsible organization. They should have a ‘non-discrimination policy’ which describes employee’s rights to fair and equal treatment regardless of the employee’s (1) age, (2) sex, (3) race/ethnicity/national extraction/social origin/caste, (4) religion, (5) health status, including HIV status, (6) disability, (7) sexual orientation; (8) political affiliation/opinion, (9) civil/marital status, and (10) participation in a trade union.</w:t>
      </w:r>
    </w:p>
    <w:p w14:paraId="58C43068"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63D634A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85568" behindDoc="1" locked="0" layoutInCell="1" allowOverlap="1" wp14:anchorId="2BAFFC6F" wp14:editId="0D6DB890">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508145983"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8CE0D05"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0652A7C7" w14:textId="1C100803" w:rsidR="00567651" w:rsidRPr="00A608EE" w:rsidRDefault="00FC6779"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F685E" w:rsidRPr="00A608EE">
        <w:rPr>
          <w:rFonts w:asciiTheme="majorHAnsi" w:hAnsiTheme="majorHAnsi"/>
          <w:sz w:val="20"/>
          <w:szCs w:val="20"/>
        </w:rPr>
        <w:t>The provider’s non-discrimination policy towards employees covers persons with disabilities, and includes the requirement to provide reasonable accommodations to enable persons with disabilities to participate in the workforce on an equal basis with others.</w:t>
      </w:r>
    </w:p>
    <w:p w14:paraId="18864972" w14:textId="77777777" w:rsidR="003775F2" w:rsidRPr="00A608EE" w:rsidRDefault="003775F2" w:rsidP="00EE208A">
      <w:pPr>
        <w:pStyle w:val="NormalWeb"/>
        <w:spacing w:before="0" w:beforeAutospacing="0" w:after="0" w:afterAutospacing="0"/>
        <w:jc w:val="both"/>
        <w:rPr>
          <w:rFonts w:asciiTheme="majorHAnsi" w:hAnsiTheme="majorHAnsi"/>
          <w:sz w:val="20"/>
          <w:szCs w:val="20"/>
        </w:rPr>
      </w:pPr>
    </w:p>
    <w:p w14:paraId="20236FE9" w14:textId="1FFCC5C5" w:rsidR="003775F2" w:rsidRPr="00A608EE" w:rsidRDefault="0017436F" w:rsidP="0017436F">
      <w:pPr>
        <w:jc w:val="both"/>
        <w:rPr>
          <w:rFonts w:asciiTheme="majorHAnsi" w:hAnsiTheme="majorHAnsi"/>
          <w:sz w:val="20"/>
          <w:szCs w:val="20"/>
          <w:lang w:eastAsia="fr-FR"/>
        </w:rPr>
      </w:pPr>
      <w:r w:rsidRPr="00A608EE">
        <w:rPr>
          <w:rFonts w:asciiTheme="majorHAnsi" w:hAnsiTheme="majorHAnsi"/>
          <w:sz w:val="20"/>
          <w:szCs w:val="20"/>
          <w:lang w:eastAsia="fr-FR"/>
        </w:rPr>
        <w:t>[See indicator 5.A.1.1 for</w:t>
      </w:r>
      <w:r w:rsidR="000C48E0" w:rsidRPr="00A608EE">
        <w:rPr>
          <w:rFonts w:asciiTheme="majorHAnsi" w:hAnsiTheme="majorHAnsi"/>
          <w:sz w:val="20"/>
          <w:szCs w:val="20"/>
          <w:lang w:eastAsia="fr-FR"/>
        </w:rPr>
        <w:t xml:space="preserve"> </w:t>
      </w:r>
      <w:r w:rsidR="00741AB2" w:rsidRPr="00A608EE">
        <w:rPr>
          <w:rFonts w:asciiTheme="majorHAnsi" w:hAnsiTheme="majorHAnsi"/>
          <w:sz w:val="20"/>
          <w:szCs w:val="20"/>
          <w:lang w:eastAsia="fr-FR"/>
        </w:rPr>
        <w:t xml:space="preserve">the </w:t>
      </w:r>
      <w:r w:rsidR="000C48E0" w:rsidRPr="00A608EE">
        <w:rPr>
          <w:rFonts w:asciiTheme="majorHAnsi" w:hAnsiTheme="majorHAnsi"/>
          <w:sz w:val="20"/>
          <w:szCs w:val="20"/>
          <w:lang w:eastAsia="fr-FR"/>
        </w:rPr>
        <w:t xml:space="preserve">definition and </w:t>
      </w:r>
      <w:r w:rsidRPr="00A608EE">
        <w:rPr>
          <w:rFonts w:asciiTheme="majorHAnsi" w:hAnsiTheme="majorHAnsi"/>
          <w:sz w:val="20"/>
          <w:szCs w:val="20"/>
          <w:lang w:eastAsia="fr-FR"/>
        </w:rPr>
        <w:t>information about reasonable accommodation]</w:t>
      </w:r>
    </w:p>
    <w:p w14:paraId="61D4F3A9" w14:textId="77777777" w:rsidR="003775F2" w:rsidRPr="00A608EE" w:rsidRDefault="003775F2" w:rsidP="00EE208A">
      <w:pPr>
        <w:pStyle w:val="NormalWeb"/>
        <w:spacing w:before="0" w:beforeAutospacing="0" w:after="0" w:afterAutospacing="0"/>
        <w:jc w:val="both"/>
        <w:rPr>
          <w:rFonts w:asciiTheme="majorHAnsi" w:hAnsiTheme="majorHAnsi"/>
          <w:b/>
          <w:bCs/>
          <w:sz w:val="20"/>
          <w:szCs w:val="20"/>
        </w:rPr>
      </w:pPr>
    </w:p>
    <w:p w14:paraId="52F3E7FC" w14:textId="44F16E53"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7217933F" w14:textId="77777777" w:rsidR="00DC2003" w:rsidRPr="00A608EE" w:rsidRDefault="00DC2003" w:rsidP="00A27AAA">
      <w:pPr>
        <w:pStyle w:val="NormalWeb"/>
        <w:numPr>
          <w:ilvl w:val="0"/>
          <w:numId w:val="29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w:t>
      </w:r>
    </w:p>
    <w:p w14:paraId="0D78DCE3" w14:textId="77777777" w:rsidR="00DC2003" w:rsidRPr="00A608EE" w:rsidRDefault="00DC2003" w:rsidP="00A27AAA">
      <w:pPr>
        <w:pStyle w:val="NormalWeb"/>
        <w:numPr>
          <w:ilvl w:val="1"/>
          <w:numId w:val="29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there is no single case of an employee being discriminated regarding any of the ten internationally recognized ‘Protected Categories’ over the past year,</w:t>
      </w:r>
    </w:p>
    <w:p w14:paraId="70BEB3D3" w14:textId="77777777" w:rsidR="00DC2003" w:rsidRPr="00A608EE" w:rsidRDefault="00DC2003" w:rsidP="00A27AAA">
      <w:pPr>
        <w:pStyle w:val="NormalWeb"/>
        <w:numPr>
          <w:ilvl w:val="1"/>
          <w:numId w:val="29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has a systematic process in place to comply with its ‘non-discrimination policy’ that is (a) formulated clearly with all ten ‘Protected Categories’ in the HR policy/ internal rules/ code of conduct, and (b) verified regularly by HR control and at least annual HR compliance audits, and</w:t>
      </w:r>
    </w:p>
    <w:p w14:paraId="5F058ACE" w14:textId="77777777" w:rsidR="00DC2003" w:rsidRPr="00A608EE" w:rsidRDefault="00DC2003" w:rsidP="00A27AAA">
      <w:pPr>
        <w:pStyle w:val="NormalWeb"/>
        <w:numPr>
          <w:ilvl w:val="1"/>
          <w:numId w:val="29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understood well by the employees.</w:t>
      </w:r>
    </w:p>
    <w:p w14:paraId="72AAE310" w14:textId="77777777" w:rsidR="00DC2003" w:rsidRPr="00A608EE" w:rsidRDefault="00DC2003" w:rsidP="00A27AAA">
      <w:pPr>
        <w:pStyle w:val="NormalWeb"/>
        <w:numPr>
          <w:ilvl w:val="0"/>
          <w:numId w:val="29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one of the three requirements is not met fully. For instance, (i) there is no single case of an employee being discriminated regarding any of the at least seven ‘Protected Categories’ according to the provider’s ‘non-discrimination policy’ over the past year </w:t>
      </w:r>
      <w:r w:rsidRPr="00A608EE">
        <w:rPr>
          <w:rFonts w:asciiTheme="majorHAnsi" w:hAnsiTheme="majorHAnsi"/>
          <w:sz w:val="20"/>
          <w:szCs w:val="20"/>
          <w:u w:val="single"/>
        </w:rPr>
        <w:t>and/or</w:t>
      </w:r>
      <w:r w:rsidRPr="00A608EE">
        <w:rPr>
          <w:rFonts w:asciiTheme="majorHAnsi" w:hAnsiTheme="majorHAnsi"/>
          <w:sz w:val="20"/>
          <w:szCs w:val="20"/>
        </w:rPr>
        <w:t> (ii) the latter comprises at least seven (incl. gender, race/ethnic/social origin, religion, civil status) out of the ten ‘Protected Categories’ </w:t>
      </w:r>
      <w:r w:rsidRPr="00A608EE">
        <w:rPr>
          <w:rFonts w:asciiTheme="majorHAnsi" w:hAnsiTheme="majorHAnsi"/>
          <w:sz w:val="20"/>
          <w:szCs w:val="20"/>
          <w:u w:val="single"/>
        </w:rPr>
        <w:t>and/or</w:t>
      </w:r>
      <w:r w:rsidRPr="00A608EE">
        <w:rPr>
          <w:rFonts w:asciiTheme="majorHAnsi" w:hAnsiTheme="majorHAnsi"/>
          <w:sz w:val="20"/>
          <w:szCs w:val="20"/>
        </w:rPr>
        <w:t> (iii) the ‘non-discrimination policy’ is not - or not clearly - formulated in the HR policy/ internal rules/ code of conduct </w:t>
      </w:r>
      <w:r w:rsidRPr="00A608EE">
        <w:rPr>
          <w:rFonts w:asciiTheme="majorHAnsi" w:hAnsiTheme="majorHAnsi"/>
          <w:sz w:val="20"/>
          <w:szCs w:val="20"/>
          <w:u w:val="single"/>
        </w:rPr>
        <w:t>and/or</w:t>
      </w:r>
      <w:r w:rsidRPr="00A608EE">
        <w:rPr>
          <w:rFonts w:asciiTheme="majorHAnsi" w:hAnsiTheme="majorHAnsi"/>
          <w:sz w:val="20"/>
          <w:szCs w:val="20"/>
        </w:rPr>
        <w:t xml:space="preserve"> (iv) some </w:t>
      </w:r>
      <w:r w:rsidRPr="00A608EE">
        <w:rPr>
          <w:rFonts w:asciiTheme="majorHAnsi" w:hAnsiTheme="majorHAnsi"/>
          <w:sz w:val="20"/>
          <w:szCs w:val="20"/>
        </w:rPr>
        <w:lastRenderedPageBreak/>
        <w:t>employees are not aware of it. The score is also ‘partially’, if the first requirement is met fully, but the second and/or third requirement is largely not met.</w:t>
      </w:r>
    </w:p>
    <w:p w14:paraId="20D5E20A" w14:textId="77777777" w:rsidR="00DC2003" w:rsidRPr="00A608EE" w:rsidRDefault="00DC2003" w:rsidP="00A27AAA">
      <w:pPr>
        <w:pStyle w:val="NormalWeb"/>
        <w:numPr>
          <w:ilvl w:val="0"/>
          <w:numId w:val="29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there is one or more cases of employees being discriminated regarding any of the at least seven ‘Protected Categories’ covered by the provider’s ‘non-discrimination policy’ over the past year or the provider has no ‘non-discrimination policy’ </w:t>
      </w:r>
      <w:r w:rsidRPr="00A608EE">
        <w:rPr>
          <w:rFonts w:asciiTheme="majorHAnsi" w:hAnsiTheme="majorHAnsi"/>
          <w:sz w:val="20"/>
          <w:szCs w:val="20"/>
          <w:u w:val="single"/>
        </w:rPr>
        <w:t>or it has no</w:t>
      </w:r>
      <w:r w:rsidRPr="00A608EE">
        <w:rPr>
          <w:rFonts w:asciiTheme="majorHAnsi" w:hAnsiTheme="majorHAnsi"/>
          <w:sz w:val="20"/>
          <w:szCs w:val="20"/>
        </w:rPr>
        <w:t> process in place to comply with its ‘non-discrimination policy’.</w:t>
      </w:r>
    </w:p>
    <w:p w14:paraId="67798475"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484D4B9C" w14:textId="5FE4CC2B"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585A7F6E" w14:textId="77777777" w:rsidR="00DC2003" w:rsidRPr="00A608EE" w:rsidRDefault="00DC2003" w:rsidP="00A27AAA">
      <w:pPr>
        <w:pStyle w:val="NormalWeb"/>
        <w:numPr>
          <w:ilvl w:val="0"/>
          <w:numId w:val="29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 code of conduct/code of ethics.</w:t>
      </w:r>
    </w:p>
    <w:p w14:paraId="22D77E0C" w14:textId="77777777" w:rsidR="00DC2003" w:rsidRPr="00A608EE" w:rsidRDefault="00DC2003" w:rsidP="00A27AAA">
      <w:pPr>
        <w:pStyle w:val="NormalWeb"/>
        <w:numPr>
          <w:ilvl w:val="0"/>
          <w:numId w:val="29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compliance audit reports, social audits or ratings, any HR assessments during the past year.</w:t>
      </w:r>
    </w:p>
    <w:p w14:paraId="400B5918" w14:textId="77777777" w:rsidR="00DC2003" w:rsidRPr="00A608EE" w:rsidRDefault="00DC2003" w:rsidP="00A27AAA">
      <w:pPr>
        <w:pStyle w:val="NormalWeb"/>
        <w:numPr>
          <w:ilvl w:val="0"/>
          <w:numId w:val="29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HR manager and employees at branches.</w:t>
      </w:r>
    </w:p>
    <w:p w14:paraId="6904FA35"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0E65B32E" w14:textId="3BDB597E"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6E97ADCC" w14:textId="77777777" w:rsidR="00DC2003" w:rsidRPr="00A608EE" w:rsidRDefault="00DC2003" w:rsidP="00A27AAA">
      <w:pPr>
        <w:pStyle w:val="NormalWeb"/>
        <w:numPr>
          <w:ilvl w:val="0"/>
          <w:numId w:val="29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chapter or page of the HR policy/code of conduct/internal rules where the information on non-discrimination is provided. Describe employees’ rights to fair and equal treatment regardless of the categories by providing examples on how it is managed (or not) for some key categories.</w:t>
      </w:r>
    </w:p>
    <w:p w14:paraId="4BF34CE4" w14:textId="77777777" w:rsidR="00DC2003" w:rsidRPr="00A608EE" w:rsidRDefault="00DC2003" w:rsidP="00A27AAA">
      <w:pPr>
        <w:pStyle w:val="NormalWeb"/>
        <w:numPr>
          <w:ilvl w:val="0"/>
          <w:numId w:val="29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National labor laws and regulations regarding the non-discrimination of employees.</w:t>
      </w:r>
    </w:p>
    <w:p w14:paraId="31F7D3D6"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4FD9A251" w14:textId="01A05291"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 some countries, discrimination linked to sexual orientation is not integrated into the law and will undoubtedly not be integrated by the provider. The indicator can be noted “partially” or no if the auditor wants to emphasize the rules at the international level, or it can be noted “yes” (if all other requirements apply) but specifying in the comments that this is not in line with international requirements.</w:t>
      </w:r>
    </w:p>
    <w:p w14:paraId="43703E49"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6B34CEF2" w14:textId="0B868A31"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5.A.1.3</w:t>
      </w:r>
    </w:p>
    <w:p w14:paraId="54A60F28" w14:textId="77777777" w:rsidR="00DC2003" w:rsidRPr="00A608EE" w:rsidRDefault="488500BF" w:rsidP="00A27AAA">
      <w:pPr>
        <w:numPr>
          <w:ilvl w:val="0"/>
          <w:numId w:val="27"/>
        </w:numPr>
        <w:jc w:val="both"/>
        <w:rPr>
          <w:sz w:val="20"/>
          <w:szCs w:val="20"/>
        </w:rPr>
      </w:pPr>
      <w:hyperlink r:id="rId250" w:history="1">
        <w:r w:rsidRPr="00A608EE">
          <w:rPr>
            <w:rStyle w:val="Hyperlink"/>
            <w:rFonts w:ascii="Work Sans" w:eastAsia="Work Sans" w:hAnsi="Work Sans" w:cs="Work Sans"/>
            <w:sz w:val="20"/>
            <w:szCs w:val="20"/>
          </w:rPr>
          <w:t>Fundación Paraguaya Nondiscrimination Policy</w:t>
        </w:r>
      </w:hyperlink>
    </w:p>
    <w:bookmarkStart w:id="90" w:name="_Hlk204948706"/>
    <w:p w14:paraId="0DBE69CE" w14:textId="2A6DE2E4" w:rsidR="00DC2003" w:rsidRPr="00A608EE" w:rsidRDefault="00DC2003" w:rsidP="00A27AAA">
      <w:pPr>
        <w:numPr>
          <w:ilvl w:val="0"/>
          <w:numId w:val="27"/>
        </w:numPr>
        <w:jc w:val="both"/>
        <w:rPr>
          <w:rStyle w:val="Hyperlink"/>
          <w:color w:val="auto"/>
          <w:sz w:val="20"/>
          <w:szCs w:val="20"/>
          <w:u w:val="none"/>
          <w:lang w:val="es-ES"/>
        </w:rPr>
      </w:pPr>
      <w:r w:rsidRPr="00A608EE">
        <w:rPr>
          <w:rStyle w:val="Hyperlink"/>
          <w:rFonts w:eastAsia="Work Sans" w:cs="Work Sans"/>
          <w:sz w:val="20"/>
          <w:szCs w:val="20"/>
        </w:rPr>
        <w:fldChar w:fldCharType="begin"/>
      </w:r>
      <w:r w:rsidRPr="00A608EE">
        <w:rPr>
          <w:rStyle w:val="Hyperlink"/>
          <w:rFonts w:eastAsia="Work Sans" w:cs="Work Sans"/>
          <w:sz w:val="20"/>
          <w:szCs w:val="20"/>
          <w:lang w:val="es-ES"/>
        </w:rPr>
        <w:instrText>HYPERLINK "https://en.spi-online.org/files/ressources/Dimension%205/921%20Pol%C3%ADtica%20de%20no%20discriminaci%C3%B3n%20Fundaci%C3%B3n%20Paraguaya.pdf" \t "_blank"</w:instrText>
      </w:r>
      <w:r w:rsidRPr="00A608EE">
        <w:rPr>
          <w:rStyle w:val="Hyperlink"/>
          <w:rFonts w:eastAsia="Work Sans" w:cs="Work Sans"/>
          <w:sz w:val="20"/>
          <w:szCs w:val="20"/>
        </w:rPr>
      </w:r>
      <w:r w:rsidRPr="00A608EE">
        <w:rPr>
          <w:rStyle w:val="Hyperlink"/>
          <w:rFonts w:eastAsia="Work Sans" w:cs="Work Sans"/>
          <w:sz w:val="20"/>
          <w:szCs w:val="20"/>
        </w:rPr>
        <w:fldChar w:fldCharType="separate"/>
      </w:r>
      <w:r w:rsidRPr="00A608EE">
        <w:rPr>
          <w:rStyle w:val="Hyperlink"/>
          <w:rFonts w:ascii="Work Sans" w:eastAsia="Work Sans" w:hAnsi="Work Sans" w:cs="Work Sans"/>
          <w:sz w:val="20"/>
          <w:szCs w:val="20"/>
          <w:lang w:val="es-ES"/>
        </w:rPr>
        <w:t>Política de no discriminación Fundación Paraguaya</w:t>
      </w:r>
      <w:r w:rsidRPr="00A608EE">
        <w:rPr>
          <w:rStyle w:val="Hyperlink"/>
          <w:rFonts w:eastAsia="Work Sans" w:cs="Work Sans"/>
          <w:sz w:val="20"/>
          <w:szCs w:val="20"/>
        </w:rPr>
        <w:fldChar w:fldCharType="end"/>
      </w:r>
    </w:p>
    <w:bookmarkEnd w:id="90"/>
    <w:p w14:paraId="08891A21" w14:textId="77777777" w:rsidR="00B23185" w:rsidRPr="00A608EE" w:rsidRDefault="00B23185" w:rsidP="00EE208A">
      <w:pPr>
        <w:jc w:val="both"/>
        <w:rPr>
          <w:rFonts w:asciiTheme="majorHAnsi" w:hAnsiTheme="majorHAnsi"/>
          <w:szCs w:val="20"/>
          <w:lang w:val="es-ES"/>
        </w:rPr>
      </w:pPr>
    </w:p>
    <w:p w14:paraId="755B14C0" w14:textId="77777777" w:rsidR="00936597" w:rsidRPr="00A608EE" w:rsidRDefault="00936597" w:rsidP="00EE208A">
      <w:pPr>
        <w:jc w:val="both"/>
        <w:rPr>
          <w:rFonts w:asciiTheme="majorHAnsi" w:hAnsiTheme="majorHAnsi"/>
          <w:szCs w:val="20"/>
          <w:lang w:val="es-ES"/>
        </w:rPr>
      </w:pPr>
    </w:p>
    <w:p w14:paraId="70FCBEE1" w14:textId="45492323" w:rsidR="00E35A31" w:rsidRPr="00A608EE" w:rsidRDefault="00713B24" w:rsidP="00EE208A">
      <w:pPr>
        <w:pStyle w:val="Heading4"/>
        <w:spacing w:before="0" w:line="240" w:lineRule="auto"/>
        <w:jc w:val="both"/>
      </w:pPr>
      <w:r w:rsidRPr="00A608EE">
        <w:rPr>
          <w:rStyle w:val="text-primary"/>
        </w:rPr>
        <w:t>5.A.1.4</w:t>
      </w:r>
      <w:r w:rsidRPr="00A608EE">
        <w:t xml:space="preserve"> </w:t>
      </w:r>
      <w:r w:rsidR="00DC2003" w:rsidRPr="00A608EE">
        <w:t>The provider analyzes employee data by gender and job position to check that men and women are equally represented at different levels of the organization</w:t>
      </w:r>
      <w:r w:rsidR="000E779B" w:rsidRPr="00A608EE">
        <w:t>.</w:t>
      </w:r>
    </w:p>
    <w:p w14:paraId="04D1CE75" w14:textId="77777777" w:rsidR="000E779B" w:rsidRPr="00A608EE" w:rsidRDefault="000E779B" w:rsidP="00EE208A">
      <w:pPr>
        <w:jc w:val="both"/>
      </w:pPr>
    </w:p>
    <w:p w14:paraId="5FF6BEA1" w14:textId="37FF9098" w:rsidR="00936597" w:rsidRPr="00A608EE" w:rsidRDefault="00E6366C"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936597" w:rsidRPr="00A608EE">
        <w:rPr>
          <w:rFonts w:asciiTheme="majorHAnsi" w:hAnsiTheme="majorHAnsi" w:cstheme="majorHAnsi"/>
          <w:b/>
          <w:bCs/>
          <w:color w:val="2145CC" w:themeColor="accent5" w:themeShade="BF"/>
          <w:sz w:val="20"/>
          <w:szCs w:val="20"/>
        </w:rPr>
        <w:t>SPI5 Entry</w:t>
      </w:r>
      <w:r w:rsidR="00856562" w:rsidRPr="00A608EE">
        <w:rPr>
          <w:rFonts w:asciiTheme="majorHAnsi" w:hAnsiTheme="majorHAnsi" w:cstheme="majorHAnsi"/>
          <w:b/>
          <w:bCs/>
          <w:color w:val="2145CC" w:themeColor="accent5" w:themeShade="BF"/>
          <w:sz w:val="20"/>
          <w:szCs w:val="20"/>
        </w:rPr>
        <w:t xml:space="preserve"> | </w:t>
      </w:r>
      <w:r w:rsidR="00936597"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7F818B44" w14:textId="2C926E0F" w:rsidR="00936597" w:rsidRPr="00A608EE" w:rsidRDefault="00567651" w:rsidP="003A06B6">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4067F96C" w14:textId="19C33D07" w:rsidR="00567651"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To ensure equal representation of men and women, providers need to analyze job position by gender to understand representation at the different positions (field staff, back office, middle management, senior management) and whether gender discrepancies exist at the different organizational levels. Where such discrepancies exist, providers should address the problem openly with employees and adjust recruitment/ promotions accordingly.</w:t>
      </w:r>
    </w:p>
    <w:p w14:paraId="7B5DCE37"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28D1DF4"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87616" behindDoc="1" locked="0" layoutInCell="1" allowOverlap="1" wp14:anchorId="1AC2CC12" wp14:editId="0150A244">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337684033"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5B9C37A"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1C896B93" w14:textId="690DAE32" w:rsidR="002C183A" w:rsidRPr="00A608EE" w:rsidRDefault="00386AB6" w:rsidP="00567651">
      <w:pPr>
        <w:pStyle w:val="paragraph"/>
        <w:spacing w:before="0" w:beforeAutospacing="0" w:after="0" w:afterAutospacing="0"/>
        <w:jc w:val="both"/>
        <w:textAlignment w:val="baseline"/>
      </w:pPr>
      <w:r w:rsidRPr="00A608EE">
        <w:rPr>
          <w:rFonts w:ascii="Work Sans" w:hAnsi="Work Sans"/>
          <w:b/>
          <w:bCs/>
          <w:sz w:val="20"/>
          <w:szCs w:val="20"/>
        </w:rPr>
        <w:t>DI Indicator:</w:t>
      </w:r>
      <w:r w:rsidRPr="00A608EE">
        <w:rPr>
          <w:rFonts w:ascii="Work Sans" w:hAnsi="Work Sans"/>
          <w:sz w:val="20"/>
          <w:szCs w:val="20"/>
        </w:rPr>
        <w:t xml:space="preserve"> </w:t>
      </w:r>
      <w:r w:rsidR="002C183A" w:rsidRPr="00A608EE">
        <w:rPr>
          <w:rFonts w:asciiTheme="majorHAnsi" w:hAnsiTheme="majorHAnsi"/>
          <w:sz w:val="20"/>
          <w:szCs w:val="20"/>
        </w:rPr>
        <w:t>The provider analyzes employee data by gender and disability status and job position to check that men and women are equally represented at different levels of the organization, including men and women with disabilities.</w:t>
      </w:r>
    </w:p>
    <w:p w14:paraId="5C8F516C" w14:textId="77777777" w:rsidR="00567651" w:rsidRPr="00A608EE" w:rsidRDefault="00567651" w:rsidP="00EE208A">
      <w:pPr>
        <w:pStyle w:val="NormalWeb"/>
        <w:spacing w:before="0" w:beforeAutospacing="0" w:after="0" w:afterAutospacing="0"/>
        <w:jc w:val="both"/>
        <w:rPr>
          <w:rFonts w:asciiTheme="majorHAnsi" w:hAnsiTheme="majorHAnsi"/>
          <w:sz w:val="20"/>
          <w:szCs w:val="20"/>
        </w:rPr>
      </w:pPr>
    </w:p>
    <w:p w14:paraId="42D16003" w14:textId="408C610F" w:rsidR="00DC2003" w:rsidRPr="00A608EE" w:rsidRDefault="00567651" w:rsidP="00EE208A">
      <w:pPr>
        <w:pStyle w:val="NormalWeb"/>
        <w:spacing w:before="0" w:beforeAutospacing="0" w:after="0" w:afterAutospacing="0"/>
        <w:jc w:val="both"/>
        <w:rPr>
          <w:rFonts w:asciiTheme="majorHAnsi" w:hAnsiTheme="majorHAnsi"/>
          <w:sz w:val="20"/>
          <w:szCs w:val="20"/>
        </w:rPr>
      </w:pPr>
      <w:r w:rsidRPr="00A608EE">
        <w:rPr>
          <w:noProof/>
        </w:rPr>
        <w:lastRenderedPageBreak/>
        <mc:AlternateContent>
          <mc:Choice Requires="wps">
            <w:drawing>
              <wp:anchor distT="0" distB="0" distL="114300" distR="114300" simplePos="0" relativeHeight="251728896" behindDoc="0" locked="0" layoutInCell="1" allowOverlap="1" wp14:anchorId="64745589" wp14:editId="5E0267D9">
                <wp:simplePos x="0" y="0"/>
                <wp:positionH relativeFrom="column">
                  <wp:posOffset>0</wp:posOffset>
                </wp:positionH>
                <wp:positionV relativeFrom="paragraph">
                  <wp:posOffset>0</wp:posOffset>
                </wp:positionV>
                <wp:extent cx="1828800" cy="1828800"/>
                <wp:effectExtent l="0" t="0" r="0" b="0"/>
                <wp:wrapSquare wrapText="bothSides"/>
                <wp:docPr id="1873638638"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7384F3A" w14:textId="6B5E8731" w:rsidR="00567651" w:rsidRPr="00820B09" w:rsidRDefault="00EB123D" w:rsidP="00EE208A">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567651" w:rsidRPr="00820B09">
                              <w:rPr>
                                <w:rFonts w:asciiTheme="majorHAnsi" w:hAnsiTheme="majorHAnsi"/>
                                <w:b/>
                                <w:bCs/>
                                <w:sz w:val="20"/>
                                <w:szCs w:val="20"/>
                              </w:rPr>
                              <w:t>5.A.1.4</w:t>
                            </w:r>
                          </w:p>
                          <w:p w14:paraId="3AAE7D7B" w14:textId="3D366C6E" w:rsidR="000376EF" w:rsidRPr="00820B09" w:rsidRDefault="000376EF" w:rsidP="000376EF">
                            <w:pPr>
                              <w:pStyle w:val="NormalWeb"/>
                              <w:jc w:val="both"/>
                              <w:rPr>
                                <w:rFonts w:asciiTheme="majorHAnsi" w:hAnsiTheme="majorHAnsi"/>
                                <w:sz w:val="20"/>
                                <w:szCs w:val="20"/>
                              </w:rPr>
                            </w:pPr>
                            <w:r w:rsidRPr="00820B09">
                              <w:rPr>
                                <w:rFonts w:asciiTheme="majorHAnsi" w:hAnsiTheme="majorHAnsi"/>
                                <w:sz w:val="20"/>
                                <w:szCs w:val="20"/>
                              </w:rPr>
                              <w:t>Analyzing and monitoring employee data disaggregated by disability status and gender enables the provider to analyze the proportion of employees with disabilities in the workforce by role-level, and key metrics such as employee satisfaction, turnover, and remuneration for employees with disabilities. This provides valuable information to identify and address potential areas of inequality in HR policies and practices, and take steps to address these.</w:t>
                            </w:r>
                          </w:p>
                          <w:p w14:paraId="364430B9" w14:textId="24754A47" w:rsidR="00567651" w:rsidRPr="00820B09" w:rsidRDefault="00567651" w:rsidP="00E43C7D">
                            <w:pPr>
                              <w:pStyle w:val="NormalWeb"/>
                              <w:jc w:val="both"/>
                              <w:rPr>
                                <w:rFonts w:asciiTheme="majorHAnsi" w:hAnsiTheme="majorHAnsi"/>
                                <w:sz w:val="20"/>
                                <w:szCs w:val="20"/>
                              </w:rPr>
                            </w:pPr>
                            <w:r w:rsidRPr="00820B09">
                              <w:rPr>
                                <w:rFonts w:asciiTheme="majorHAnsi" w:hAnsiTheme="majorHAnsi"/>
                                <w:sz w:val="20"/>
                                <w:szCs w:val="20"/>
                              </w:rPr>
                              <w:t xml:space="preserve">It is important to measure not only the proportion of employees with disabilities for the organization as a whole, but also whether </w:t>
                            </w:r>
                            <w:r w:rsidR="000376EF" w:rsidRPr="00820B09">
                              <w:rPr>
                                <w:rFonts w:asciiTheme="majorHAnsi" w:hAnsiTheme="majorHAnsi"/>
                                <w:sz w:val="20"/>
                                <w:szCs w:val="20"/>
                              </w:rPr>
                              <w:t>both men and women</w:t>
                            </w:r>
                            <w:r w:rsidRPr="00820B09">
                              <w:rPr>
                                <w:rFonts w:asciiTheme="majorHAnsi" w:hAnsiTheme="majorHAnsi"/>
                                <w:sz w:val="20"/>
                                <w:szCs w:val="20"/>
                              </w:rPr>
                              <w:t xml:space="preserve"> with disabilities are equally represented at different levels of the organization.</w:t>
                            </w:r>
                          </w:p>
                          <w:p w14:paraId="2693EE03" w14:textId="7CDAEFD1" w:rsidR="000C48E0" w:rsidRPr="00820B09" w:rsidRDefault="000C48E0" w:rsidP="00E43C7D">
                            <w:pPr>
                              <w:pStyle w:val="NormalWeb"/>
                              <w:jc w:val="both"/>
                              <w:rPr>
                                <w:rFonts w:asciiTheme="majorHAnsi" w:hAnsiTheme="majorHAnsi"/>
                                <w:sz w:val="20"/>
                                <w:szCs w:val="20"/>
                              </w:rPr>
                            </w:pPr>
                            <w:r w:rsidRPr="00820B09">
                              <w:rPr>
                                <w:rFonts w:asciiTheme="majorHAnsi" w:hAnsiTheme="majorHAnsi"/>
                                <w:sz w:val="20"/>
                                <w:szCs w:val="20"/>
                              </w:rPr>
                              <w:t xml:space="preserve">This requires implementing processes to collect and analyze disability-disaggregated data on disability status from employees, and integrating this in the HR management information system (MIS). Data on disability should be collected on a voluntary and confidential basis from employees. Collecting data on type of impairment as well as disability status helps to identify </w:t>
                            </w:r>
                            <w:r w:rsidR="000376EF" w:rsidRPr="00820B09">
                              <w:rPr>
                                <w:rFonts w:asciiTheme="majorHAnsi" w:hAnsiTheme="majorHAnsi"/>
                                <w:sz w:val="20"/>
                                <w:szCs w:val="20"/>
                              </w:rPr>
                              <w:t xml:space="preserve">and address accessibility </w:t>
                            </w:r>
                            <w:r w:rsidRPr="00820B09">
                              <w:rPr>
                                <w:rFonts w:asciiTheme="majorHAnsi" w:hAnsiTheme="majorHAnsi"/>
                                <w:sz w:val="20"/>
                                <w:szCs w:val="20"/>
                              </w:rPr>
                              <w:t>barriers</w:t>
                            </w:r>
                            <w:r w:rsidR="000376EF" w:rsidRPr="00820B09">
                              <w:rPr>
                                <w:rFonts w:asciiTheme="majorHAnsi" w:hAnsiTheme="majorHAnsi"/>
                                <w:sz w:val="20"/>
                                <w:szCs w:val="20"/>
                              </w:rPr>
                              <w:t xml:space="preserve">, or potential biases </w:t>
                            </w:r>
                            <w:r w:rsidRPr="00820B09">
                              <w:rPr>
                                <w:rFonts w:asciiTheme="majorHAnsi" w:hAnsiTheme="majorHAnsi"/>
                                <w:sz w:val="20"/>
                                <w:szCs w:val="20"/>
                              </w:rPr>
                              <w:t xml:space="preserve"> that </w:t>
                            </w:r>
                            <w:r w:rsidR="000376EF" w:rsidRPr="00820B09">
                              <w:rPr>
                                <w:rFonts w:asciiTheme="majorHAnsi" w:hAnsiTheme="majorHAnsi"/>
                                <w:sz w:val="20"/>
                                <w:szCs w:val="20"/>
                              </w:rPr>
                              <w:t xml:space="preserve">may </w:t>
                            </w:r>
                            <w:r w:rsidRPr="00820B09">
                              <w:rPr>
                                <w:rFonts w:asciiTheme="majorHAnsi" w:hAnsiTheme="majorHAnsi"/>
                                <w:sz w:val="20"/>
                                <w:szCs w:val="20"/>
                              </w:rPr>
                              <w:t xml:space="preserve">impact persons with </w:t>
                            </w:r>
                            <w:r w:rsidR="000376EF" w:rsidRPr="00820B09">
                              <w:rPr>
                                <w:rFonts w:asciiTheme="majorHAnsi" w:hAnsiTheme="majorHAnsi"/>
                                <w:sz w:val="20"/>
                                <w:szCs w:val="20"/>
                              </w:rPr>
                              <w:t>specific types of impairments. See indicator 1.B.1.3 for information about disability data collection tools and methodologies.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4745589" id="_x0000_s1062" type="#_x0000_t202" style="position:absolute;left:0;text-align:left;margin-left:0;margin-top:0;width:2in;height:2in;z-index:2517288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" filled="f" strokeweight=".5pt">
                <v:textbox style="mso-fit-shape-to-text:t">
                  <w:txbxContent>
                    <w:p w14:paraId="27384F3A" w14:textId="6B5E8731" w:rsidR="00567651" w:rsidRPr="00820B09" w:rsidRDefault="00EB123D" w:rsidP="00EE208A">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567651" w:rsidRPr="00820B09">
                        <w:rPr>
                          <w:rFonts w:asciiTheme="majorHAnsi" w:hAnsiTheme="majorHAnsi"/>
                          <w:b/>
                          <w:bCs/>
                          <w:sz w:val="20"/>
                          <w:szCs w:val="20"/>
                        </w:rPr>
                        <w:t>5.A.1.4</w:t>
                      </w:r>
                    </w:p>
                    <w:p w14:paraId="3AAE7D7B" w14:textId="3D366C6E" w:rsidR="000376EF" w:rsidRPr="00820B09" w:rsidRDefault="000376EF" w:rsidP="000376EF">
                      <w:pPr>
                        <w:pStyle w:val="NormalWeb"/>
                        <w:jc w:val="both"/>
                        <w:rPr>
                          <w:rFonts w:asciiTheme="majorHAnsi" w:hAnsiTheme="majorHAnsi"/>
                          <w:sz w:val="20"/>
                          <w:szCs w:val="20"/>
                        </w:rPr>
                      </w:pPr>
                      <w:r w:rsidRPr="00820B09">
                        <w:rPr>
                          <w:rFonts w:asciiTheme="majorHAnsi" w:hAnsiTheme="majorHAnsi"/>
                          <w:sz w:val="20"/>
                          <w:szCs w:val="20"/>
                        </w:rPr>
                        <w:t>Analyzing and monitoring employee data disaggregated by disability status and gender enables the provider to analyze the proportion of employees with disabilities in the workforce by role-level, and key metrics such as employee satisfaction, turnover, and remuneration for employees with disabilities. This provides valuable information to identify and address potential areas of inequality in HR policies and practices, and take steps to address these.</w:t>
                      </w:r>
                    </w:p>
                    <w:p w14:paraId="364430B9" w14:textId="24754A47" w:rsidR="00567651" w:rsidRPr="00820B09" w:rsidRDefault="00567651" w:rsidP="00E43C7D">
                      <w:pPr>
                        <w:pStyle w:val="NormalWeb"/>
                        <w:jc w:val="both"/>
                        <w:rPr>
                          <w:rFonts w:asciiTheme="majorHAnsi" w:hAnsiTheme="majorHAnsi"/>
                          <w:sz w:val="20"/>
                          <w:szCs w:val="20"/>
                        </w:rPr>
                      </w:pPr>
                      <w:r w:rsidRPr="00820B09">
                        <w:rPr>
                          <w:rFonts w:asciiTheme="majorHAnsi" w:hAnsiTheme="majorHAnsi"/>
                          <w:sz w:val="20"/>
                          <w:szCs w:val="20"/>
                        </w:rPr>
                        <w:t xml:space="preserve">It is important to measure not only the proportion of employees with disabilities for the organization as a whole, but also whether </w:t>
                      </w:r>
                      <w:r w:rsidR="000376EF" w:rsidRPr="00820B09">
                        <w:rPr>
                          <w:rFonts w:asciiTheme="majorHAnsi" w:hAnsiTheme="majorHAnsi"/>
                          <w:sz w:val="20"/>
                          <w:szCs w:val="20"/>
                        </w:rPr>
                        <w:t>both men and women</w:t>
                      </w:r>
                      <w:r w:rsidRPr="00820B09">
                        <w:rPr>
                          <w:rFonts w:asciiTheme="majorHAnsi" w:hAnsiTheme="majorHAnsi"/>
                          <w:sz w:val="20"/>
                          <w:szCs w:val="20"/>
                        </w:rPr>
                        <w:t xml:space="preserve"> with disabilities are equally represented at different levels of the organization.</w:t>
                      </w:r>
                    </w:p>
                    <w:p w14:paraId="2693EE03" w14:textId="7CDAEFD1" w:rsidR="000C48E0" w:rsidRPr="00820B09" w:rsidRDefault="000C48E0" w:rsidP="00E43C7D">
                      <w:pPr>
                        <w:pStyle w:val="NormalWeb"/>
                        <w:jc w:val="both"/>
                        <w:rPr>
                          <w:rFonts w:asciiTheme="majorHAnsi" w:hAnsiTheme="majorHAnsi"/>
                          <w:sz w:val="20"/>
                          <w:szCs w:val="20"/>
                        </w:rPr>
                      </w:pPr>
                      <w:r w:rsidRPr="00820B09">
                        <w:rPr>
                          <w:rFonts w:asciiTheme="majorHAnsi" w:hAnsiTheme="majorHAnsi"/>
                          <w:sz w:val="20"/>
                          <w:szCs w:val="20"/>
                        </w:rPr>
                        <w:t xml:space="preserve">This requires implementing processes to collect and analyze disability-disaggregated data on disability status from employees, and integrating this in the HR management information system (MIS). Data on disability should be collected on a voluntary and confidential basis from employees. Collecting data on type of impairment as well as disability status helps to identify </w:t>
                      </w:r>
                      <w:r w:rsidR="000376EF" w:rsidRPr="00820B09">
                        <w:rPr>
                          <w:rFonts w:asciiTheme="majorHAnsi" w:hAnsiTheme="majorHAnsi"/>
                          <w:sz w:val="20"/>
                          <w:szCs w:val="20"/>
                        </w:rPr>
                        <w:t xml:space="preserve">and address accessibility </w:t>
                      </w:r>
                      <w:r w:rsidRPr="00820B09">
                        <w:rPr>
                          <w:rFonts w:asciiTheme="majorHAnsi" w:hAnsiTheme="majorHAnsi"/>
                          <w:sz w:val="20"/>
                          <w:szCs w:val="20"/>
                        </w:rPr>
                        <w:t>barriers</w:t>
                      </w:r>
                      <w:r w:rsidR="000376EF" w:rsidRPr="00820B09">
                        <w:rPr>
                          <w:rFonts w:asciiTheme="majorHAnsi" w:hAnsiTheme="majorHAnsi"/>
                          <w:sz w:val="20"/>
                          <w:szCs w:val="20"/>
                        </w:rPr>
                        <w:t xml:space="preserve">, or potential biases </w:t>
                      </w:r>
                      <w:r w:rsidRPr="00820B09">
                        <w:rPr>
                          <w:rFonts w:asciiTheme="majorHAnsi" w:hAnsiTheme="majorHAnsi"/>
                          <w:sz w:val="20"/>
                          <w:szCs w:val="20"/>
                        </w:rPr>
                        <w:t xml:space="preserve"> that </w:t>
                      </w:r>
                      <w:r w:rsidR="000376EF" w:rsidRPr="00820B09">
                        <w:rPr>
                          <w:rFonts w:asciiTheme="majorHAnsi" w:hAnsiTheme="majorHAnsi"/>
                          <w:sz w:val="20"/>
                          <w:szCs w:val="20"/>
                        </w:rPr>
                        <w:t xml:space="preserve">may </w:t>
                      </w:r>
                      <w:r w:rsidRPr="00820B09">
                        <w:rPr>
                          <w:rFonts w:asciiTheme="majorHAnsi" w:hAnsiTheme="majorHAnsi"/>
                          <w:sz w:val="20"/>
                          <w:szCs w:val="20"/>
                        </w:rPr>
                        <w:t xml:space="preserve">impact persons with </w:t>
                      </w:r>
                      <w:r w:rsidR="000376EF" w:rsidRPr="00820B09">
                        <w:rPr>
                          <w:rFonts w:asciiTheme="majorHAnsi" w:hAnsiTheme="majorHAnsi"/>
                          <w:sz w:val="20"/>
                          <w:szCs w:val="20"/>
                        </w:rPr>
                        <w:t>specific types of impairments. See indicator 1.B.1.3 for information about disability data collection tools and methodologies.</w:t>
                      </w:r>
                    </w:p>
                  </w:txbxContent>
                </v:textbox>
                <w10:wrap type="square"/>
              </v:shape>
            </w:pict>
          </mc:Fallback>
        </mc:AlternateContent>
      </w:r>
    </w:p>
    <w:p w14:paraId="5E7F9A3B" w14:textId="269525A1"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604CA91E" w14:textId="77777777" w:rsidR="00DC2003" w:rsidRPr="00A608EE" w:rsidRDefault="00DC2003" w:rsidP="00A27AAA">
      <w:pPr>
        <w:pStyle w:val="NormalWeb"/>
        <w:numPr>
          <w:ilvl w:val="0"/>
          <w:numId w:val="29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w:t>
      </w:r>
    </w:p>
    <w:p w14:paraId="7800BC03" w14:textId="77777777" w:rsidR="00DC2003" w:rsidRPr="00A608EE" w:rsidRDefault="00DC2003" w:rsidP="00A27AAA">
      <w:pPr>
        <w:pStyle w:val="NormalWeb"/>
        <w:numPr>
          <w:ilvl w:val="1"/>
          <w:numId w:val="29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has a systemic process in place to collect and analyze regularly gender disaggregated employment data for discussion at senior management or board level at least annually and</w:t>
      </w:r>
    </w:p>
    <w:p w14:paraId="4F39B04E" w14:textId="77777777" w:rsidR="00DC2003" w:rsidRPr="00A608EE" w:rsidRDefault="00DC2003" w:rsidP="00A27AAA">
      <w:pPr>
        <w:pStyle w:val="NormalWeb"/>
        <w:numPr>
          <w:ilvl w:val="1"/>
          <w:numId w:val="29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makes adjustments, as needed.</w:t>
      </w:r>
    </w:p>
    <w:p w14:paraId="732D8BDB" w14:textId="77777777" w:rsidR="00DC2003" w:rsidRPr="00A608EE" w:rsidRDefault="00DC2003" w:rsidP="00A27AAA">
      <w:pPr>
        <w:pStyle w:val="NormalWeb"/>
        <w:numPr>
          <w:ilvl w:val="0"/>
          <w:numId w:val="29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two requirements are not met fully. For instance, (i) gender disaggregated employment data are regularly collected and analyzed, but senior management or the board did not discuss them within the past 12 months or (ii) the provider made only insufficient adjustments to correct ‘unbalanced’ gender employment ratios over the past year.</w:t>
      </w:r>
    </w:p>
    <w:p w14:paraId="355B4380" w14:textId="77777777" w:rsidR="00DC2003" w:rsidRPr="00A608EE" w:rsidRDefault="00DC2003" w:rsidP="00A27AAA">
      <w:pPr>
        <w:pStyle w:val="NormalWeb"/>
        <w:numPr>
          <w:ilvl w:val="0"/>
          <w:numId w:val="29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one or both requirements are largely not met. For instance, (i) there is no process in place to collect and analyze regularly gender disaggregated employment data and/or (ii) neither senior management nor the board took gender disaggregated employment data on their agenda over the past 12 months and/or (iii) no adjustments made to correct ‘unbalanced’ gender employment ratios over the past year.</w:t>
      </w:r>
    </w:p>
    <w:p w14:paraId="14A26057"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0939518E" w14:textId="755D3AB6"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76FA7612" w14:textId="77777777" w:rsidR="00DC2003" w:rsidRPr="00A608EE" w:rsidRDefault="00DC2003" w:rsidP="00A27AAA">
      <w:pPr>
        <w:pStyle w:val="NormalWeb"/>
        <w:numPr>
          <w:ilvl w:val="0"/>
          <w:numId w:val="29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Targets for gender-balanced positions and organizational levels set by senior management or the board, if available.</w:t>
      </w:r>
    </w:p>
    <w:p w14:paraId="0190874E" w14:textId="77777777" w:rsidR="00DC2003" w:rsidRPr="00A608EE" w:rsidRDefault="00DC2003" w:rsidP="00A27AAA">
      <w:pPr>
        <w:pStyle w:val="NormalWeb"/>
        <w:numPr>
          <w:ilvl w:val="0"/>
          <w:numId w:val="29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Minutes of meetings of the board and senior management.</w:t>
      </w:r>
    </w:p>
    <w:p w14:paraId="60B3E1E1" w14:textId="77777777" w:rsidR="007829E7" w:rsidRPr="00A608EE" w:rsidRDefault="00DC2003" w:rsidP="00A27AAA">
      <w:pPr>
        <w:pStyle w:val="NormalWeb"/>
        <w:numPr>
          <w:ilvl w:val="0"/>
          <w:numId w:val="29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the HR manager</w:t>
      </w:r>
    </w:p>
    <w:p w14:paraId="20A36B11" w14:textId="72592380" w:rsidR="00DC2003" w:rsidRPr="00A608EE" w:rsidRDefault="00DC2003" w:rsidP="00A27AAA">
      <w:pPr>
        <w:pStyle w:val="NormalWeb"/>
        <w:numPr>
          <w:ilvl w:val="0"/>
          <w:numId w:val="29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Any HR reports on gender-balanced positions, if available.</w:t>
      </w:r>
    </w:p>
    <w:p w14:paraId="384F39B4" w14:textId="77777777" w:rsidR="00DC2003" w:rsidRPr="00A608EE" w:rsidRDefault="00DC2003" w:rsidP="00A27AAA">
      <w:pPr>
        <w:pStyle w:val="NormalWeb"/>
        <w:numPr>
          <w:ilvl w:val="0"/>
          <w:numId w:val="29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compliance audit reports during the past year.</w:t>
      </w:r>
    </w:p>
    <w:p w14:paraId="7B22714C"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52657B27" w14:textId="3456A5C6"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5.A.1.4</w:t>
      </w:r>
    </w:p>
    <w:p w14:paraId="52E6EEAC" w14:textId="65CC2EF5" w:rsidR="488500BF" w:rsidRPr="00A608EE" w:rsidRDefault="488500BF" w:rsidP="00A27AAA">
      <w:pPr>
        <w:numPr>
          <w:ilvl w:val="0"/>
          <w:numId w:val="28"/>
        </w:numPr>
        <w:jc w:val="both"/>
        <w:rPr>
          <w:sz w:val="20"/>
          <w:szCs w:val="20"/>
        </w:rPr>
      </w:pPr>
      <w:hyperlink r:id="rId251">
        <w:r w:rsidRPr="00A608EE">
          <w:rPr>
            <w:rStyle w:val="Hyperlink"/>
            <w:rFonts w:ascii="Work Sans" w:eastAsia="Work Sans" w:hAnsi="Work Sans" w:cs="Work Sans"/>
            <w:sz w:val="20"/>
            <w:szCs w:val="20"/>
          </w:rPr>
          <w:t>MicroLoan Foundation Gender-Disaggregated Report on Employees by Position</w:t>
        </w:r>
      </w:hyperlink>
    </w:p>
    <w:p w14:paraId="7B64F8B6" w14:textId="77777777" w:rsidR="00A573CD" w:rsidRPr="00A608EE" w:rsidRDefault="00A573CD" w:rsidP="00EE208A">
      <w:pPr>
        <w:jc w:val="both"/>
        <w:rPr>
          <w:rFonts w:asciiTheme="majorHAnsi" w:hAnsiTheme="majorHAnsi"/>
          <w:szCs w:val="20"/>
        </w:rPr>
      </w:pPr>
    </w:p>
    <w:p w14:paraId="73CA0203" w14:textId="6EE7963B" w:rsidR="00713B24" w:rsidRPr="00A608EE" w:rsidRDefault="00713B24" w:rsidP="00EE208A">
      <w:pPr>
        <w:pStyle w:val="Heading3"/>
        <w:spacing w:before="0" w:line="240" w:lineRule="auto"/>
        <w:jc w:val="both"/>
      </w:pPr>
      <w:bookmarkStart w:id="91" w:name="_Toc230938812"/>
      <w:r w:rsidRPr="00A608EE">
        <w:rPr>
          <w:rStyle w:val="text-primary"/>
        </w:rPr>
        <w:t>5.A.2</w:t>
      </w:r>
      <w:r w:rsidRPr="00A608EE">
        <w:t xml:space="preserve"> </w:t>
      </w:r>
      <w:r w:rsidR="00DC2003" w:rsidRPr="00A608EE">
        <w:t>Employee compensation is equitable and adequate</w:t>
      </w:r>
      <w:r w:rsidR="00112468" w:rsidRPr="00A608EE">
        <w:t>.</w:t>
      </w:r>
      <w:bookmarkEnd w:id="91"/>
    </w:p>
    <w:p w14:paraId="00090770" w14:textId="77777777" w:rsidR="00117789" w:rsidRPr="00A608EE" w:rsidRDefault="00117789" w:rsidP="00EE208A">
      <w:pPr>
        <w:jc w:val="both"/>
        <w:rPr>
          <w:rFonts w:asciiTheme="majorHAnsi" w:hAnsiTheme="majorHAnsi"/>
          <w:sz w:val="20"/>
          <w:szCs w:val="20"/>
        </w:rPr>
      </w:pPr>
    </w:p>
    <w:p w14:paraId="0F854F44" w14:textId="68C0A141" w:rsidR="00936597" w:rsidRPr="00A608EE" w:rsidRDefault="00DC2003" w:rsidP="00EE208A">
      <w:pPr>
        <w:jc w:val="both"/>
        <w:rPr>
          <w:rStyle w:val="normaltextrun"/>
          <w:rFonts w:asciiTheme="majorHAnsi" w:hAnsiTheme="majorHAnsi"/>
          <w:sz w:val="20"/>
          <w:szCs w:val="20"/>
          <w:lang w:eastAsia="fr-FR"/>
        </w:rPr>
      </w:pPr>
      <w:r w:rsidRPr="00A608EE">
        <w:rPr>
          <w:rStyle w:val="normaltextrun"/>
          <w:rFonts w:asciiTheme="majorHAnsi" w:hAnsiTheme="majorHAnsi"/>
          <w:sz w:val="20"/>
          <w:szCs w:val="20"/>
          <w:lang w:eastAsia="fr-FR"/>
        </w:rPr>
        <w:t>Fair compensation is the foundation for respectful treatment of employees and can ensure loyal and committed employees. Providers should pay employees at a rate that is at least the national or local sector minimum wage, in line with market conditions, and adapted to job position whatever the gender of the employees.</w:t>
      </w:r>
    </w:p>
    <w:p w14:paraId="111E9A06" w14:textId="77777777" w:rsidR="00D05997" w:rsidRPr="00A608EE" w:rsidRDefault="00D05997" w:rsidP="00EE208A">
      <w:pPr>
        <w:jc w:val="both"/>
        <w:rPr>
          <w:rFonts w:asciiTheme="majorHAnsi" w:hAnsiTheme="majorHAnsi"/>
          <w:szCs w:val="20"/>
        </w:rPr>
      </w:pPr>
    </w:p>
    <w:p w14:paraId="201612D6" w14:textId="7B4EF753" w:rsidR="00713B24" w:rsidRPr="00A608EE" w:rsidRDefault="00713B24" w:rsidP="00EE208A">
      <w:pPr>
        <w:pStyle w:val="Heading4"/>
        <w:spacing w:before="0" w:line="240" w:lineRule="auto"/>
        <w:jc w:val="both"/>
      </w:pPr>
      <w:r w:rsidRPr="00A608EE">
        <w:rPr>
          <w:rStyle w:val="text-primary"/>
        </w:rPr>
        <w:t>5.A.2.3</w:t>
      </w:r>
      <w:r w:rsidRPr="00A608EE">
        <w:t xml:space="preserve"> </w:t>
      </w:r>
      <w:r w:rsidR="00DC2003" w:rsidRPr="00A608EE">
        <w:t>The provider analyzes salary data to check that men and women receive equal pay for equal work and have equal opportunities for pay increase/promotion</w:t>
      </w:r>
      <w:r w:rsidR="00F8631F" w:rsidRPr="00A608EE">
        <w:t>.</w:t>
      </w:r>
    </w:p>
    <w:p w14:paraId="190E6C87" w14:textId="77777777" w:rsidR="00F24B54" w:rsidRPr="00A608EE" w:rsidRDefault="00F24B54" w:rsidP="00EE208A">
      <w:pPr>
        <w:jc w:val="both"/>
        <w:rPr>
          <w:rFonts w:asciiTheme="majorHAnsi" w:hAnsiTheme="majorHAnsi"/>
          <w:szCs w:val="20"/>
        </w:rPr>
      </w:pPr>
    </w:p>
    <w:p w14:paraId="3730E6A9" w14:textId="1AC28727" w:rsidR="008F7979"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8F7979" w:rsidRPr="00A608EE">
        <w:rPr>
          <w:rFonts w:asciiTheme="majorHAnsi" w:hAnsiTheme="majorHAnsi" w:cstheme="majorHAnsi"/>
          <w:b/>
          <w:bCs/>
          <w:color w:val="2145CC" w:themeColor="accent5" w:themeShade="BF"/>
          <w:sz w:val="20"/>
          <w:szCs w:val="20"/>
        </w:rPr>
        <w:t>ESG Risk</w:t>
      </w:r>
      <w:r w:rsidR="00856562" w:rsidRPr="00A608EE">
        <w:rPr>
          <w:rFonts w:asciiTheme="majorHAnsi" w:hAnsiTheme="majorHAnsi" w:cstheme="majorHAnsi"/>
          <w:b/>
          <w:bCs/>
          <w:color w:val="2145CC" w:themeColor="accent5" w:themeShade="BF"/>
          <w:sz w:val="20"/>
          <w:szCs w:val="20"/>
        </w:rPr>
        <w:t xml:space="preserve"> | </w:t>
      </w:r>
      <w:r w:rsidR="008F7979" w:rsidRPr="00A608EE">
        <w:rPr>
          <w:rFonts w:asciiTheme="majorHAnsi" w:hAnsiTheme="majorHAnsi" w:cstheme="majorHAnsi"/>
          <w:b/>
          <w:bCs/>
          <w:color w:val="2145CC" w:themeColor="accent5" w:themeShade="BF"/>
          <w:sz w:val="20"/>
          <w:szCs w:val="20"/>
        </w:rPr>
        <w:t>ALINUS</w:t>
      </w:r>
      <w:r w:rsidR="00856562" w:rsidRPr="00A608EE">
        <w:rPr>
          <w:rFonts w:asciiTheme="majorHAnsi" w:hAnsiTheme="majorHAnsi" w:cstheme="majorHAnsi"/>
          <w:b/>
          <w:bCs/>
          <w:color w:val="2145CC" w:themeColor="accent5" w:themeShade="BF"/>
          <w:sz w:val="20"/>
          <w:szCs w:val="20"/>
        </w:rPr>
        <w:t xml:space="preserve"> | </w:t>
      </w:r>
      <w:r w:rsidR="008F7979" w:rsidRPr="00A608EE">
        <w:rPr>
          <w:rFonts w:asciiTheme="majorHAnsi" w:hAnsiTheme="majorHAnsi" w:cstheme="majorHAnsi"/>
          <w:b/>
          <w:bCs/>
          <w:color w:val="2145CC" w:themeColor="accent5" w:themeShade="BF"/>
          <w:sz w:val="20"/>
          <w:szCs w:val="20"/>
        </w:rPr>
        <w:t>SPI5 Entry</w:t>
      </w:r>
      <w:r w:rsidR="00856562" w:rsidRPr="00A608EE">
        <w:rPr>
          <w:rFonts w:asciiTheme="majorHAnsi" w:hAnsiTheme="majorHAnsi" w:cstheme="majorHAnsi"/>
          <w:b/>
          <w:bCs/>
          <w:color w:val="2145CC" w:themeColor="accent5" w:themeShade="BF"/>
          <w:sz w:val="20"/>
          <w:szCs w:val="20"/>
        </w:rPr>
        <w:t xml:space="preserve"> | </w:t>
      </w:r>
      <w:r w:rsidR="008F7979"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3B4DEAAE" w14:textId="08950840" w:rsidR="008F7979" w:rsidRPr="00A608EE" w:rsidRDefault="00567651"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7B27D1B3" w14:textId="33085C6A" w:rsidR="002C183A" w:rsidRPr="00A608EE" w:rsidRDefault="00DC2003" w:rsidP="00EE208A">
      <w:pPr>
        <w:jc w:val="both"/>
        <w:rPr>
          <w:rFonts w:asciiTheme="majorHAnsi" w:hAnsiTheme="majorHAnsi"/>
          <w:sz w:val="20"/>
          <w:szCs w:val="20"/>
          <w:lang w:eastAsia="fr-FR"/>
        </w:rPr>
      </w:pPr>
      <w:r w:rsidRPr="00A608EE">
        <w:rPr>
          <w:rFonts w:asciiTheme="majorHAnsi" w:hAnsiTheme="majorHAnsi"/>
          <w:sz w:val="20"/>
          <w:szCs w:val="20"/>
          <w:lang w:eastAsia="fr-FR"/>
        </w:rPr>
        <w:t>Providers should ensure equal pay for women and men by evaluating regularly whether salary discrepancies exist for all positions at each level and in all organizational units/departments. Where equal pay discrepancies exist, they should address the problem openly with employees and adjust salaries accordingly.</w:t>
      </w:r>
    </w:p>
    <w:p w14:paraId="63293646" w14:textId="77777777" w:rsidR="00672763" w:rsidRPr="00A608EE" w:rsidRDefault="00672763" w:rsidP="00EE208A">
      <w:pPr>
        <w:jc w:val="both"/>
        <w:rPr>
          <w:rFonts w:asciiTheme="majorHAnsi" w:hAnsiTheme="majorHAnsi"/>
          <w:sz w:val="20"/>
          <w:szCs w:val="20"/>
          <w:lang w:eastAsia="fr-FR"/>
        </w:rPr>
      </w:pPr>
    </w:p>
    <w:p w14:paraId="717980A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89664" behindDoc="1" locked="0" layoutInCell="1" allowOverlap="1" wp14:anchorId="5D4AAA0A" wp14:editId="39620B19">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3001180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7F080374" w14:textId="77777777" w:rsidR="00672763" w:rsidRPr="00A608EE" w:rsidRDefault="00672763" w:rsidP="00EE208A">
      <w:pPr>
        <w:jc w:val="both"/>
        <w:rPr>
          <w:rFonts w:asciiTheme="majorHAnsi" w:hAnsiTheme="majorHAnsi"/>
          <w:sz w:val="20"/>
          <w:szCs w:val="20"/>
          <w:lang w:eastAsia="fr-FR"/>
        </w:rPr>
      </w:pPr>
    </w:p>
    <w:p w14:paraId="4A197BF0" w14:textId="267CDB39" w:rsidR="002C183A" w:rsidRPr="00A608EE" w:rsidRDefault="00386AB6"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2C183A" w:rsidRPr="00A608EE">
        <w:rPr>
          <w:rFonts w:asciiTheme="majorHAnsi" w:hAnsiTheme="majorHAnsi"/>
          <w:sz w:val="20"/>
          <w:szCs w:val="20"/>
          <w:lang w:eastAsia="fr-FR"/>
        </w:rPr>
        <w:t>The provider analyzes salary data to check that men and women, including men and women with disabilities, receive equal pay for equal work and have equal opportunities for pay increase/promotion.</w:t>
      </w:r>
    </w:p>
    <w:p w14:paraId="0F302885" w14:textId="77777777" w:rsidR="000376EF" w:rsidRPr="00A608EE" w:rsidRDefault="000376EF" w:rsidP="00EE208A">
      <w:pPr>
        <w:jc w:val="both"/>
        <w:rPr>
          <w:rFonts w:asciiTheme="majorHAnsi" w:hAnsiTheme="majorHAnsi"/>
          <w:sz w:val="20"/>
          <w:szCs w:val="20"/>
          <w:lang w:eastAsia="fr-FR"/>
        </w:rPr>
      </w:pPr>
    </w:p>
    <w:p w14:paraId="64B37765" w14:textId="489E280E" w:rsidR="000376EF" w:rsidRPr="00A608EE" w:rsidRDefault="000376EF" w:rsidP="00EE208A">
      <w:pPr>
        <w:jc w:val="both"/>
        <w:rPr>
          <w:rFonts w:asciiTheme="majorHAnsi" w:hAnsiTheme="majorHAnsi"/>
          <w:sz w:val="20"/>
          <w:szCs w:val="20"/>
          <w:lang w:eastAsia="fr-FR"/>
        </w:rPr>
      </w:pPr>
      <w:r w:rsidRPr="00A608EE">
        <w:rPr>
          <w:rFonts w:asciiTheme="majorHAnsi" w:hAnsiTheme="majorHAnsi"/>
          <w:sz w:val="20"/>
          <w:szCs w:val="20"/>
          <w:lang w:eastAsia="fr-FR"/>
        </w:rPr>
        <w:t xml:space="preserve">[See indicator 5.A.1.4 for more information about collecting and analyzing disability-disaggregated data related to employment] </w:t>
      </w:r>
    </w:p>
    <w:p w14:paraId="6DA14701" w14:textId="77777777" w:rsidR="00DC2003" w:rsidRPr="00A608EE" w:rsidRDefault="00DC2003" w:rsidP="00EE208A">
      <w:pPr>
        <w:jc w:val="both"/>
        <w:rPr>
          <w:rFonts w:asciiTheme="majorHAnsi" w:hAnsiTheme="majorHAnsi"/>
          <w:sz w:val="20"/>
          <w:szCs w:val="20"/>
          <w:lang w:eastAsia="fr-FR"/>
        </w:rPr>
      </w:pPr>
    </w:p>
    <w:p w14:paraId="197D35D0" w14:textId="384C9949" w:rsidR="00DC2003" w:rsidRPr="00A608EE" w:rsidRDefault="00DC2003"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7386383D" w14:textId="77777777" w:rsidR="00DC2003" w:rsidRPr="00A608EE" w:rsidRDefault="00DC2003" w:rsidP="00A27AAA">
      <w:pPr>
        <w:numPr>
          <w:ilvl w:val="0"/>
          <w:numId w:val="297"/>
        </w:numPr>
        <w:jc w:val="both"/>
        <w:rPr>
          <w:rFonts w:asciiTheme="majorHAnsi" w:hAnsiTheme="majorHAnsi"/>
          <w:sz w:val="20"/>
          <w:szCs w:val="20"/>
          <w:lang w:eastAsia="fr-FR"/>
        </w:rPr>
      </w:pPr>
      <w:r w:rsidRPr="00A608EE">
        <w:rPr>
          <w:rFonts w:asciiTheme="majorHAnsi" w:hAnsiTheme="majorHAnsi"/>
          <w:sz w:val="20"/>
          <w:szCs w:val="20"/>
          <w:lang w:eastAsia="fr-FR"/>
        </w:rPr>
        <w:t>Score ‘yes’, if</w:t>
      </w:r>
    </w:p>
    <w:p w14:paraId="7F286787" w14:textId="77777777" w:rsidR="00DC2003" w:rsidRPr="00A608EE" w:rsidRDefault="00DC2003" w:rsidP="00A27AAA">
      <w:pPr>
        <w:numPr>
          <w:ilvl w:val="1"/>
          <w:numId w:val="297"/>
        </w:numPr>
        <w:jc w:val="both"/>
        <w:rPr>
          <w:rFonts w:asciiTheme="majorHAnsi" w:hAnsiTheme="majorHAnsi"/>
          <w:sz w:val="20"/>
          <w:szCs w:val="20"/>
          <w:lang w:eastAsia="fr-FR"/>
        </w:rPr>
      </w:pPr>
      <w:r w:rsidRPr="00A608EE">
        <w:rPr>
          <w:rFonts w:asciiTheme="majorHAnsi" w:hAnsiTheme="majorHAnsi"/>
          <w:sz w:val="20"/>
          <w:szCs w:val="20"/>
          <w:lang w:eastAsia="fr-FR"/>
        </w:rPr>
        <w:t>there is no case of a gender pay gap during the past year and</w:t>
      </w:r>
    </w:p>
    <w:p w14:paraId="4C18B17C" w14:textId="77777777" w:rsidR="00DC2003" w:rsidRPr="00A608EE" w:rsidRDefault="00DC2003" w:rsidP="00A27AAA">
      <w:pPr>
        <w:numPr>
          <w:ilvl w:val="1"/>
          <w:numId w:val="297"/>
        </w:numPr>
        <w:jc w:val="both"/>
        <w:rPr>
          <w:rFonts w:asciiTheme="majorHAnsi" w:hAnsiTheme="majorHAnsi"/>
          <w:sz w:val="20"/>
          <w:szCs w:val="20"/>
          <w:lang w:eastAsia="fr-FR"/>
        </w:rPr>
      </w:pPr>
      <w:r w:rsidRPr="00A608EE">
        <w:rPr>
          <w:rFonts w:asciiTheme="majorHAnsi" w:hAnsiTheme="majorHAnsi"/>
          <w:sz w:val="20"/>
          <w:szCs w:val="20"/>
          <w:lang w:eastAsia="fr-FR"/>
        </w:rPr>
        <w:t>the provider has a systemic process in place to collect and analyze regularly gender-disaggregated data on salaries &amp; incentives and career opportunities for all positions and in all units/departments for discussion at senior management or board level at least annually, and</w:t>
      </w:r>
    </w:p>
    <w:p w14:paraId="6A5DBD3B" w14:textId="77777777" w:rsidR="00DC2003" w:rsidRPr="00A608EE" w:rsidRDefault="00DC2003" w:rsidP="00A27AAA">
      <w:pPr>
        <w:numPr>
          <w:ilvl w:val="1"/>
          <w:numId w:val="297"/>
        </w:numPr>
        <w:jc w:val="both"/>
        <w:rPr>
          <w:rFonts w:asciiTheme="majorHAnsi" w:hAnsiTheme="majorHAnsi"/>
          <w:sz w:val="20"/>
          <w:szCs w:val="20"/>
          <w:lang w:eastAsia="fr-FR"/>
        </w:rPr>
      </w:pPr>
      <w:r w:rsidRPr="00A608EE">
        <w:rPr>
          <w:rFonts w:asciiTheme="majorHAnsi" w:hAnsiTheme="majorHAnsi"/>
          <w:sz w:val="20"/>
          <w:szCs w:val="20"/>
          <w:lang w:eastAsia="fr-FR"/>
        </w:rPr>
        <w:t>makes sufficient adjustments timely, as needed.</w:t>
      </w:r>
    </w:p>
    <w:p w14:paraId="293182CF" w14:textId="77777777" w:rsidR="00DC2003" w:rsidRPr="00A608EE" w:rsidRDefault="00DC2003" w:rsidP="00A27AAA">
      <w:pPr>
        <w:numPr>
          <w:ilvl w:val="0"/>
          <w:numId w:val="297"/>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three requirements are not met fully. For instance, (i) one or a few cases of gender pay gaps and unequal career opportunities over the past year or (ii) gender disaggregated salary &amp; incentive and career opportunity data are regularly collected and analyzed, but senior management or the board did not discuss them over the past 12 months or (iii) the provider made only insufficient adjustments to correct gender pay gaps and unequal career opportunities over the past year.</w:t>
      </w:r>
    </w:p>
    <w:p w14:paraId="14165877" w14:textId="5FDAF899" w:rsidR="00DC2003" w:rsidRPr="00A608EE" w:rsidRDefault="00DC2003" w:rsidP="00A27AAA">
      <w:pPr>
        <w:numPr>
          <w:ilvl w:val="0"/>
          <w:numId w:val="297"/>
        </w:numPr>
        <w:jc w:val="both"/>
        <w:rPr>
          <w:rFonts w:asciiTheme="majorHAnsi" w:hAnsiTheme="majorHAnsi"/>
          <w:sz w:val="20"/>
          <w:szCs w:val="20"/>
          <w:lang w:eastAsia="fr-FR"/>
        </w:rPr>
      </w:pPr>
      <w:r w:rsidRPr="00A608EE">
        <w:rPr>
          <w:rFonts w:asciiTheme="majorHAnsi" w:hAnsiTheme="majorHAnsi"/>
          <w:sz w:val="20"/>
          <w:szCs w:val="20"/>
          <w:lang w:eastAsia="fr-FR"/>
        </w:rPr>
        <w:t>Score ‘no’, if one or more of the three requirements are largely not met. For instance, (i) significant cases of unequal gender pay and career opportunities over the past year and/or (ii) there is no process in place to collect and analyze regularly gender-disaggregated data on salaries &amp; incentives and career opportunities and/or (iii) the provider made no adjustments to correct significant gender pay gaps and unequal career opportunities over the past year.</w:t>
      </w:r>
    </w:p>
    <w:p w14:paraId="6041E2AF" w14:textId="65BCB91C" w:rsidR="00DC2003" w:rsidRPr="00A608EE" w:rsidRDefault="00DC2003"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5AA22CD0" w14:textId="77777777" w:rsidR="00DC2003" w:rsidRPr="00A608EE" w:rsidRDefault="00DC2003" w:rsidP="00A27AAA">
      <w:pPr>
        <w:numPr>
          <w:ilvl w:val="0"/>
          <w:numId w:val="298"/>
        </w:numPr>
        <w:jc w:val="both"/>
        <w:rPr>
          <w:rFonts w:asciiTheme="majorHAnsi" w:hAnsiTheme="majorHAnsi"/>
          <w:sz w:val="20"/>
          <w:szCs w:val="20"/>
          <w:lang w:eastAsia="fr-FR"/>
        </w:rPr>
      </w:pPr>
      <w:r w:rsidRPr="00A608EE">
        <w:rPr>
          <w:rFonts w:asciiTheme="majorHAnsi" w:hAnsiTheme="majorHAnsi"/>
          <w:sz w:val="20"/>
          <w:szCs w:val="20"/>
          <w:lang w:eastAsia="fr-FR"/>
        </w:rPr>
        <w:t>HR Policy &amp; Procedures Manual.</w:t>
      </w:r>
    </w:p>
    <w:p w14:paraId="1A9E0E38" w14:textId="77777777" w:rsidR="00DC2003" w:rsidRPr="00A608EE" w:rsidRDefault="00DC2003" w:rsidP="00A27AAA">
      <w:pPr>
        <w:numPr>
          <w:ilvl w:val="0"/>
          <w:numId w:val="298"/>
        </w:numPr>
        <w:jc w:val="both"/>
        <w:rPr>
          <w:rFonts w:asciiTheme="majorHAnsi" w:hAnsiTheme="majorHAnsi"/>
          <w:sz w:val="20"/>
          <w:szCs w:val="20"/>
          <w:lang w:eastAsia="fr-FR"/>
        </w:rPr>
      </w:pPr>
      <w:r w:rsidRPr="00A608EE">
        <w:rPr>
          <w:rFonts w:asciiTheme="majorHAnsi" w:hAnsiTheme="majorHAnsi"/>
          <w:sz w:val="20"/>
          <w:szCs w:val="20"/>
          <w:lang w:eastAsia="fr-FR"/>
        </w:rPr>
        <w:t>HR reports</w:t>
      </w:r>
    </w:p>
    <w:p w14:paraId="3C9427FA" w14:textId="77777777" w:rsidR="00DC2003" w:rsidRPr="00A608EE" w:rsidRDefault="00DC2003" w:rsidP="00A27AAA">
      <w:pPr>
        <w:numPr>
          <w:ilvl w:val="0"/>
          <w:numId w:val="298"/>
        </w:numPr>
        <w:jc w:val="both"/>
        <w:rPr>
          <w:rFonts w:asciiTheme="majorHAnsi" w:hAnsiTheme="majorHAnsi"/>
          <w:sz w:val="20"/>
          <w:szCs w:val="20"/>
          <w:lang w:eastAsia="fr-FR"/>
        </w:rPr>
      </w:pPr>
      <w:r w:rsidRPr="00A608EE">
        <w:rPr>
          <w:rFonts w:asciiTheme="majorHAnsi" w:hAnsiTheme="majorHAnsi"/>
          <w:sz w:val="20"/>
          <w:szCs w:val="20"/>
          <w:lang w:eastAsia="fr-FR"/>
        </w:rPr>
        <w:t>Minutes of meetings of the board and senior management.</w:t>
      </w:r>
    </w:p>
    <w:p w14:paraId="1ACE6D0D" w14:textId="77777777" w:rsidR="00DC2003" w:rsidRPr="00A608EE" w:rsidRDefault="00DC2003" w:rsidP="00A27AAA">
      <w:pPr>
        <w:numPr>
          <w:ilvl w:val="0"/>
          <w:numId w:val="298"/>
        </w:numPr>
        <w:jc w:val="both"/>
        <w:rPr>
          <w:rFonts w:asciiTheme="majorHAnsi" w:hAnsiTheme="majorHAnsi"/>
          <w:sz w:val="20"/>
          <w:szCs w:val="20"/>
          <w:lang w:eastAsia="fr-FR"/>
        </w:rPr>
      </w:pPr>
      <w:r w:rsidRPr="00A608EE">
        <w:rPr>
          <w:rFonts w:asciiTheme="majorHAnsi" w:hAnsiTheme="majorHAnsi"/>
          <w:sz w:val="20"/>
          <w:szCs w:val="20"/>
          <w:lang w:eastAsia="fr-FR"/>
        </w:rPr>
        <w:t>Interviews with HR manager and employees.</w:t>
      </w:r>
    </w:p>
    <w:p w14:paraId="7C3A4D48" w14:textId="77777777" w:rsidR="00DC2003" w:rsidRPr="00A608EE" w:rsidRDefault="00DC2003" w:rsidP="00A27AAA">
      <w:pPr>
        <w:numPr>
          <w:ilvl w:val="0"/>
          <w:numId w:val="298"/>
        </w:numPr>
        <w:jc w:val="both"/>
        <w:rPr>
          <w:rFonts w:asciiTheme="majorHAnsi" w:hAnsiTheme="majorHAnsi"/>
          <w:sz w:val="20"/>
          <w:szCs w:val="20"/>
          <w:lang w:eastAsia="fr-FR"/>
        </w:rPr>
      </w:pPr>
      <w:r w:rsidRPr="00A608EE">
        <w:rPr>
          <w:rFonts w:asciiTheme="majorHAnsi" w:hAnsiTheme="majorHAnsi"/>
          <w:sz w:val="20"/>
          <w:szCs w:val="20"/>
          <w:lang w:eastAsia="fr-FR"/>
        </w:rPr>
        <w:t>Sector information on gender pay gaps, if available.  </w:t>
      </w:r>
    </w:p>
    <w:p w14:paraId="5FD767FA" w14:textId="77777777" w:rsidR="00DC2003" w:rsidRPr="00A608EE" w:rsidRDefault="00DC2003" w:rsidP="00EE208A">
      <w:pPr>
        <w:jc w:val="both"/>
        <w:rPr>
          <w:rFonts w:asciiTheme="majorHAnsi" w:hAnsiTheme="majorHAnsi"/>
          <w:sz w:val="20"/>
          <w:szCs w:val="20"/>
          <w:lang w:eastAsia="fr-FR"/>
        </w:rPr>
      </w:pPr>
    </w:p>
    <w:p w14:paraId="63B3C0E2" w14:textId="459AD482" w:rsidR="00DC2003" w:rsidRPr="00A608EE" w:rsidRDefault="00DC2003"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01FB9684" w14:textId="77777777" w:rsidR="00DC2003" w:rsidRPr="00A608EE" w:rsidRDefault="00DC2003" w:rsidP="00A27AAA">
      <w:pPr>
        <w:numPr>
          <w:ilvl w:val="0"/>
          <w:numId w:val="299"/>
        </w:numPr>
        <w:jc w:val="both"/>
        <w:rPr>
          <w:rFonts w:asciiTheme="majorHAnsi" w:hAnsiTheme="majorHAnsi"/>
          <w:sz w:val="20"/>
          <w:szCs w:val="20"/>
          <w:lang w:eastAsia="fr-FR"/>
        </w:rPr>
      </w:pPr>
      <w:r w:rsidRPr="00A608EE">
        <w:rPr>
          <w:rFonts w:asciiTheme="majorHAnsi" w:hAnsiTheme="majorHAnsi"/>
          <w:sz w:val="20"/>
          <w:szCs w:val="20"/>
          <w:lang w:eastAsia="fr-FR"/>
        </w:rPr>
        <w:t>Describe the type of gender-disaggregated data on salaries &amp; incentives and career opportunities that is analyzed at which time intervals.</w:t>
      </w:r>
    </w:p>
    <w:p w14:paraId="2BC9F576" w14:textId="77777777" w:rsidR="00DC2003" w:rsidRPr="00A608EE" w:rsidRDefault="00DC2003" w:rsidP="00A27AAA">
      <w:pPr>
        <w:numPr>
          <w:ilvl w:val="0"/>
          <w:numId w:val="299"/>
        </w:numPr>
        <w:jc w:val="both"/>
        <w:rPr>
          <w:rFonts w:asciiTheme="majorHAnsi" w:hAnsiTheme="majorHAnsi"/>
          <w:sz w:val="20"/>
          <w:szCs w:val="20"/>
          <w:lang w:eastAsia="fr-FR"/>
        </w:rPr>
      </w:pPr>
      <w:r w:rsidRPr="00A608EE">
        <w:rPr>
          <w:rFonts w:asciiTheme="majorHAnsi" w:hAnsiTheme="majorHAnsi"/>
          <w:sz w:val="20"/>
          <w:szCs w:val="20"/>
          <w:lang w:eastAsia="fr-FR"/>
        </w:rPr>
        <w:t>Share, if available, the gender pay gap calculation and the methodology for assessing gender-disaggregated career opportunities.</w:t>
      </w:r>
    </w:p>
    <w:p w14:paraId="5B07642C" w14:textId="77777777" w:rsidR="00DC2003" w:rsidRPr="00A608EE" w:rsidRDefault="00DC2003" w:rsidP="00EE208A">
      <w:pPr>
        <w:jc w:val="both"/>
        <w:rPr>
          <w:rFonts w:asciiTheme="majorHAnsi" w:hAnsiTheme="majorHAnsi"/>
          <w:sz w:val="20"/>
          <w:szCs w:val="20"/>
          <w:lang w:eastAsia="fr-FR"/>
        </w:rPr>
      </w:pPr>
    </w:p>
    <w:p w14:paraId="7DDA697C" w14:textId="0CDED112" w:rsidR="00DC2003" w:rsidRPr="00A608EE" w:rsidRDefault="00DC2003"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5.A.2.3</w:t>
      </w:r>
    </w:p>
    <w:p w14:paraId="3FC96ADA" w14:textId="0DB9F8E5" w:rsidR="00FC7027" w:rsidRPr="00A608EE" w:rsidRDefault="00FC7027" w:rsidP="00A27AAA">
      <w:pPr>
        <w:pStyle w:val="NormalWeb"/>
        <w:numPr>
          <w:ilvl w:val="0"/>
          <w:numId w:val="47"/>
        </w:numPr>
        <w:spacing w:before="0" w:beforeAutospacing="0" w:after="0" w:afterAutospacing="0"/>
        <w:jc w:val="both"/>
        <w:rPr>
          <w:rFonts w:asciiTheme="majorHAnsi" w:hAnsiTheme="majorHAnsi"/>
          <w:sz w:val="20"/>
          <w:szCs w:val="20"/>
        </w:rPr>
      </w:pPr>
      <w:hyperlink r:id="rId252" w:history="1">
        <w:r w:rsidRPr="00A608EE">
          <w:rPr>
            <w:rStyle w:val="Hyperlink"/>
            <w:rFonts w:asciiTheme="majorHAnsi" w:hAnsiTheme="majorHAnsi"/>
            <w:sz w:val="20"/>
            <w:szCs w:val="20"/>
          </w:rPr>
          <w:t>How to Analyze Your Gender Pay Gap: An Employer’s Guide</w:t>
        </w:r>
      </w:hyperlink>
    </w:p>
    <w:p w14:paraId="40CF07F8" w14:textId="77777777" w:rsidR="00A573CD" w:rsidRPr="00A608EE" w:rsidRDefault="00A573CD" w:rsidP="00EE208A">
      <w:pPr>
        <w:pStyle w:val="NormalWeb"/>
        <w:spacing w:before="0" w:beforeAutospacing="0" w:after="0" w:afterAutospacing="0"/>
        <w:jc w:val="both"/>
        <w:rPr>
          <w:rFonts w:asciiTheme="majorHAnsi" w:hAnsiTheme="majorHAnsi"/>
          <w:sz w:val="20"/>
          <w:szCs w:val="20"/>
        </w:rPr>
      </w:pPr>
    </w:p>
    <w:p w14:paraId="0F3F7132" w14:textId="77777777" w:rsidR="00FC7027" w:rsidRPr="00A608EE" w:rsidRDefault="00FC7027" w:rsidP="00EE208A">
      <w:pPr>
        <w:pStyle w:val="NormalWeb"/>
        <w:spacing w:before="0" w:beforeAutospacing="0" w:after="0" w:afterAutospacing="0"/>
        <w:jc w:val="both"/>
        <w:rPr>
          <w:rFonts w:asciiTheme="majorHAnsi" w:hAnsiTheme="majorHAnsi"/>
          <w:sz w:val="20"/>
          <w:szCs w:val="20"/>
        </w:rPr>
      </w:pPr>
    </w:p>
    <w:p w14:paraId="03EB1DC5" w14:textId="5FF08AC1" w:rsidR="00713B24" w:rsidRPr="00A608EE" w:rsidRDefault="00713B24" w:rsidP="00EE208A">
      <w:pPr>
        <w:pStyle w:val="Heading3"/>
        <w:spacing w:before="0" w:line="240" w:lineRule="auto"/>
        <w:jc w:val="both"/>
      </w:pPr>
      <w:bookmarkStart w:id="92" w:name="_Toc230938813"/>
      <w:r w:rsidRPr="00A608EE">
        <w:rPr>
          <w:rStyle w:val="text-primary"/>
        </w:rPr>
        <w:t>5.A.3</w:t>
      </w:r>
      <w:r w:rsidRPr="00A608EE">
        <w:t xml:space="preserve"> </w:t>
      </w:r>
      <w:r w:rsidR="00DC2003" w:rsidRPr="00A608EE">
        <w:t>The provider has a safety and health management system</w:t>
      </w:r>
      <w:r w:rsidR="00F8631F" w:rsidRPr="00A608EE">
        <w:t>.</w:t>
      </w:r>
      <w:bookmarkEnd w:id="92"/>
    </w:p>
    <w:p w14:paraId="37E2BBB5"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5E68FC26" w14:textId="7871915E"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assess at least annually the health and safety risks both in the office and in the field that employees face while performing their job functions. A workplace risk assessment by different employee characteristics, including gender and disability, is a key tool for improving occupational safety and health conditions at work. It plays an important role in protecting workers and businesses, as well as complying with the laws in many countries.</w:t>
      </w:r>
    </w:p>
    <w:p w14:paraId="33340F90"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7C9E2474" w14:textId="1047F2A3"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key to risk assessments is not to overcomplicate the process. In many organizations, the risks are well known, and the necessary control measures are easy to apply. A risk assessment can be done by anyone in the organization—employees in charge do not have to be safety and health experts. Providers are advised to form a joint management-employee safety committee to ensure that there are representatives from all types of employees (males/females, field workers/office staff, employees with special needs, etc.) to help everyone focus on the risks at least annually that really matter in the workplace – the ones with the potential to cause real harm. It should identify the hazard and the required control measures:</w:t>
      </w:r>
    </w:p>
    <w:p w14:paraId="59E9707F" w14:textId="77777777" w:rsidR="00DC2003" w:rsidRPr="00A608EE" w:rsidRDefault="00DC2003" w:rsidP="00A27AAA">
      <w:pPr>
        <w:pStyle w:val="NormalWeb"/>
        <w:numPr>
          <w:ilvl w:val="0"/>
          <w:numId w:val="3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hazard is anything that may cause harm, such as electricity, an open drawer, demanding and stressful work, a motorbike, etc.;</w:t>
      </w:r>
    </w:p>
    <w:p w14:paraId="6B8DA9CD" w14:textId="77777777" w:rsidR="00DC2003" w:rsidRPr="00A608EE" w:rsidRDefault="00DC2003" w:rsidP="00A27AAA">
      <w:pPr>
        <w:pStyle w:val="NormalWeb"/>
        <w:numPr>
          <w:ilvl w:val="0"/>
          <w:numId w:val="3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risk is the chance, high or low, that somebody could be harmed by these and other hazards, together with an indication of how serious the harm could be.</w:t>
      </w:r>
    </w:p>
    <w:p w14:paraId="34B80C5E" w14:textId="77777777" w:rsidR="00DC2003" w:rsidRPr="00A608EE" w:rsidRDefault="00DC2003" w:rsidP="00A27AAA">
      <w:pPr>
        <w:pStyle w:val="NormalWeb"/>
        <w:numPr>
          <w:ilvl w:val="0"/>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International Labor Organization (ILO) recommends a five-step process for conducting a risk assessment:</w:t>
      </w:r>
    </w:p>
    <w:p w14:paraId="13BF4566" w14:textId="77777777" w:rsidR="00DC2003" w:rsidRPr="00A608EE" w:rsidRDefault="00DC2003" w:rsidP="00A27AAA">
      <w:pPr>
        <w:pStyle w:val="NormalWeb"/>
        <w:numPr>
          <w:ilvl w:val="0"/>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Identify the hazards. What are the workplace risks that could cause harm? To consider other hazards to assess, you may want to:</w:t>
      </w:r>
    </w:p>
    <w:p w14:paraId="2BD605F7" w14:textId="77777777" w:rsidR="00DC2003" w:rsidRPr="00A608EE" w:rsidRDefault="2975F0E7" w:rsidP="00A27AAA">
      <w:pPr>
        <w:pStyle w:val="NormalWeb"/>
        <w:numPr>
          <w:ilvl w:val="1"/>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consult other examples of risk assessment tools (see resources at the end of this section);</w:t>
      </w:r>
    </w:p>
    <w:p w14:paraId="4CAF9924" w14:textId="77777777" w:rsidR="00DC2003" w:rsidRPr="00A608EE" w:rsidRDefault="00DC2003" w:rsidP="00A27AAA">
      <w:pPr>
        <w:pStyle w:val="NormalWeb"/>
        <w:numPr>
          <w:ilvl w:val="1"/>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walk around the offices and note items that might pose a risk;</w:t>
      </w:r>
    </w:p>
    <w:p w14:paraId="0792CDB4" w14:textId="77777777" w:rsidR="00DC2003" w:rsidRPr="00A608EE" w:rsidRDefault="00DC2003" w:rsidP="00A27AAA">
      <w:pPr>
        <w:pStyle w:val="NormalWeb"/>
        <w:numPr>
          <w:ilvl w:val="1"/>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talk to supervisors, staff, drivers, and contractors on their concerns and opinions about health and safety issues in the workplace;</w:t>
      </w:r>
    </w:p>
    <w:p w14:paraId="25EA1AC7" w14:textId="77777777" w:rsidR="00DC2003" w:rsidRPr="00A608EE" w:rsidRDefault="00DC2003" w:rsidP="00A27AAA">
      <w:pPr>
        <w:pStyle w:val="NormalWeb"/>
        <w:numPr>
          <w:ilvl w:val="1"/>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and consult reports documenting past workplace accidents.</w:t>
      </w:r>
    </w:p>
    <w:p w14:paraId="21121A76" w14:textId="77777777" w:rsidR="00DC2003" w:rsidRPr="00A608EE" w:rsidRDefault="00DC2003" w:rsidP="00A27AAA">
      <w:pPr>
        <w:pStyle w:val="NormalWeb"/>
        <w:numPr>
          <w:ilvl w:val="0"/>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For each hazard, identify who might be harmed/ affected and how.</w:t>
      </w:r>
    </w:p>
    <w:p w14:paraId="4E8DF65C" w14:textId="77777777" w:rsidR="00DC2003" w:rsidRPr="00A608EE" w:rsidRDefault="00DC2003" w:rsidP="00A27AAA">
      <w:pPr>
        <w:pStyle w:val="NormalWeb"/>
        <w:numPr>
          <w:ilvl w:val="0"/>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Note the existing controls in place to manage hazards, or what needs to be done to control the risk.</w:t>
      </w:r>
    </w:p>
    <w:p w14:paraId="37310AED" w14:textId="77777777" w:rsidR="00DC2003" w:rsidRPr="00A608EE" w:rsidRDefault="00DC2003" w:rsidP="00A27AAA">
      <w:pPr>
        <w:pStyle w:val="NormalWeb"/>
        <w:numPr>
          <w:ilvl w:val="0"/>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Note who is responsible for putting the suggested risk control measures into practice, and by what date.</w:t>
      </w:r>
    </w:p>
    <w:p w14:paraId="6F7D0853" w14:textId="77777777" w:rsidR="00DC2003" w:rsidRPr="00A608EE" w:rsidRDefault="00DC2003" w:rsidP="00A27AAA">
      <w:pPr>
        <w:pStyle w:val="NormalWeb"/>
        <w:numPr>
          <w:ilvl w:val="0"/>
          <w:numId w:val="3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Share the completed risk assessment with staff (if your institution is too big to share with all staff, share at least with senior management and middle managers).</w:t>
      </w:r>
    </w:p>
    <w:p w14:paraId="648581BD"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2AB55D60" w14:textId="6F45D190"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provide employees with training to mitigate each of the risks free of charge and available to all employees. In addition to training, providers should provide employees with free-of-charge equipment to mitigate health and safety risks. It should be equally distributed to male and female employees and take into account gender differences (e.g., protective gear in women’s sizing). Examples include helmets and other safety gear for motorbike drivers and soap for employee washrooms.</w:t>
      </w:r>
    </w:p>
    <w:p w14:paraId="539AAEED"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0ACC0438" w14:textId="70CF1662"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manuals should cover:</w:t>
      </w:r>
    </w:p>
    <w:p w14:paraId="4FCA91BD" w14:textId="77777777" w:rsidR="00DC2003" w:rsidRPr="00A608EE" w:rsidRDefault="00DC2003" w:rsidP="00A27AAA">
      <w:pPr>
        <w:pStyle w:val="NormalWeb"/>
        <w:numPr>
          <w:ilvl w:val="0"/>
          <w:numId w:val="30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following up on any incidents of on-the-job accidents, injuries, or diseases;</w:t>
      </w:r>
    </w:p>
    <w:p w14:paraId="2945DEBF" w14:textId="77777777" w:rsidR="00DC2003" w:rsidRPr="00A608EE" w:rsidRDefault="00DC2003" w:rsidP="00A27AAA">
      <w:pPr>
        <w:pStyle w:val="NormalWeb"/>
        <w:numPr>
          <w:ilvl w:val="0"/>
          <w:numId w:val="30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procedures for documenting an incident, reporting it to relevant people and committees (e.g., board committee on employee issues, health institutions), investigating the reasons for the incident, and following up with any corrective measures.</w:t>
      </w:r>
    </w:p>
    <w:p w14:paraId="55700DB7"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787F0C1E" w14:textId="7035A7B7"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Providers should have a line-item in their annual budget and staff time for supporting the risk prevention and handling activities. This sends a strong signal to employees that their employer their well-being.</w:t>
      </w:r>
    </w:p>
    <w:p w14:paraId="663C835D" w14:textId="77777777" w:rsidR="00DC2003" w:rsidRPr="00A608EE" w:rsidRDefault="00DC2003" w:rsidP="00EE208A">
      <w:pPr>
        <w:pStyle w:val="NormalWeb"/>
        <w:spacing w:before="0" w:beforeAutospacing="0" w:after="0" w:afterAutospacing="0"/>
        <w:jc w:val="both"/>
        <w:rPr>
          <w:rFonts w:asciiTheme="majorHAnsi" w:hAnsiTheme="majorHAnsi"/>
          <w:b/>
          <w:bCs/>
          <w:sz w:val="20"/>
          <w:szCs w:val="20"/>
        </w:rPr>
      </w:pPr>
    </w:p>
    <w:p w14:paraId="3D00C6B9" w14:textId="3F9C3225" w:rsidR="00DC2003" w:rsidRPr="00A608EE" w:rsidRDefault="00DC2003"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Example of incident procedure in action</w:t>
      </w:r>
    </w:p>
    <w:p w14:paraId="61D4695E" w14:textId="331F71A0"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loan officer sustains injuries when his motorbike slips off the road, due to worn treads on the bike tires. The HR manager advises the employee to seek medical attention (if needed, which is covered by workplace insurance) documents the accident, and then submits the case with the recommendation of inspecting all motorbike tires on a quarterly/bi-ann</w:t>
      </w:r>
      <w:r w:rsidR="00BA557D" w:rsidRPr="00A608EE">
        <w:rPr>
          <w:rFonts w:asciiTheme="majorHAnsi" w:hAnsiTheme="majorHAnsi"/>
          <w:sz w:val="20"/>
          <w:szCs w:val="20"/>
        </w:rPr>
        <w:t>u</w:t>
      </w:r>
      <w:r w:rsidRPr="00A608EE">
        <w:rPr>
          <w:rFonts w:asciiTheme="majorHAnsi" w:hAnsiTheme="majorHAnsi"/>
          <w:sz w:val="20"/>
          <w:szCs w:val="20"/>
        </w:rPr>
        <w:t>ally basis with prompt replacement of worn tires to her/his supervisor.</w:t>
      </w:r>
    </w:p>
    <w:p w14:paraId="44C7C9F9" w14:textId="77777777" w:rsidR="00DC2003" w:rsidRPr="00A608EE" w:rsidRDefault="00DC2003" w:rsidP="00EE208A">
      <w:pPr>
        <w:pStyle w:val="NormalWeb"/>
        <w:spacing w:before="0" w:beforeAutospacing="0" w:after="0" w:afterAutospacing="0"/>
        <w:jc w:val="both"/>
        <w:rPr>
          <w:rFonts w:asciiTheme="majorHAnsi" w:hAnsiTheme="majorHAnsi"/>
          <w:sz w:val="20"/>
          <w:szCs w:val="20"/>
        </w:rPr>
      </w:pPr>
    </w:p>
    <w:p w14:paraId="2CDB23E6" w14:textId="730292D4" w:rsidR="00DC2003" w:rsidRPr="00A608EE" w:rsidRDefault="00DC200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also compensate employees who miss work as a result of work-related injuries. If such compensation is not regulated by the national labor laws, they should develop a clear policy on the number of days that are paid when employees are on medical leave due to work-induced health problems. Such compensation might be included in an employee medical insurance product. The policy should state the maximum number of paid days off for medical leave. Also, this policy should state what happens if the employee finishes the maximum number of days and is still declared not able to work again due to the injuries (long-term disability).</w:t>
      </w:r>
    </w:p>
    <w:p w14:paraId="5E14C685" w14:textId="77777777" w:rsidR="00A573CD" w:rsidRPr="00A608EE" w:rsidRDefault="00A573CD" w:rsidP="00EE208A">
      <w:pPr>
        <w:pStyle w:val="NormalWeb"/>
        <w:spacing w:before="0" w:beforeAutospacing="0" w:after="0" w:afterAutospacing="0"/>
        <w:jc w:val="both"/>
        <w:rPr>
          <w:rFonts w:asciiTheme="majorHAnsi" w:hAnsiTheme="majorHAnsi"/>
          <w:sz w:val="20"/>
          <w:szCs w:val="20"/>
        </w:rPr>
      </w:pPr>
    </w:p>
    <w:p w14:paraId="78E3A195" w14:textId="77777777" w:rsidR="00DC2003" w:rsidRPr="00A608EE" w:rsidRDefault="00DC2003" w:rsidP="00EE208A">
      <w:pPr>
        <w:pStyle w:val="Heading4"/>
        <w:spacing w:before="0" w:line="240" w:lineRule="auto"/>
        <w:jc w:val="both"/>
        <w:rPr>
          <w:rStyle w:val="text-primary"/>
        </w:rPr>
      </w:pPr>
    </w:p>
    <w:p w14:paraId="5C583FAE" w14:textId="531F10F6" w:rsidR="00713B24" w:rsidRPr="00A608EE" w:rsidRDefault="00713B24" w:rsidP="00EE208A">
      <w:pPr>
        <w:pStyle w:val="Heading4"/>
        <w:spacing w:before="0" w:line="240" w:lineRule="auto"/>
        <w:jc w:val="both"/>
      </w:pPr>
      <w:r w:rsidRPr="00A608EE">
        <w:rPr>
          <w:rStyle w:val="text-primary"/>
        </w:rPr>
        <w:t>5.A.3.1</w:t>
      </w:r>
      <w:r w:rsidRPr="00A608EE">
        <w:t xml:space="preserve"> </w:t>
      </w:r>
      <w:r w:rsidR="00AA4C69" w:rsidRPr="00A608EE">
        <w:t>The provider assesses the health and safety risks faced by its employees and audits its existing safety measures. Minimum frequency: annually.</w:t>
      </w:r>
    </w:p>
    <w:p w14:paraId="436BFF91" w14:textId="77777777" w:rsidR="00F24B54" w:rsidRPr="00A608EE" w:rsidRDefault="00F24B54" w:rsidP="00EE208A">
      <w:pPr>
        <w:jc w:val="both"/>
        <w:rPr>
          <w:rFonts w:asciiTheme="majorHAnsi" w:hAnsiTheme="majorHAnsi"/>
          <w:szCs w:val="20"/>
        </w:rPr>
      </w:pPr>
    </w:p>
    <w:p w14:paraId="6F27B9C9" w14:textId="507CA930" w:rsidR="00FC7027"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FC7027" w:rsidRPr="00A608EE">
        <w:rPr>
          <w:rFonts w:asciiTheme="majorHAnsi" w:hAnsiTheme="majorHAnsi" w:cstheme="majorHAnsi"/>
          <w:b/>
          <w:bCs/>
          <w:color w:val="2145CC" w:themeColor="accent5" w:themeShade="BF"/>
          <w:sz w:val="20"/>
          <w:szCs w:val="20"/>
        </w:rPr>
        <w:t>ESG Risk</w:t>
      </w:r>
      <w:r w:rsidR="00856562" w:rsidRPr="00A608EE">
        <w:rPr>
          <w:rFonts w:asciiTheme="majorHAnsi" w:hAnsiTheme="majorHAnsi" w:cstheme="majorHAnsi"/>
          <w:b/>
          <w:bCs/>
          <w:color w:val="2145CC" w:themeColor="accent5" w:themeShade="BF"/>
          <w:sz w:val="20"/>
          <w:szCs w:val="20"/>
        </w:rPr>
        <w:t xml:space="preserve"> |</w:t>
      </w:r>
      <w:r w:rsidR="00FC7027" w:rsidRPr="00A608EE">
        <w:rPr>
          <w:rFonts w:asciiTheme="majorHAnsi" w:hAnsiTheme="majorHAnsi" w:cstheme="majorHAnsi"/>
          <w:b/>
          <w:bCs/>
          <w:color w:val="2145CC" w:themeColor="accent5" w:themeShade="BF"/>
          <w:sz w:val="20"/>
          <w:szCs w:val="20"/>
        </w:rPr>
        <w:t xml:space="preserve"> ALINUS</w:t>
      </w:r>
      <w:r w:rsidR="00856562" w:rsidRPr="00A608EE">
        <w:rPr>
          <w:rFonts w:asciiTheme="majorHAnsi" w:hAnsiTheme="majorHAnsi" w:cstheme="majorHAnsi"/>
          <w:b/>
          <w:bCs/>
          <w:color w:val="2145CC" w:themeColor="accent5" w:themeShade="BF"/>
          <w:sz w:val="20"/>
          <w:szCs w:val="20"/>
        </w:rPr>
        <w:t xml:space="preserve"> |</w:t>
      </w:r>
      <w:r w:rsidR="00FC7027" w:rsidRPr="00A608EE">
        <w:rPr>
          <w:rFonts w:asciiTheme="majorHAnsi" w:hAnsiTheme="majorHAnsi" w:cstheme="majorHAnsi"/>
          <w:b/>
          <w:bCs/>
          <w:color w:val="2145CC" w:themeColor="accent5" w:themeShade="BF"/>
          <w:sz w:val="20"/>
          <w:szCs w:val="20"/>
        </w:rPr>
        <w:t xml:space="preserve"> SPI5 Entry</w:t>
      </w:r>
      <w:r w:rsidR="00856562" w:rsidRPr="00A608EE">
        <w:rPr>
          <w:rFonts w:asciiTheme="majorHAnsi" w:hAnsiTheme="majorHAnsi" w:cstheme="majorHAnsi"/>
          <w:b/>
          <w:bCs/>
          <w:color w:val="2145CC" w:themeColor="accent5" w:themeShade="BF"/>
          <w:sz w:val="20"/>
          <w:szCs w:val="20"/>
        </w:rPr>
        <w:t xml:space="preserve"> | </w:t>
      </w:r>
      <w:r w:rsidR="00FC7027"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09A7384E" w14:textId="7B824E40" w:rsidR="00FC7027" w:rsidRPr="00A608EE" w:rsidRDefault="00FC7027" w:rsidP="00D402B3">
      <w:pPr>
        <w:pStyle w:val="paragraph"/>
        <w:spacing w:before="120" w:beforeAutospacing="0" w:after="120" w:afterAutospacing="0"/>
        <w:jc w:val="both"/>
        <w:textAlignment w:val="baseline"/>
        <w:rPr>
          <w:rFonts w:asciiTheme="majorHAnsi" w:hAnsiTheme="majorHAnsi"/>
          <w:sz w:val="20"/>
          <w:szCs w:val="20"/>
        </w:rPr>
      </w:pPr>
    </w:p>
    <w:p w14:paraId="7B9BC80E" w14:textId="3F767CD1" w:rsidR="00B446B9" w:rsidRPr="00A608EE" w:rsidRDefault="00AA4C69" w:rsidP="00EE208A">
      <w:p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A workplace risk assessment is one of the key tools for improving occupational safety and health conditions at work. It plays an important role in protecting workers and businesses, as well as complying with the labor laws in many countries. It helps everyone focus on the risks that really matter in the workplace – the ones with the potential to cause real harm. A risk assessment should be performed at least annually and should identify the hazard and the required control measures.</w:t>
      </w:r>
    </w:p>
    <w:p w14:paraId="63A8B16B" w14:textId="77777777" w:rsidR="00672763" w:rsidRPr="00A608EE" w:rsidRDefault="00672763" w:rsidP="00EE208A">
      <w:pPr>
        <w:shd w:val="clear" w:color="auto" w:fill="FFFFFF"/>
        <w:jc w:val="both"/>
        <w:rPr>
          <w:rFonts w:asciiTheme="majorHAnsi" w:hAnsiTheme="majorHAnsi"/>
          <w:sz w:val="20"/>
          <w:szCs w:val="20"/>
          <w:lang w:eastAsia="fr-FR"/>
        </w:rPr>
      </w:pPr>
    </w:p>
    <w:p w14:paraId="1A28C0B4"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91712" behindDoc="1" locked="0" layoutInCell="1" allowOverlap="1" wp14:anchorId="28756B98" wp14:editId="318794BE">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334025434"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A6E726F" w14:textId="77777777" w:rsidR="00672763" w:rsidRPr="00A608EE" w:rsidRDefault="00672763" w:rsidP="00EE208A">
      <w:pPr>
        <w:shd w:val="clear" w:color="auto" w:fill="FFFFFF"/>
        <w:jc w:val="both"/>
        <w:rPr>
          <w:rFonts w:asciiTheme="majorHAnsi" w:hAnsiTheme="majorHAnsi"/>
          <w:sz w:val="20"/>
          <w:szCs w:val="20"/>
          <w:lang w:eastAsia="fr-FR"/>
        </w:rPr>
      </w:pPr>
    </w:p>
    <w:p w14:paraId="52FD829B" w14:textId="68BAE237" w:rsidR="00567651" w:rsidRPr="00A608EE" w:rsidRDefault="00386AB6" w:rsidP="00EE208A">
      <w:pPr>
        <w:shd w:val="clear" w:color="auto" w:fill="FFFFFF"/>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567651" w:rsidRPr="00A608EE">
        <w:rPr>
          <w:rFonts w:asciiTheme="majorHAnsi" w:hAnsiTheme="majorHAnsi"/>
          <w:sz w:val="20"/>
          <w:szCs w:val="20"/>
          <w:lang w:eastAsia="fr-FR"/>
        </w:rPr>
        <w:t>The provider assesses specific health and safety risks faced by employees with disabilities as part of its assessments.</w:t>
      </w:r>
    </w:p>
    <w:p w14:paraId="0B5AE11D" w14:textId="48468BF5" w:rsidR="000376EF" w:rsidRPr="00A608EE" w:rsidRDefault="000F290F" w:rsidP="00EE208A">
      <w:pPr>
        <w:shd w:val="clear" w:color="auto" w:fill="FFFFFF"/>
        <w:jc w:val="both"/>
        <w:rPr>
          <w:rFonts w:asciiTheme="majorHAnsi" w:hAnsiTheme="majorHAnsi"/>
          <w:sz w:val="20"/>
          <w:szCs w:val="20"/>
          <w:lang w:eastAsia="fr-FR"/>
        </w:rPr>
      </w:pPr>
      <w:r w:rsidRPr="00A608EE">
        <w:rPr>
          <w:noProof/>
        </w:rPr>
        <w:lastRenderedPageBreak/>
        <mc:AlternateContent>
          <mc:Choice Requires="wps">
            <w:drawing>
              <wp:inline distT="0" distB="0" distL="0" distR="0" wp14:anchorId="0A657085" wp14:editId="1882240B">
                <wp:extent cx="1828800" cy="4641850"/>
                <wp:effectExtent l="0" t="0" r="11430" b="19050"/>
                <wp:docPr id="846583633" name="Cuadro de texto 1"/>
                <wp:cNvGraphicFramePr/>
                <a:graphic xmlns:a="http://schemas.openxmlformats.org/drawingml/2006/main">
                  <a:graphicData uri="http://schemas.microsoft.com/office/word/2010/wordprocessingShape">
                    <wps:wsp>
                      <wps:cNvSpPr txBox="1"/>
                      <wps:spPr>
                        <a:xfrm>
                          <a:off x="0" y="0"/>
                          <a:ext cx="1828800" cy="4641850"/>
                        </a:xfrm>
                        <a:prstGeom prst="rect">
                          <a:avLst/>
                        </a:prstGeom>
                        <a:noFill/>
                        <a:ln w="6350">
                          <a:solidFill>
                            <a:prstClr val="black"/>
                          </a:solidFill>
                        </a:ln>
                      </wps:spPr>
                      <wps:txbx>
                        <w:txbxContent>
                          <w:p w14:paraId="0AEE6EB8" w14:textId="4E864EBA" w:rsidR="000F290F" w:rsidRPr="00820B09" w:rsidRDefault="00EB123D" w:rsidP="000F290F">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8C6FF2" w:rsidRPr="00820B09">
                              <w:rPr>
                                <w:rFonts w:asciiTheme="majorHAnsi" w:hAnsiTheme="majorHAnsi"/>
                                <w:b/>
                                <w:bCs/>
                                <w:sz w:val="20"/>
                                <w:szCs w:val="20"/>
                              </w:rPr>
                              <w:t>5</w:t>
                            </w:r>
                            <w:r w:rsidR="000F290F" w:rsidRPr="00820B09">
                              <w:rPr>
                                <w:rFonts w:asciiTheme="majorHAnsi" w:hAnsiTheme="majorHAnsi"/>
                                <w:b/>
                                <w:bCs/>
                                <w:sz w:val="20"/>
                                <w:szCs w:val="20"/>
                              </w:rPr>
                              <w:t>.A.</w:t>
                            </w:r>
                            <w:r w:rsidR="008C6FF2" w:rsidRPr="00820B09">
                              <w:rPr>
                                <w:rFonts w:asciiTheme="majorHAnsi" w:hAnsiTheme="majorHAnsi"/>
                                <w:b/>
                                <w:bCs/>
                                <w:sz w:val="20"/>
                                <w:szCs w:val="20"/>
                              </w:rPr>
                              <w:t>3</w:t>
                            </w:r>
                            <w:r w:rsidR="000F290F" w:rsidRPr="00820B09">
                              <w:rPr>
                                <w:rFonts w:asciiTheme="majorHAnsi" w:hAnsiTheme="majorHAnsi"/>
                                <w:b/>
                                <w:bCs/>
                                <w:sz w:val="20"/>
                                <w:szCs w:val="20"/>
                              </w:rPr>
                              <w:t>.1</w:t>
                            </w:r>
                          </w:p>
                          <w:p w14:paraId="6C8D4029" w14:textId="210E6863" w:rsidR="000F290F" w:rsidRPr="00820B09" w:rsidRDefault="000F290F" w:rsidP="000F290F">
                            <w:pPr>
                              <w:pStyle w:val="NormalWeb"/>
                              <w:jc w:val="both"/>
                              <w:rPr>
                                <w:rFonts w:asciiTheme="majorHAnsi" w:hAnsiTheme="majorHAnsi"/>
                                <w:sz w:val="20"/>
                                <w:szCs w:val="20"/>
                              </w:rPr>
                            </w:pPr>
                            <w:r w:rsidRPr="00820B09">
                              <w:rPr>
                                <w:rFonts w:asciiTheme="majorHAnsi" w:hAnsiTheme="majorHAnsi"/>
                                <w:sz w:val="20"/>
                                <w:szCs w:val="20"/>
                              </w:rPr>
                              <w:t>Employees with disabilities may experience particular risks in all health and safety dimensions.</w:t>
                            </w:r>
                            <w:r w:rsidR="008C6FF2" w:rsidRPr="00820B09">
                              <w:rPr>
                                <w:rFonts w:asciiTheme="majorHAnsi" w:hAnsiTheme="majorHAnsi"/>
                                <w:sz w:val="20"/>
                                <w:szCs w:val="20"/>
                              </w:rPr>
                              <w:t xml:space="preserve"> </w:t>
                            </w:r>
                            <w:r w:rsidRPr="00820B09">
                              <w:rPr>
                                <w:rFonts w:asciiTheme="majorHAnsi" w:hAnsiTheme="majorHAnsi"/>
                                <w:sz w:val="20"/>
                                <w:szCs w:val="20"/>
                              </w:rPr>
                              <w:t>To safeguard all employees, and comply with legal requirements in many countries, providers should ensure workplace health and safety (WHS) practices integrate considerations for employees with disabilities across risk assessments, risk mitigation, emergency procedures, incident reporting, and staff training. This should be carried out in collaboration with employees with disabilities, and specialized service providers where required.</w:t>
                            </w:r>
                          </w:p>
                          <w:p w14:paraId="6982612A" w14:textId="77777777" w:rsidR="008C6FF2" w:rsidRPr="00820B09" w:rsidRDefault="000F290F" w:rsidP="008C6FF2">
                            <w:pPr>
                              <w:pStyle w:val="NormalWeb"/>
                              <w:jc w:val="both"/>
                              <w:rPr>
                                <w:rFonts w:asciiTheme="majorHAnsi" w:hAnsiTheme="majorHAnsi"/>
                                <w:sz w:val="20"/>
                                <w:szCs w:val="20"/>
                              </w:rPr>
                            </w:pPr>
                            <w:r w:rsidRPr="00820B09">
                              <w:rPr>
                                <w:rFonts w:asciiTheme="majorHAnsi" w:hAnsiTheme="majorHAnsi"/>
                                <w:sz w:val="20"/>
                                <w:szCs w:val="20"/>
                              </w:rPr>
                              <w:t xml:space="preserve">A WHS risk assessment is a systematic process to identify potential hazards in a work environment, evaluate the risk of harm, and implement control measures to eliminate or mitigate those risks in order to protect employees. The WHS risk assessment process should be designed to identify how work environments, job tasks, tools or processes may create specific hazards or increased risks for persons with different types of impairments, and take steps to address these. </w:t>
                            </w:r>
                            <w:r w:rsidR="008C6FF2" w:rsidRPr="00820B09">
                              <w:rPr>
                                <w:rFonts w:asciiTheme="majorHAnsi" w:hAnsiTheme="majorHAnsi"/>
                                <w:sz w:val="20"/>
                                <w:szCs w:val="20"/>
                              </w:rPr>
                              <w:t>WHS risk assessments should include risks related to:</w:t>
                            </w:r>
                          </w:p>
                          <w:p w14:paraId="27FA7D96" w14:textId="77777777" w:rsidR="008C6FF2" w:rsidRPr="00820B09" w:rsidRDefault="008C6FF2" w:rsidP="00A27AAA">
                            <w:pPr>
                              <w:pStyle w:val="NormalWeb"/>
                              <w:numPr>
                                <w:ilvl w:val="0"/>
                                <w:numId w:val="408"/>
                              </w:numPr>
                              <w:jc w:val="both"/>
                              <w:rPr>
                                <w:rFonts w:asciiTheme="majorHAnsi" w:hAnsiTheme="majorHAnsi"/>
                                <w:sz w:val="20"/>
                                <w:szCs w:val="20"/>
                              </w:rPr>
                            </w:pPr>
                            <w:r w:rsidRPr="00820B09">
                              <w:rPr>
                                <w:rFonts w:asciiTheme="majorHAnsi" w:hAnsiTheme="majorHAnsi"/>
                                <w:sz w:val="20"/>
                                <w:szCs w:val="20"/>
                              </w:rPr>
                              <w:t>Workplaces, equipment, tasks and processes.</w:t>
                            </w:r>
                          </w:p>
                          <w:p w14:paraId="618C64AD" w14:textId="77777777" w:rsidR="008C6FF2" w:rsidRPr="00820B09" w:rsidRDefault="008C6FF2" w:rsidP="00A27AAA">
                            <w:pPr>
                              <w:pStyle w:val="NormalWeb"/>
                              <w:numPr>
                                <w:ilvl w:val="0"/>
                                <w:numId w:val="408"/>
                              </w:numPr>
                              <w:jc w:val="both"/>
                              <w:rPr>
                                <w:rFonts w:asciiTheme="majorHAnsi" w:hAnsiTheme="majorHAnsi"/>
                                <w:sz w:val="20"/>
                                <w:szCs w:val="20"/>
                              </w:rPr>
                            </w:pPr>
                            <w:r w:rsidRPr="00820B09">
                              <w:rPr>
                                <w:rFonts w:asciiTheme="majorHAnsi" w:hAnsiTheme="majorHAnsi"/>
                                <w:sz w:val="20"/>
                                <w:szCs w:val="20"/>
                              </w:rPr>
                              <w:t>Psychosocial risks (workload, stress etc.), with particular consideration for employees with intellectual or psychosocial impairments.</w:t>
                            </w:r>
                          </w:p>
                          <w:p w14:paraId="4E7ADF48" w14:textId="21DE205D" w:rsidR="000F290F" w:rsidRPr="00820B09" w:rsidRDefault="008C6FF2" w:rsidP="00A27AAA">
                            <w:pPr>
                              <w:pStyle w:val="NormalWeb"/>
                              <w:numPr>
                                <w:ilvl w:val="0"/>
                                <w:numId w:val="408"/>
                              </w:numPr>
                              <w:jc w:val="both"/>
                              <w:rPr>
                                <w:rFonts w:asciiTheme="majorHAnsi" w:hAnsiTheme="majorHAnsi"/>
                                <w:sz w:val="20"/>
                                <w:szCs w:val="20"/>
                              </w:rPr>
                            </w:pPr>
                            <w:r w:rsidRPr="00820B09">
                              <w:rPr>
                                <w:rFonts w:asciiTheme="majorHAnsi" w:hAnsiTheme="majorHAnsi"/>
                                <w:sz w:val="20"/>
                                <w:szCs w:val="20"/>
                              </w:rPr>
                              <w:t>Emergency and evacuation procedures.</w:t>
                            </w:r>
                          </w:p>
                          <w:p w14:paraId="4D998063" w14:textId="2BF29FE1" w:rsidR="000F290F" w:rsidRPr="00820B09" w:rsidRDefault="000F290F" w:rsidP="000F290F">
                            <w:pPr>
                              <w:pStyle w:val="NormalWeb"/>
                              <w:jc w:val="both"/>
                              <w:rPr>
                                <w:rFonts w:asciiTheme="majorHAnsi" w:hAnsiTheme="majorHAnsi"/>
                                <w:sz w:val="20"/>
                                <w:szCs w:val="20"/>
                              </w:rPr>
                            </w:pPr>
                            <w:r w:rsidRPr="00820B09">
                              <w:rPr>
                                <w:rFonts w:asciiTheme="majorHAnsi" w:hAnsiTheme="majorHAnsi"/>
                                <w:sz w:val="20"/>
                                <w:szCs w:val="20"/>
                              </w:rPr>
                              <w:t xml:space="preserve">In some cases, this may require individualized risk assessments for employees with disabilities, to consider their individual needs and working arrangements. These assessments, and the design of risk mitigation measures, should be undertaken in consultation with the employee. </w:t>
                            </w:r>
                          </w:p>
                          <w:p w14:paraId="0E39CEAA" w14:textId="70DE3CE4" w:rsidR="000F290F" w:rsidRPr="00820B09" w:rsidRDefault="00A80F39" w:rsidP="000F290F">
                            <w:pPr>
                              <w:pStyle w:val="NormalWeb"/>
                              <w:jc w:val="both"/>
                              <w:rPr>
                                <w:rFonts w:asciiTheme="majorHAnsi" w:hAnsiTheme="majorHAnsi"/>
                                <w:sz w:val="20"/>
                                <w:szCs w:val="20"/>
                              </w:rPr>
                            </w:pPr>
                            <w:r w:rsidRPr="00820B09">
                              <w:rPr>
                                <w:rFonts w:asciiTheme="majorHAnsi" w:hAnsiTheme="majorHAnsi"/>
                                <w:sz w:val="20"/>
                                <w:szCs w:val="20"/>
                              </w:rPr>
                              <w:t>See the resources for this indicator. BFFI</w:t>
                            </w:r>
                            <w:r w:rsidR="00907EF8" w:rsidRPr="00820B09">
                              <w:rPr>
                                <w:rFonts w:asciiTheme="majorHAnsi" w:hAnsiTheme="majorHAnsi"/>
                                <w:sz w:val="20"/>
                                <w:szCs w:val="20"/>
                              </w:rPr>
                              <w:t>’s</w:t>
                            </w:r>
                            <w:r w:rsidRPr="00820B09">
                              <w:rPr>
                                <w:rFonts w:asciiTheme="majorHAnsi" w:hAnsiTheme="majorHAnsi"/>
                                <w:sz w:val="20"/>
                                <w:szCs w:val="20"/>
                              </w:rPr>
                              <w:t xml:space="preserve"> Disability Inclusion Guide for FSPs provides more information and resources on disability-inclusive WHS risk assessments.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A657085" id="_x0000_s1063" type="#_x0000_t202" style="width:2in;height:36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" filled="f" strokeweight=".5pt">
                <v:textbox>
                  <w:txbxContent>
                    <w:p w14:paraId="0AEE6EB8" w14:textId="4E864EBA" w:rsidR="000F290F" w:rsidRPr="00820B09" w:rsidRDefault="00EB123D" w:rsidP="000F290F">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8C6FF2" w:rsidRPr="00820B09">
                        <w:rPr>
                          <w:rFonts w:asciiTheme="majorHAnsi" w:hAnsiTheme="majorHAnsi"/>
                          <w:b/>
                          <w:bCs/>
                          <w:sz w:val="20"/>
                          <w:szCs w:val="20"/>
                        </w:rPr>
                        <w:t>5</w:t>
                      </w:r>
                      <w:r w:rsidR="000F290F" w:rsidRPr="00820B09">
                        <w:rPr>
                          <w:rFonts w:asciiTheme="majorHAnsi" w:hAnsiTheme="majorHAnsi"/>
                          <w:b/>
                          <w:bCs/>
                          <w:sz w:val="20"/>
                          <w:szCs w:val="20"/>
                        </w:rPr>
                        <w:t>.A.</w:t>
                      </w:r>
                      <w:r w:rsidR="008C6FF2" w:rsidRPr="00820B09">
                        <w:rPr>
                          <w:rFonts w:asciiTheme="majorHAnsi" w:hAnsiTheme="majorHAnsi"/>
                          <w:b/>
                          <w:bCs/>
                          <w:sz w:val="20"/>
                          <w:szCs w:val="20"/>
                        </w:rPr>
                        <w:t>3</w:t>
                      </w:r>
                      <w:r w:rsidR="000F290F" w:rsidRPr="00820B09">
                        <w:rPr>
                          <w:rFonts w:asciiTheme="majorHAnsi" w:hAnsiTheme="majorHAnsi"/>
                          <w:b/>
                          <w:bCs/>
                          <w:sz w:val="20"/>
                          <w:szCs w:val="20"/>
                        </w:rPr>
                        <w:t>.1</w:t>
                      </w:r>
                    </w:p>
                    <w:p w14:paraId="6C8D4029" w14:textId="210E6863" w:rsidR="000F290F" w:rsidRPr="00820B09" w:rsidRDefault="000F290F" w:rsidP="000F290F">
                      <w:pPr>
                        <w:pStyle w:val="NormalWeb"/>
                        <w:jc w:val="both"/>
                        <w:rPr>
                          <w:rFonts w:asciiTheme="majorHAnsi" w:hAnsiTheme="majorHAnsi"/>
                          <w:sz w:val="20"/>
                          <w:szCs w:val="20"/>
                        </w:rPr>
                      </w:pPr>
                      <w:r w:rsidRPr="00820B09">
                        <w:rPr>
                          <w:rFonts w:asciiTheme="majorHAnsi" w:hAnsiTheme="majorHAnsi"/>
                          <w:sz w:val="20"/>
                          <w:szCs w:val="20"/>
                        </w:rPr>
                        <w:t>Employees with disabilities may experience particular risks in all health and safety dimensions.</w:t>
                      </w:r>
                      <w:r w:rsidR="008C6FF2" w:rsidRPr="00820B09">
                        <w:rPr>
                          <w:rFonts w:asciiTheme="majorHAnsi" w:hAnsiTheme="majorHAnsi"/>
                          <w:sz w:val="20"/>
                          <w:szCs w:val="20"/>
                        </w:rPr>
                        <w:t xml:space="preserve"> </w:t>
                      </w:r>
                      <w:r w:rsidRPr="00820B09">
                        <w:rPr>
                          <w:rFonts w:asciiTheme="majorHAnsi" w:hAnsiTheme="majorHAnsi"/>
                          <w:sz w:val="20"/>
                          <w:szCs w:val="20"/>
                        </w:rPr>
                        <w:t>To safeguard all employees, and comply with legal requirements in many countries, providers should ensure workplace health and safety (WHS) practices integrate considerations for employees with disabilities across risk assessments, risk mitigation, emergency procedures, incident reporting, and staff training. This should be carried out in collaboration with employees with disabilities, and specialized service providers where required.</w:t>
                      </w:r>
                    </w:p>
                    <w:p w14:paraId="6982612A" w14:textId="77777777" w:rsidR="008C6FF2" w:rsidRPr="00820B09" w:rsidRDefault="000F290F" w:rsidP="008C6FF2">
                      <w:pPr>
                        <w:pStyle w:val="NormalWeb"/>
                        <w:jc w:val="both"/>
                        <w:rPr>
                          <w:rFonts w:asciiTheme="majorHAnsi" w:hAnsiTheme="majorHAnsi"/>
                          <w:sz w:val="20"/>
                          <w:szCs w:val="20"/>
                        </w:rPr>
                      </w:pPr>
                      <w:r w:rsidRPr="00820B09">
                        <w:rPr>
                          <w:rFonts w:asciiTheme="majorHAnsi" w:hAnsiTheme="majorHAnsi"/>
                          <w:sz w:val="20"/>
                          <w:szCs w:val="20"/>
                        </w:rPr>
                        <w:t xml:space="preserve">A WHS risk assessment is a systematic process to identify potential hazards in a work environment, evaluate the risk of harm, and implement control measures to eliminate or mitigate those risks in order to protect employees. The WHS risk assessment process should be designed to identify how work environments, job tasks, tools or processes may create specific hazards or increased risks for persons with different types of impairments, and take steps to address these. </w:t>
                      </w:r>
                      <w:r w:rsidR="008C6FF2" w:rsidRPr="00820B09">
                        <w:rPr>
                          <w:rFonts w:asciiTheme="majorHAnsi" w:hAnsiTheme="majorHAnsi"/>
                          <w:sz w:val="20"/>
                          <w:szCs w:val="20"/>
                        </w:rPr>
                        <w:t>WHS risk assessments should include risks related to:</w:t>
                      </w:r>
                    </w:p>
                    <w:p w14:paraId="27FA7D96" w14:textId="77777777" w:rsidR="008C6FF2" w:rsidRPr="00820B09" w:rsidRDefault="008C6FF2" w:rsidP="00A27AAA">
                      <w:pPr>
                        <w:pStyle w:val="NormalWeb"/>
                        <w:numPr>
                          <w:ilvl w:val="0"/>
                          <w:numId w:val="408"/>
                        </w:numPr>
                        <w:jc w:val="both"/>
                        <w:rPr>
                          <w:rFonts w:asciiTheme="majorHAnsi" w:hAnsiTheme="majorHAnsi"/>
                          <w:sz w:val="20"/>
                          <w:szCs w:val="20"/>
                        </w:rPr>
                      </w:pPr>
                      <w:r w:rsidRPr="00820B09">
                        <w:rPr>
                          <w:rFonts w:asciiTheme="majorHAnsi" w:hAnsiTheme="majorHAnsi"/>
                          <w:sz w:val="20"/>
                          <w:szCs w:val="20"/>
                        </w:rPr>
                        <w:t>Workplaces, equipment, tasks and processes.</w:t>
                      </w:r>
                    </w:p>
                    <w:p w14:paraId="618C64AD" w14:textId="77777777" w:rsidR="008C6FF2" w:rsidRPr="00820B09" w:rsidRDefault="008C6FF2" w:rsidP="00A27AAA">
                      <w:pPr>
                        <w:pStyle w:val="NormalWeb"/>
                        <w:numPr>
                          <w:ilvl w:val="0"/>
                          <w:numId w:val="408"/>
                        </w:numPr>
                        <w:jc w:val="both"/>
                        <w:rPr>
                          <w:rFonts w:asciiTheme="majorHAnsi" w:hAnsiTheme="majorHAnsi"/>
                          <w:sz w:val="20"/>
                          <w:szCs w:val="20"/>
                        </w:rPr>
                      </w:pPr>
                      <w:r w:rsidRPr="00820B09">
                        <w:rPr>
                          <w:rFonts w:asciiTheme="majorHAnsi" w:hAnsiTheme="majorHAnsi"/>
                          <w:sz w:val="20"/>
                          <w:szCs w:val="20"/>
                        </w:rPr>
                        <w:t>Psychosocial risks (workload, stress etc.), with particular consideration for employees with intellectual or psychosocial impairments.</w:t>
                      </w:r>
                    </w:p>
                    <w:p w14:paraId="4E7ADF48" w14:textId="21DE205D" w:rsidR="000F290F" w:rsidRPr="00820B09" w:rsidRDefault="008C6FF2" w:rsidP="00A27AAA">
                      <w:pPr>
                        <w:pStyle w:val="NormalWeb"/>
                        <w:numPr>
                          <w:ilvl w:val="0"/>
                          <w:numId w:val="408"/>
                        </w:numPr>
                        <w:jc w:val="both"/>
                        <w:rPr>
                          <w:rFonts w:asciiTheme="majorHAnsi" w:hAnsiTheme="majorHAnsi"/>
                          <w:sz w:val="20"/>
                          <w:szCs w:val="20"/>
                        </w:rPr>
                      </w:pPr>
                      <w:r w:rsidRPr="00820B09">
                        <w:rPr>
                          <w:rFonts w:asciiTheme="majorHAnsi" w:hAnsiTheme="majorHAnsi"/>
                          <w:sz w:val="20"/>
                          <w:szCs w:val="20"/>
                        </w:rPr>
                        <w:t>Emergency and evacuation procedures.</w:t>
                      </w:r>
                    </w:p>
                    <w:p w14:paraId="4D998063" w14:textId="2BF29FE1" w:rsidR="000F290F" w:rsidRPr="00820B09" w:rsidRDefault="000F290F" w:rsidP="000F290F">
                      <w:pPr>
                        <w:pStyle w:val="NormalWeb"/>
                        <w:jc w:val="both"/>
                        <w:rPr>
                          <w:rFonts w:asciiTheme="majorHAnsi" w:hAnsiTheme="majorHAnsi"/>
                          <w:sz w:val="20"/>
                          <w:szCs w:val="20"/>
                        </w:rPr>
                      </w:pPr>
                      <w:r w:rsidRPr="00820B09">
                        <w:rPr>
                          <w:rFonts w:asciiTheme="majorHAnsi" w:hAnsiTheme="majorHAnsi"/>
                          <w:sz w:val="20"/>
                          <w:szCs w:val="20"/>
                        </w:rPr>
                        <w:t xml:space="preserve">In some cases, this may require individualized risk assessments for employees with disabilities, to consider their individual needs and working arrangements. These assessments, and the design of risk mitigation measures, should be undertaken in consultation with the employee. </w:t>
                      </w:r>
                    </w:p>
                    <w:p w14:paraId="0E39CEAA" w14:textId="70DE3CE4" w:rsidR="000F290F" w:rsidRPr="00820B09" w:rsidRDefault="00A80F39" w:rsidP="000F290F">
                      <w:pPr>
                        <w:pStyle w:val="NormalWeb"/>
                        <w:jc w:val="both"/>
                        <w:rPr>
                          <w:rFonts w:asciiTheme="majorHAnsi" w:hAnsiTheme="majorHAnsi"/>
                          <w:sz w:val="20"/>
                          <w:szCs w:val="20"/>
                        </w:rPr>
                      </w:pPr>
                      <w:r w:rsidRPr="00820B09">
                        <w:rPr>
                          <w:rFonts w:asciiTheme="majorHAnsi" w:hAnsiTheme="majorHAnsi"/>
                          <w:sz w:val="20"/>
                          <w:szCs w:val="20"/>
                        </w:rPr>
                        <w:t>See the resources for this indicator. BFFI</w:t>
                      </w:r>
                      <w:r w:rsidR="00907EF8" w:rsidRPr="00820B09">
                        <w:rPr>
                          <w:rFonts w:asciiTheme="majorHAnsi" w:hAnsiTheme="majorHAnsi"/>
                          <w:sz w:val="20"/>
                          <w:szCs w:val="20"/>
                        </w:rPr>
                        <w:t>’s</w:t>
                      </w:r>
                      <w:r w:rsidRPr="00820B09">
                        <w:rPr>
                          <w:rFonts w:asciiTheme="majorHAnsi" w:hAnsiTheme="majorHAnsi"/>
                          <w:sz w:val="20"/>
                          <w:szCs w:val="20"/>
                        </w:rPr>
                        <w:t xml:space="preserve"> Disability Inclusion Guide for FSPs provides more information and resources on disability-inclusive WHS risk assessments. </w:t>
                      </w:r>
                    </w:p>
                  </w:txbxContent>
                </v:textbox>
                <w10:anchorlock/>
              </v:shape>
            </w:pict>
          </mc:Fallback>
        </mc:AlternateContent>
      </w:r>
    </w:p>
    <w:p w14:paraId="2B4A3C71" w14:textId="1B314604" w:rsidR="000F290F" w:rsidRPr="00A608EE" w:rsidRDefault="000F290F" w:rsidP="00EE208A">
      <w:pPr>
        <w:shd w:val="clear" w:color="auto" w:fill="FFFFFF"/>
        <w:jc w:val="both"/>
        <w:rPr>
          <w:rFonts w:asciiTheme="majorHAnsi" w:hAnsiTheme="majorHAnsi"/>
          <w:sz w:val="20"/>
          <w:szCs w:val="20"/>
          <w:lang w:eastAsia="fr-FR"/>
        </w:rPr>
      </w:pPr>
    </w:p>
    <w:p w14:paraId="52B66086" w14:textId="631D7198" w:rsidR="00AA4C69" w:rsidRPr="00A608EE" w:rsidRDefault="00AA4C69" w:rsidP="00EE208A">
      <w:pPr>
        <w:shd w:val="clear" w:color="auto" w:fill="FFFFFF"/>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39A1C60D"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Score ‘yes’, if the provider has a systematic process in place to assess at least annually the health and safety risks</w:t>
      </w:r>
    </w:p>
    <w:p w14:paraId="0E37C49B" w14:textId="77777777" w:rsidR="00AA4C69" w:rsidRPr="00A608EE" w:rsidRDefault="00AA4C69" w:rsidP="00A27AAA">
      <w:pPr>
        <w:numPr>
          <w:ilvl w:val="0"/>
          <w:numId w:val="303"/>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both in the office and in the field,</w:t>
      </w:r>
    </w:p>
    <w:p w14:paraId="0C7E26A8" w14:textId="77777777" w:rsidR="00AA4C69" w:rsidRPr="00A608EE" w:rsidRDefault="00AA4C69" w:rsidP="00A27AAA">
      <w:pPr>
        <w:numPr>
          <w:ilvl w:val="0"/>
          <w:numId w:val="303"/>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differentiated by gender, disability and other employees’ characteristics,</w:t>
      </w:r>
    </w:p>
    <w:p w14:paraId="5E9DC549" w14:textId="77777777" w:rsidR="00AA4C69" w:rsidRPr="00A608EE" w:rsidRDefault="00AA4C69" w:rsidP="00A27AAA">
      <w:pPr>
        <w:numPr>
          <w:ilvl w:val="0"/>
          <w:numId w:val="303"/>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in a participatory process that includes female and male employees with office and field work functions</w:t>
      </w:r>
    </w:p>
    <w:p w14:paraId="65A65B95" w14:textId="77777777" w:rsidR="00AA4C69" w:rsidRPr="00A608EE" w:rsidRDefault="00AA4C69" w:rsidP="00A27AAA">
      <w:pPr>
        <w:numPr>
          <w:ilvl w:val="0"/>
          <w:numId w:val="303"/>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with an audit of the existing safety measures that is</w:t>
      </w:r>
    </w:p>
    <w:p w14:paraId="3A1449B5" w14:textId="77777777" w:rsidR="00AA4C69" w:rsidRPr="00A608EE" w:rsidRDefault="00AA4C69" w:rsidP="00A27AAA">
      <w:pPr>
        <w:numPr>
          <w:ilvl w:val="0"/>
          <w:numId w:val="303"/>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summarized in a written annual report for the board, all employees, and other stakeholders and</w:t>
      </w:r>
    </w:p>
    <w:p w14:paraId="375C71C8" w14:textId="77777777" w:rsidR="00AA4C69" w:rsidRPr="00A608EE" w:rsidRDefault="00AA4C69" w:rsidP="00A27AAA">
      <w:pPr>
        <w:numPr>
          <w:ilvl w:val="0"/>
          <w:numId w:val="303"/>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the full process be documented in the HR Policy &amp; Procedures manual or another HR document.</w:t>
      </w:r>
    </w:p>
    <w:p w14:paraId="7085D501"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Score ‘partially’, if one or two of the six requirements are largely not met or most requirements are met only partly. For instance, (i) the assessment is done only every two years or (ii) it is not complete on hazards or control measures to be analyzed or (iii) it is done top-down by the HR manager without consulting different employees or (iv) the report is not widely disseminated or (v) there is no written documentation of this process.</w:t>
      </w:r>
    </w:p>
    <w:p w14:paraId="59496EEA"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Score ‘no’, if no such process is in place with three or more of the six requirements largely missing.  </w:t>
      </w:r>
    </w:p>
    <w:p w14:paraId="5C1791BC" w14:textId="77777777" w:rsidR="00B446B9" w:rsidRPr="00A608EE" w:rsidRDefault="00B446B9" w:rsidP="00EE208A">
      <w:pPr>
        <w:shd w:val="clear" w:color="auto" w:fill="FFFFFF"/>
        <w:jc w:val="both"/>
        <w:rPr>
          <w:rFonts w:asciiTheme="majorHAnsi" w:hAnsiTheme="majorHAnsi"/>
          <w:sz w:val="20"/>
          <w:szCs w:val="20"/>
          <w:lang w:eastAsia="fr-FR"/>
        </w:rPr>
      </w:pPr>
    </w:p>
    <w:p w14:paraId="7130E20B" w14:textId="3D4A07BC" w:rsidR="00AA4C69" w:rsidRPr="00A608EE" w:rsidRDefault="00AA4C69" w:rsidP="00EE208A">
      <w:pPr>
        <w:shd w:val="clear" w:color="auto" w:fill="FFFFFF"/>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7B5CB46E"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HR Policy &amp; Procedures Manual.</w:t>
      </w:r>
    </w:p>
    <w:p w14:paraId="2E82EAA8"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Last two health and safety risk reports.</w:t>
      </w:r>
    </w:p>
    <w:p w14:paraId="6F70EAE5"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Interviews with HR manager, different employees (women and men with office and field functions), and CEO/deputy CEO.</w:t>
      </w:r>
    </w:p>
    <w:p w14:paraId="59F0586A"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lastRenderedPageBreak/>
        <w:t>Relevant parts of the national labor law and regulations.</w:t>
      </w:r>
    </w:p>
    <w:p w14:paraId="61390263" w14:textId="77777777" w:rsidR="00B446B9" w:rsidRPr="00A608EE" w:rsidRDefault="00B446B9" w:rsidP="00EE208A">
      <w:pPr>
        <w:shd w:val="clear" w:color="auto" w:fill="FFFFFF"/>
        <w:jc w:val="both"/>
        <w:rPr>
          <w:rFonts w:asciiTheme="majorHAnsi" w:hAnsiTheme="majorHAnsi"/>
          <w:b/>
          <w:bCs/>
          <w:sz w:val="20"/>
          <w:szCs w:val="20"/>
          <w:lang w:eastAsia="fr-FR"/>
        </w:rPr>
      </w:pPr>
    </w:p>
    <w:p w14:paraId="747CB2D8" w14:textId="6D0B2FE3" w:rsidR="00AA4C69" w:rsidRPr="00A608EE" w:rsidRDefault="00AA4C69" w:rsidP="00EE208A">
      <w:pPr>
        <w:shd w:val="clear" w:color="auto" w:fill="FFFFFF"/>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6EE60E96"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Specify last risk assessment and/or give examples of health and safety risk reports.</w:t>
      </w:r>
    </w:p>
    <w:p w14:paraId="0ACA9618"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Describe the health and safety risk mitigation actions taken over the past 12 months, including the staff training and the health and safety equipment.</w:t>
      </w:r>
    </w:p>
    <w:p w14:paraId="5772E013" w14:textId="77777777" w:rsidR="00B446B9" w:rsidRPr="00A608EE" w:rsidRDefault="00B446B9" w:rsidP="00EE208A">
      <w:pPr>
        <w:shd w:val="clear" w:color="auto" w:fill="FFFFFF"/>
        <w:jc w:val="both"/>
        <w:rPr>
          <w:rFonts w:asciiTheme="majorHAnsi" w:hAnsiTheme="majorHAnsi"/>
          <w:sz w:val="20"/>
          <w:szCs w:val="20"/>
          <w:lang w:eastAsia="fr-FR"/>
        </w:rPr>
      </w:pPr>
    </w:p>
    <w:p w14:paraId="18ECC51A" w14:textId="37587450" w:rsidR="00AA4C69" w:rsidRPr="00A608EE" w:rsidRDefault="00AA4C69" w:rsidP="00EE208A">
      <w:pPr>
        <w:shd w:val="clear" w:color="auto" w:fill="FFFFFF"/>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5.A.3.1</w:t>
      </w:r>
    </w:p>
    <w:p w14:paraId="4E523AA1"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hyperlink r:id="rId253" w:tgtFrame="_blank" w:history="1">
        <w:r w:rsidRPr="00A608EE">
          <w:rPr>
            <w:rStyle w:val="Hyperlink"/>
            <w:rFonts w:asciiTheme="majorHAnsi" w:hAnsiTheme="majorHAnsi"/>
            <w:sz w:val="20"/>
            <w:szCs w:val="20"/>
            <w:lang w:eastAsia="fr-FR"/>
          </w:rPr>
          <w:t>Canadian Centre for Occupation Health and Safety website lists types of hazards</w:t>
        </w:r>
      </w:hyperlink>
    </w:p>
    <w:p w14:paraId="43A01791"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INRS provides a </w:t>
      </w:r>
      <w:hyperlink r:id="rId254" w:tgtFrame="_blank" w:history="1">
        <w:r w:rsidRPr="00A608EE">
          <w:rPr>
            <w:rStyle w:val="Hyperlink"/>
            <w:rFonts w:asciiTheme="majorHAnsi" w:hAnsiTheme="majorHAnsi"/>
            <w:sz w:val="20"/>
            <w:szCs w:val="20"/>
            <w:lang w:eastAsia="fr-FR"/>
          </w:rPr>
          <w:t>list in French</w:t>
        </w:r>
      </w:hyperlink>
    </w:p>
    <w:p w14:paraId="6FB4F0C9"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r w:rsidRPr="00A608EE">
        <w:rPr>
          <w:rFonts w:asciiTheme="majorHAnsi" w:hAnsiTheme="majorHAnsi"/>
          <w:sz w:val="20"/>
          <w:szCs w:val="20"/>
          <w:lang w:eastAsia="fr-FR"/>
        </w:rPr>
        <w:t>INSHT provides a </w:t>
      </w:r>
      <w:hyperlink r:id="rId255" w:history="1">
        <w:r w:rsidRPr="00A608EE">
          <w:rPr>
            <w:rStyle w:val="Hyperlink"/>
            <w:rFonts w:asciiTheme="majorHAnsi" w:hAnsiTheme="majorHAnsi"/>
            <w:sz w:val="20"/>
            <w:szCs w:val="20"/>
            <w:lang w:eastAsia="fr-FR"/>
          </w:rPr>
          <w:t>list in Spanish</w:t>
        </w:r>
      </w:hyperlink>
    </w:p>
    <w:p w14:paraId="0B864A6E" w14:textId="77777777" w:rsidR="00AA4C69" w:rsidRPr="00A608EE" w:rsidRDefault="00AA4C69" w:rsidP="00A27AAA">
      <w:pPr>
        <w:numPr>
          <w:ilvl w:val="0"/>
          <w:numId w:val="29"/>
        </w:numPr>
        <w:shd w:val="clear" w:color="auto" w:fill="FFFFFF"/>
        <w:jc w:val="both"/>
        <w:rPr>
          <w:rFonts w:asciiTheme="majorHAnsi" w:hAnsiTheme="majorHAnsi"/>
          <w:sz w:val="20"/>
          <w:szCs w:val="20"/>
          <w:lang w:eastAsia="fr-FR"/>
        </w:rPr>
      </w:pPr>
      <w:hyperlink r:id="rId256" w:tgtFrame="_blank" w:history="1">
        <w:r w:rsidRPr="00A608EE">
          <w:rPr>
            <w:rStyle w:val="Hyperlink"/>
            <w:rFonts w:asciiTheme="majorHAnsi" w:hAnsiTheme="majorHAnsi"/>
            <w:sz w:val="20"/>
            <w:szCs w:val="20"/>
            <w:lang w:eastAsia="fr-FR"/>
          </w:rPr>
          <w:t>Example Health and Safety Risks &amp; Training Topics</w:t>
        </w:r>
      </w:hyperlink>
    </w:p>
    <w:p w14:paraId="39E217BB" w14:textId="68F7E407" w:rsidR="00AA4C69" w:rsidRPr="00A608EE" w:rsidRDefault="00AA4C69" w:rsidP="00A27AAA">
      <w:pPr>
        <w:numPr>
          <w:ilvl w:val="0"/>
          <w:numId w:val="29"/>
        </w:numPr>
        <w:shd w:val="clear" w:color="auto" w:fill="FFFFFF"/>
        <w:jc w:val="both"/>
        <w:rPr>
          <w:rFonts w:asciiTheme="majorHAnsi" w:hAnsiTheme="majorHAnsi"/>
          <w:sz w:val="20"/>
          <w:szCs w:val="20"/>
          <w:lang w:eastAsia="fr-FR"/>
        </w:rPr>
      </w:pPr>
      <w:hyperlink r:id="rId257" w:tgtFrame="_blank" w:history="1">
        <w:r w:rsidRPr="00A608EE">
          <w:rPr>
            <w:rStyle w:val="Hyperlink"/>
            <w:rFonts w:asciiTheme="majorHAnsi" w:hAnsiTheme="majorHAnsi"/>
            <w:sz w:val="20"/>
            <w:szCs w:val="20"/>
            <w:lang w:eastAsia="fr-FR"/>
          </w:rPr>
          <w:t>A sample template for health and safe</w:t>
        </w:r>
        <w:r w:rsidR="00BA557D" w:rsidRPr="00A608EE">
          <w:rPr>
            <w:rStyle w:val="Hyperlink"/>
            <w:rFonts w:asciiTheme="majorHAnsi" w:hAnsiTheme="majorHAnsi"/>
            <w:sz w:val="20"/>
            <w:szCs w:val="20"/>
            <w:lang w:eastAsia="fr-FR"/>
          </w:rPr>
          <w:t>t</w:t>
        </w:r>
        <w:r w:rsidRPr="00A608EE">
          <w:rPr>
            <w:rStyle w:val="Hyperlink"/>
            <w:rFonts w:asciiTheme="majorHAnsi" w:hAnsiTheme="majorHAnsi"/>
            <w:sz w:val="20"/>
            <w:szCs w:val="20"/>
            <w:lang w:eastAsia="fr-FR"/>
          </w:rPr>
          <w:t>y risk assessments</w:t>
        </w:r>
      </w:hyperlink>
    </w:p>
    <w:p w14:paraId="23766CE1" w14:textId="3030E54A" w:rsidR="00A573CD" w:rsidRPr="00A608EE" w:rsidRDefault="00AA4C69" w:rsidP="00A27AAA">
      <w:pPr>
        <w:numPr>
          <w:ilvl w:val="0"/>
          <w:numId w:val="29"/>
        </w:numPr>
        <w:shd w:val="clear" w:color="auto" w:fill="FFFFFF"/>
        <w:jc w:val="both"/>
        <w:rPr>
          <w:rFonts w:asciiTheme="majorHAnsi" w:hAnsiTheme="majorHAnsi"/>
          <w:sz w:val="20"/>
          <w:szCs w:val="20"/>
          <w:lang w:eastAsia="fr-FR"/>
        </w:rPr>
      </w:pPr>
      <w:hyperlink r:id="rId258" w:tgtFrame="_blank" w:history="1">
        <w:r w:rsidRPr="00A608EE">
          <w:rPr>
            <w:rStyle w:val="Hyperlink"/>
            <w:rFonts w:asciiTheme="majorHAnsi" w:hAnsiTheme="majorHAnsi"/>
            <w:sz w:val="20"/>
            <w:szCs w:val="20"/>
            <w:lang w:eastAsia="fr-FR"/>
          </w:rPr>
          <w:t>A 5 STEP GUIDE for employers, workers and their representatives on conducting workplace risk assessments</w:t>
        </w:r>
      </w:hyperlink>
    </w:p>
    <w:p w14:paraId="2323E8DF" w14:textId="17376330" w:rsidR="00A80F39" w:rsidRPr="00A608EE" w:rsidRDefault="00A80F39" w:rsidP="00A27AAA">
      <w:pPr>
        <w:pStyle w:val="ListParagraph"/>
        <w:numPr>
          <w:ilvl w:val="0"/>
          <w:numId w:val="29"/>
        </w:numPr>
        <w:rPr>
          <w:rFonts w:asciiTheme="majorHAnsi" w:eastAsia="Times New Roman" w:hAnsiTheme="majorHAnsi" w:cs="Times New Roman"/>
          <w:szCs w:val="20"/>
          <w:lang w:eastAsia="fr-FR"/>
        </w:rPr>
      </w:pPr>
      <w:r w:rsidRPr="00A608EE">
        <w:rPr>
          <w:rFonts w:asciiTheme="majorHAnsi" w:eastAsia="Times New Roman" w:hAnsiTheme="majorHAnsi" w:cs="Times New Roman"/>
          <w:b/>
          <w:bCs/>
          <w:szCs w:val="20"/>
          <w:lang w:eastAsia="fr-FR"/>
        </w:rPr>
        <w:t>[DI Focus]:</w:t>
      </w:r>
      <w:r w:rsidRPr="00A608EE">
        <w:rPr>
          <w:rFonts w:asciiTheme="majorHAnsi" w:eastAsia="Times New Roman" w:hAnsiTheme="majorHAnsi" w:cs="Times New Roman"/>
          <w:szCs w:val="20"/>
          <w:lang w:eastAsia="fr-FR"/>
        </w:rPr>
        <w:t xml:space="preserve"> </w:t>
      </w:r>
      <w:hyperlink r:id="rId259" w:history="1">
        <w:r w:rsidRPr="00A608EE">
          <w:rPr>
            <w:rStyle w:val="Hyperlink"/>
            <w:rFonts w:asciiTheme="majorHAnsi" w:eastAsia="Times New Roman" w:hAnsiTheme="majorHAnsi" w:cs="Times New Roman"/>
            <w:szCs w:val="20"/>
            <w:lang w:eastAsia="fr-FR"/>
          </w:rPr>
          <w:t>European Agency for Safety and Health at Work ‘Ensuring the health and safety of workers with disabilities’: includes detailed action points across the health and safety management system, including checklists for risk assessments</w:t>
        </w:r>
      </w:hyperlink>
    </w:p>
    <w:p w14:paraId="557EDB2D" w14:textId="77777777" w:rsidR="00856562" w:rsidRPr="00A608EE" w:rsidRDefault="00856562" w:rsidP="00EE208A">
      <w:pPr>
        <w:jc w:val="both"/>
        <w:rPr>
          <w:rFonts w:asciiTheme="majorHAnsi" w:hAnsiTheme="majorHAnsi"/>
          <w:szCs w:val="20"/>
        </w:rPr>
      </w:pPr>
    </w:p>
    <w:p w14:paraId="35B97005" w14:textId="1EBF9B40" w:rsidR="00713B24" w:rsidRPr="00A608EE" w:rsidRDefault="00713B24" w:rsidP="00EE208A">
      <w:pPr>
        <w:pStyle w:val="Heading4"/>
        <w:spacing w:before="0" w:line="240" w:lineRule="auto"/>
        <w:jc w:val="both"/>
      </w:pPr>
      <w:r w:rsidRPr="00A608EE">
        <w:rPr>
          <w:rStyle w:val="text-primary"/>
        </w:rPr>
        <w:t>5.A.3.2</w:t>
      </w:r>
      <w:r w:rsidRPr="00A608EE">
        <w:t xml:space="preserve"> </w:t>
      </w:r>
      <w:r w:rsidR="00B446B9" w:rsidRPr="00A608EE">
        <w:t>The provider documents and reports to management all occupational accidents, injuries, and illnesses. The results are disaggregated by gender and by position: Minimum frequency: annually.</w:t>
      </w:r>
    </w:p>
    <w:p w14:paraId="2A07996B" w14:textId="77777777" w:rsidR="00F24B54" w:rsidRPr="00A608EE" w:rsidRDefault="00F24B54" w:rsidP="00EE208A">
      <w:pPr>
        <w:jc w:val="both"/>
        <w:rPr>
          <w:rFonts w:asciiTheme="majorHAnsi" w:hAnsiTheme="majorHAnsi"/>
          <w:szCs w:val="20"/>
        </w:rPr>
      </w:pPr>
    </w:p>
    <w:p w14:paraId="2104E69E" w14:textId="462AAC77" w:rsidR="00856562"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856562"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383D4175" w14:textId="20CC83F9" w:rsidR="00856562" w:rsidRPr="00A608EE" w:rsidRDefault="00567651"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06E66C78" w14:textId="43815DB6" w:rsidR="002C183A" w:rsidRPr="00A608EE" w:rsidRDefault="00B446B9"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 addition to conducting employees’ health and safety risk assessment, providers should investigate and document any accidents, injuries or diseases related to work and analyze results by gender. This tracking is important, but few providers do it unless the national labor regulations require it. It is important to record and analyze these findings by gender and position to understand if some category of employees is disproportionately affected. The focus should be on ensuring safety at work and how providers take steps to create a safe work environment for all employees.</w:t>
      </w:r>
    </w:p>
    <w:p w14:paraId="4468F6AD"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333AB2AA"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93760" behindDoc="1" locked="0" layoutInCell="1" allowOverlap="1" wp14:anchorId="6DE50264" wp14:editId="08F81D45">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87778083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75D97A6E"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5FE417C0" w14:textId="0AC3C66E" w:rsidR="002C183A" w:rsidRPr="00A608EE" w:rsidRDefault="00386AB6"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2C183A" w:rsidRPr="00A608EE">
        <w:rPr>
          <w:rFonts w:asciiTheme="majorHAnsi" w:hAnsiTheme="majorHAnsi"/>
          <w:sz w:val="20"/>
          <w:szCs w:val="20"/>
        </w:rPr>
        <w:t>The provider documents and reports to management all occupational accidents, injuries, and illnesses. The results are disaggregated by gender and disability status and by position: Minimum frequency: annually.</w:t>
      </w:r>
    </w:p>
    <w:p w14:paraId="70BA3872" w14:textId="70F58B53" w:rsidR="00B446B9" w:rsidRPr="00A608EE" w:rsidRDefault="008C6FF2" w:rsidP="00EE208A">
      <w:pPr>
        <w:pStyle w:val="NormalWeb"/>
        <w:spacing w:before="0" w:beforeAutospacing="0" w:after="0" w:afterAutospacing="0"/>
        <w:jc w:val="both"/>
        <w:rPr>
          <w:rFonts w:asciiTheme="majorHAnsi" w:hAnsiTheme="majorHAnsi"/>
          <w:sz w:val="20"/>
          <w:szCs w:val="20"/>
        </w:rPr>
      </w:pPr>
      <w:r w:rsidRPr="00A608EE">
        <w:rPr>
          <w:noProof/>
        </w:rPr>
        <mc:AlternateContent>
          <mc:Choice Requires="wps">
            <w:drawing>
              <wp:anchor distT="0" distB="0" distL="114300" distR="114300" simplePos="0" relativeHeight="251761664" behindDoc="0" locked="0" layoutInCell="1" allowOverlap="1" wp14:anchorId="38F7EF3B" wp14:editId="257FDAB3">
                <wp:simplePos x="0" y="0"/>
                <wp:positionH relativeFrom="margin">
                  <wp:align>left</wp:align>
                </wp:positionH>
                <wp:positionV relativeFrom="paragraph">
                  <wp:posOffset>147955</wp:posOffset>
                </wp:positionV>
                <wp:extent cx="1828800" cy="1739900"/>
                <wp:effectExtent l="0" t="0" r="24130" b="12700"/>
                <wp:wrapSquare wrapText="bothSides"/>
                <wp:docPr id="1871028177" name="Cuadro de texto 1"/>
                <wp:cNvGraphicFramePr/>
                <a:graphic xmlns:a="http://schemas.openxmlformats.org/drawingml/2006/main">
                  <a:graphicData uri="http://schemas.microsoft.com/office/word/2010/wordprocessingShape">
                    <wps:wsp>
                      <wps:cNvSpPr txBox="1"/>
                      <wps:spPr>
                        <a:xfrm>
                          <a:off x="0" y="0"/>
                          <a:ext cx="1828800" cy="1739900"/>
                        </a:xfrm>
                        <a:prstGeom prst="rect">
                          <a:avLst/>
                        </a:prstGeom>
                        <a:noFill/>
                        <a:ln w="6350">
                          <a:solidFill>
                            <a:prstClr val="black"/>
                          </a:solidFill>
                        </a:ln>
                      </wps:spPr>
                      <wps:txbx>
                        <w:txbxContent>
                          <w:p w14:paraId="6E9793EF" w14:textId="15F89956" w:rsidR="008C6FF2" w:rsidRPr="00820B09" w:rsidRDefault="00EB123D" w:rsidP="008C6FF2">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8C6FF2" w:rsidRPr="00820B09">
                              <w:rPr>
                                <w:rFonts w:asciiTheme="majorHAnsi" w:hAnsiTheme="majorHAnsi"/>
                                <w:b/>
                                <w:bCs/>
                                <w:sz w:val="20"/>
                                <w:szCs w:val="20"/>
                              </w:rPr>
                              <w:t>5.A.3.2</w:t>
                            </w:r>
                          </w:p>
                          <w:p w14:paraId="48133734" w14:textId="77777777" w:rsidR="008C6FF2" w:rsidRPr="00820B09" w:rsidRDefault="008C6FF2" w:rsidP="008C6FF2">
                            <w:pPr>
                              <w:pStyle w:val="NormalWeb"/>
                              <w:jc w:val="both"/>
                              <w:rPr>
                                <w:rFonts w:asciiTheme="majorHAnsi" w:hAnsiTheme="majorHAnsi"/>
                                <w:sz w:val="20"/>
                                <w:szCs w:val="20"/>
                              </w:rPr>
                            </w:pPr>
                            <w:r w:rsidRPr="00820B09">
                              <w:rPr>
                                <w:rFonts w:asciiTheme="majorHAnsi" w:hAnsiTheme="majorHAnsi"/>
                                <w:sz w:val="20"/>
                                <w:szCs w:val="20"/>
                              </w:rPr>
                              <w:t xml:space="preserve">Employees with disabilities may experience particular risks in all health and safety dimensions, including physical and workplace risks, psychosocial and mental health risks, and emergency and disaster-related risks. </w:t>
                            </w:r>
                          </w:p>
                          <w:p w14:paraId="41B3BE39" w14:textId="1B129B17" w:rsidR="008C6FF2" w:rsidRPr="00820B09" w:rsidRDefault="008C6FF2" w:rsidP="008C6FF2">
                            <w:pPr>
                              <w:pStyle w:val="NormalWeb"/>
                              <w:jc w:val="both"/>
                              <w:rPr>
                                <w:rFonts w:asciiTheme="majorHAnsi" w:hAnsiTheme="majorHAnsi"/>
                                <w:sz w:val="20"/>
                                <w:szCs w:val="20"/>
                              </w:rPr>
                            </w:pPr>
                            <w:r w:rsidRPr="00820B09">
                              <w:rPr>
                                <w:rFonts w:asciiTheme="majorHAnsi" w:hAnsiTheme="majorHAnsi"/>
                                <w:sz w:val="20"/>
                                <w:szCs w:val="20"/>
                              </w:rPr>
                              <w:t xml:space="preserve">In reporting of WHS incidents, incorporate voluntary disclosure of the disability status of employees involved. This enables data analysis to highlight previously unidentified risks, identify mitigation measures, and strengthen procedures.  </w:t>
                            </w:r>
                          </w:p>
                          <w:p w14:paraId="17069C5B" w14:textId="77777777" w:rsidR="008C6FF2" w:rsidRPr="00820B09" w:rsidRDefault="008C6FF2" w:rsidP="008C6FF2">
                            <w:pPr>
                              <w:pStyle w:val="NormalWeb"/>
                              <w:jc w:val="both"/>
                              <w:rPr>
                                <w:rFonts w:asciiTheme="majorHAnsi" w:hAnsiTheme="majorHAnsi"/>
                                <w:sz w:val="20"/>
                                <w:szCs w:val="20"/>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F7EF3B" id="_x0000_s1064" type="#_x0000_t202" style="position:absolute;left:0;text-align:left;margin-left:0;margin-top:11.65pt;width:2in;height:137pt;z-index:251761664;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" filled="f" strokeweight=".5pt">
                <v:textbox>
                  <w:txbxContent>
                    <w:p w14:paraId="6E9793EF" w14:textId="15F89956" w:rsidR="008C6FF2" w:rsidRPr="00820B09" w:rsidRDefault="00EB123D" w:rsidP="008C6FF2">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8C6FF2" w:rsidRPr="00820B09">
                        <w:rPr>
                          <w:rFonts w:asciiTheme="majorHAnsi" w:hAnsiTheme="majorHAnsi"/>
                          <w:b/>
                          <w:bCs/>
                          <w:sz w:val="20"/>
                          <w:szCs w:val="20"/>
                        </w:rPr>
                        <w:t>5.A.3.2</w:t>
                      </w:r>
                    </w:p>
                    <w:p w14:paraId="48133734" w14:textId="77777777" w:rsidR="008C6FF2" w:rsidRPr="00820B09" w:rsidRDefault="008C6FF2" w:rsidP="008C6FF2">
                      <w:pPr>
                        <w:pStyle w:val="NormalWeb"/>
                        <w:jc w:val="both"/>
                        <w:rPr>
                          <w:rFonts w:asciiTheme="majorHAnsi" w:hAnsiTheme="majorHAnsi"/>
                          <w:sz w:val="20"/>
                          <w:szCs w:val="20"/>
                        </w:rPr>
                      </w:pPr>
                      <w:r w:rsidRPr="00820B09">
                        <w:rPr>
                          <w:rFonts w:asciiTheme="majorHAnsi" w:hAnsiTheme="majorHAnsi"/>
                          <w:sz w:val="20"/>
                          <w:szCs w:val="20"/>
                        </w:rPr>
                        <w:t xml:space="preserve">Employees with disabilities may experience particular risks in all health and safety dimensions, including physical and workplace risks, psychosocial and mental health risks, and emergency and disaster-related risks. </w:t>
                      </w:r>
                    </w:p>
                    <w:p w14:paraId="41B3BE39" w14:textId="1B129B17" w:rsidR="008C6FF2" w:rsidRPr="00820B09" w:rsidRDefault="008C6FF2" w:rsidP="008C6FF2">
                      <w:pPr>
                        <w:pStyle w:val="NormalWeb"/>
                        <w:jc w:val="both"/>
                        <w:rPr>
                          <w:rFonts w:asciiTheme="majorHAnsi" w:hAnsiTheme="majorHAnsi"/>
                          <w:sz w:val="20"/>
                          <w:szCs w:val="20"/>
                        </w:rPr>
                      </w:pPr>
                      <w:r w:rsidRPr="00820B09">
                        <w:rPr>
                          <w:rFonts w:asciiTheme="majorHAnsi" w:hAnsiTheme="majorHAnsi"/>
                          <w:sz w:val="20"/>
                          <w:szCs w:val="20"/>
                        </w:rPr>
                        <w:t xml:space="preserve">In reporting of WHS incidents, incorporate voluntary disclosure of the disability status of employees involved. This enables data analysis to highlight previously unidentified risks, identify mitigation measures, and strengthen procedures.  </w:t>
                      </w:r>
                    </w:p>
                    <w:p w14:paraId="17069C5B" w14:textId="77777777" w:rsidR="008C6FF2" w:rsidRPr="00820B09" w:rsidRDefault="008C6FF2" w:rsidP="008C6FF2">
                      <w:pPr>
                        <w:pStyle w:val="NormalWeb"/>
                        <w:jc w:val="both"/>
                        <w:rPr>
                          <w:rFonts w:asciiTheme="majorHAnsi" w:hAnsiTheme="majorHAnsi"/>
                          <w:sz w:val="20"/>
                          <w:szCs w:val="20"/>
                        </w:rPr>
                      </w:pPr>
                    </w:p>
                  </w:txbxContent>
                </v:textbox>
                <w10:wrap type="square" anchorx="margin"/>
              </v:shape>
            </w:pict>
          </mc:Fallback>
        </mc:AlternateContent>
      </w:r>
    </w:p>
    <w:p w14:paraId="0485AD76" w14:textId="459B4531" w:rsidR="00B446B9" w:rsidRPr="00A608EE" w:rsidRDefault="00B446B9"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175C361A" w14:textId="77777777" w:rsidR="00B446B9" w:rsidRPr="00A608EE" w:rsidRDefault="00B446B9" w:rsidP="00A27AAA">
      <w:pPr>
        <w:pStyle w:val="NormalWeb"/>
        <w:numPr>
          <w:ilvl w:val="0"/>
          <w:numId w:val="3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w:t>
      </w:r>
    </w:p>
    <w:p w14:paraId="479439B1" w14:textId="77777777" w:rsidR="00B446B9" w:rsidRPr="00A608EE" w:rsidRDefault="00B446B9" w:rsidP="00A27AAA">
      <w:pPr>
        <w:pStyle w:val="NormalWeb"/>
        <w:numPr>
          <w:ilvl w:val="1"/>
          <w:numId w:val="3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documents all work accidents/injuries/illnesses</w:t>
      </w:r>
    </w:p>
    <w:p w14:paraId="1C7628A0" w14:textId="77777777" w:rsidR="00B446B9" w:rsidRPr="00A608EE" w:rsidRDefault="00B446B9" w:rsidP="00A27AAA">
      <w:pPr>
        <w:pStyle w:val="NormalWeb"/>
        <w:numPr>
          <w:ilvl w:val="1"/>
          <w:numId w:val="3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disaggregated by gender and position and</w:t>
      </w:r>
    </w:p>
    <w:p w14:paraId="7C01361F" w14:textId="77777777" w:rsidR="00B446B9" w:rsidRPr="00A608EE" w:rsidRDefault="00B446B9" w:rsidP="00A27AAA">
      <w:pPr>
        <w:pStyle w:val="NormalWeb"/>
        <w:numPr>
          <w:ilvl w:val="1"/>
          <w:numId w:val="3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reports it to senior management at least annually.</w:t>
      </w:r>
    </w:p>
    <w:p w14:paraId="558645B6" w14:textId="77777777" w:rsidR="00B446B9" w:rsidRPr="00A608EE" w:rsidRDefault="00B446B9" w:rsidP="00A27AAA">
      <w:pPr>
        <w:pStyle w:val="NormalWeb"/>
        <w:numPr>
          <w:ilvl w:val="0"/>
          <w:numId w:val="3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three requirements are not met fully. For instance, (i) an incomplete documentation of work accidents/injuries/illnesses or (ii) work accidents/injuries/illnesses are not disaggregated by gender or position or (iii) the report is done just within two years.</w:t>
      </w:r>
    </w:p>
    <w:p w14:paraId="1B2D3A1A" w14:textId="77777777" w:rsidR="00B446B9" w:rsidRPr="00A608EE" w:rsidRDefault="00B446B9" w:rsidP="00A27AAA">
      <w:pPr>
        <w:pStyle w:val="NormalWeb"/>
        <w:numPr>
          <w:ilvl w:val="0"/>
          <w:numId w:val="30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three requirements are largely not met. For instance, (i) most work accidents/injuries/illnesses are not documented and/or (ii) not disaggregated by gender and position and/or (iii) not reported to senior management.</w:t>
      </w:r>
    </w:p>
    <w:p w14:paraId="3239B2A9" w14:textId="77777777" w:rsidR="00B446B9" w:rsidRPr="00A608EE" w:rsidRDefault="00B446B9" w:rsidP="00EE208A">
      <w:pPr>
        <w:pStyle w:val="NormalWeb"/>
        <w:spacing w:before="0" w:beforeAutospacing="0" w:after="0" w:afterAutospacing="0"/>
        <w:jc w:val="both"/>
        <w:rPr>
          <w:rFonts w:asciiTheme="majorHAnsi" w:hAnsiTheme="majorHAnsi"/>
          <w:sz w:val="20"/>
          <w:szCs w:val="20"/>
        </w:rPr>
      </w:pPr>
    </w:p>
    <w:p w14:paraId="311AA8E6" w14:textId="331470D7" w:rsidR="00B446B9" w:rsidRPr="00A608EE" w:rsidRDefault="00B446B9"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66CE54E5" w14:textId="77777777" w:rsidR="00B446B9" w:rsidRPr="00A608EE" w:rsidRDefault="00B446B9" w:rsidP="00A27AAA">
      <w:pPr>
        <w:pStyle w:val="NormalWeb"/>
        <w:numPr>
          <w:ilvl w:val="0"/>
          <w:numId w:val="30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w:t>
      </w:r>
    </w:p>
    <w:p w14:paraId="149BD120" w14:textId="77777777" w:rsidR="00B446B9" w:rsidRPr="00A608EE" w:rsidRDefault="00B446B9" w:rsidP="00A27AAA">
      <w:pPr>
        <w:pStyle w:val="NormalWeb"/>
        <w:numPr>
          <w:ilvl w:val="0"/>
          <w:numId w:val="30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Last two health and safety risk reports.</w:t>
      </w:r>
    </w:p>
    <w:p w14:paraId="38B27CBC" w14:textId="77777777" w:rsidR="00B446B9" w:rsidRPr="00A608EE" w:rsidRDefault="00B446B9" w:rsidP="00A27AAA">
      <w:pPr>
        <w:pStyle w:val="NormalWeb"/>
        <w:numPr>
          <w:ilvl w:val="0"/>
          <w:numId w:val="30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HR manager, different employees (women and men with office and field functions), and CEO/deputy CEO.</w:t>
      </w:r>
    </w:p>
    <w:p w14:paraId="32681668" w14:textId="77777777" w:rsidR="00B446B9" w:rsidRPr="00A608EE" w:rsidRDefault="00B446B9" w:rsidP="00A27AAA">
      <w:pPr>
        <w:pStyle w:val="NormalWeb"/>
        <w:numPr>
          <w:ilvl w:val="0"/>
          <w:numId w:val="30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Relevant parts of the national labor law and regulations.</w:t>
      </w:r>
    </w:p>
    <w:p w14:paraId="76CF1C2F" w14:textId="77777777" w:rsidR="00B446B9" w:rsidRPr="00A608EE" w:rsidRDefault="00B446B9" w:rsidP="00EE208A">
      <w:pPr>
        <w:pStyle w:val="NormalWeb"/>
        <w:spacing w:before="0" w:beforeAutospacing="0" w:after="0" w:afterAutospacing="0"/>
        <w:jc w:val="both"/>
        <w:rPr>
          <w:rFonts w:asciiTheme="majorHAnsi" w:hAnsiTheme="majorHAnsi"/>
          <w:sz w:val="20"/>
          <w:szCs w:val="20"/>
        </w:rPr>
      </w:pPr>
    </w:p>
    <w:p w14:paraId="5E307303" w14:textId="6A87CCF7" w:rsidR="00B446B9" w:rsidRPr="00A608EE" w:rsidRDefault="00B446B9"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03B93520" w14:textId="77777777" w:rsidR="00B446B9" w:rsidRPr="00A608EE" w:rsidRDefault="00B446B9" w:rsidP="00A27AAA">
      <w:pPr>
        <w:pStyle w:val="NormalWeb"/>
        <w:numPr>
          <w:ilvl w:val="0"/>
          <w:numId w:val="30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Last two HR reports on work-related accidents, injuries and illnesses.</w:t>
      </w:r>
    </w:p>
    <w:p w14:paraId="7337C9D7" w14:textId="77777777" w:rsidR="00B446B9" w:rsidRPr="00A608EE" w:rsidRDefault="00B446B9" w:rsidP="00A27AAA">
      <w:pPr>
        <w:pStyle w:val="NormalWeb"/>
        <w:numPr>
          <w:ilvl w:val="0"/>
          <w:numId w:val="30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Describe how the HR reports are disaggregated by gender and position.</w:t>
      </w:r>
    </w:p>
    <w:p w14:paraId="5DB61547" w14:textId="77777777" w:rsidR="00914EDA" w:rsidRPr="00A608EE" w:rsidRDefault="00914EDA" w:rsidP="00EE208A">
      <w:pPr>
        <w:pStyle w:val="NormalWeb"/>
        <w:spacing w:before="0" w:beforeAutospacing="0" w:after="0" w:afterAutospacing="0"/>
        <w:jc w:val="both"/>
        <w:rPr>
          <w:rFonts w:asciiTheme="majorHAnsi" w:hAnsiTheme="majorHAnsi"/>
          <w:sz w:val="20"/>
          <w:szCs w:val="20"/>
        </w:rPr>
      </w:pPr>
    </w:p>
    <w:p w14:paraId="13873F3F" w14:textId="77777777" w:rsidR="00856562" w:rsidRPr="00A608EE" w:rsidRDefault="00856562" w:rsidP="00EE208A">
      <w:pPr>
        <w:pStyle w:val="NormalWeb"/>
        <w:spacing w:before="0" w:beforeAutospacing="0" w:after="0" w:afterAutospacing="0"/>
        <w:jc w:val="both"/>
        <w:rPr>
          <w:rFonts w:asciiTheme="majorHAnsi" w:hAnsiTheme="majorHAnsi"/>
          <w:sz w:val="20"/>
          <w:szCs w:val="20"/>
        </w:rPr>
      </w:pPr>
    </w:p>
    <w:p w14:paraId="4BF75C09" w14:textId="51DB381E" w:rsidR="00713B24" w:rsidRPr="00A608EE" w:rsidRDefault="00713B24" w:rsidP="00EE208A">
      <w:pPr>
        <w:pStyle w:val="Heading4"/>
        <w:spacing w:before="0" w:line="240" w:lineRule="auto"/>
        <w:jc w:val="both"/>
      </w:pPr>
      <w:r w:rsidRPr="00A608EE">
        <w:rPr>
          <w:rStyle w:val="text-primary"/>
        </w:rPr>
        <w:t>5.A.3.3</w:t>
      </w:r>
      <w:r w:rsidRPr="00A608EE">
        <w:t xml:space="preserve"> </w:t>
      </w:r>
      <w:r w:rsidR="0007334C" w:rsidRPr="00A608EE">
        <w:t>The provider takes necessary measures to mitigate hazards</w:t>
      </w:r>
      <w:r w:rsidR="005D7240" w:rsidRPr="00A608EE">
        <w:t>.</w:t>
      </w:r>
    </w:p>
    <w:p w14:paraId="3E837446" w14:textId="22CEE114" w:rsidR="00D6426B" w:rsidRPr="00A608EE" w:rsidRDefault="00713B24"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rPr>
        <w:t>5.A.3.3.1</w:t>
      </w:r>
      <w:r w:rsidRPr="00A608EE">
        <w:rPr>
          <w:rFonts w:asciiTheme="majorHAnsi" w:hAnsiTheme="majorHAnsi"/>
          <w:i/>
          <w:sz w:val="20"/>
          <w:szCs w:val="20"/>
        </w:rPr>
        <w:t xml:space="preserve"> </w:t>
      </w:r>
      <w:r w:rsidR="0007334C" w:rsidRPr="00A608EE">
        <w:rPr>
          <w:rFonts w:asciiTheme="majorHAnsi" w:hAnsiTheme="majorHAnsi"/>
          <w:i/>
          <w:sz w:val="20"/>
          <w:szCs w:val="20"/>
        </w:rPr>
        <w:t>The provider offers health and safety equipment, training and adapted physical accommodations</w:t>
      </w:r>
      <w:r w:rsidR="00D6426B" w:rsidRPr="00A608EE">
        <w:rPr>
          <w:rFonts w:asciiTheme="majorHAnsi" w:hAnsiTheme="majorHAnsi"/>
          <w:i/>
          <w:sz w:val="20"/>
          <w:szCs w:val="20"/>
        </w:rPr>
        <w:t>.</w:t>
      </w:r>
    </w:p>
    <w:p w14:paraId="72A40A34" w14:textId="59910A31" w:rsidR="00713B24" w:rsidRPr="00A608EE" w:rsidRDefault="00713B24"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5.A.3.3.2</w:t>
      </w:r>
      <w:r w:rsidRPr="00A608EE">
        <w:rPr>
          <w:rFonts w:asciiTheme="majorHAnsi" w:hAnsiTheme="majorHAnsi"/>
          <w:i/>
          <w:sz w:val="20"/>
          <w:szCs w:val="20"/>
        </w:rPr>
        <w:t xml:space="preserve"> </w:t>
      </w:r>
      <w:r w:rsidR="0007334C" w:rsidRPr="00A608EE">
        <w:rPr>
          <w:rFonts w:asciiTheme="majorHAnsi" w:hAnsiTheme="majorHAnsi"/>
          <w:i/>
          <w:sz w:val="20"/>
          <w:szCs w:val="20"/>
        </w:rPr>
        <w:t>The provider has an emergency/disaster response plan and trains management and employees on how to follow the plan. Minimum training frequency: annually.</w:t>
      </w:r>
    </w:p>
    <w:p w14:paraId="1A2864B4" w14:textId="63BD6E78" w:rsidR="00713B24" w:rsidRPr="00A608EE" w:rsidRDefault="00713B24"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5.A.3.3.3</w:t>
      </w:r>
      <w:r w:rsidRPr="00A608EE">
        <w:rPr>
          <w:rFonts w:asciiTheme="majorHAnsi" w:hAnsiTheme="majorHAnsi"/>
          <w:i/>
          <w:sz w:val="20"/>
          <w:szCs w:val="20"/>
        </w:rPr>
        <w:t xml:space="preserve"> </w:t>
      </w:r>
      <w:r w:rsidR="0007334C" w:rsidRPr="00A608EE">
        <w:rPr>
          <w:rFonts w:asciiTheme="majorHAnsi" w:hAnsiTheme="majorHAnsi"/>
          <w:i/>
          <w:sz w:val="20"/>
          <w:szCs w:val="20"/>
        </w:rPr>
        <w:t>The provider compensates employees who miss work due to work-related injuries</w:t>
      </w:r>
      <w:r w:rsidR="00D6426B" w:rsidRPr="00A608EE">
        <w:rPr>
          <w:rFonts w:asciiTheme="majorHAnsi" w:hAnsiTheme="majorHAnsi"/>
          <w:i/>
          <w:sz w:val="20"/>
          <w:szCs w:val="20"/>
        </w:rPr>
        <w:t>.</w:t>
      </w:r>
    </w:p>
    <w:p w14:paraId="1A632818" w14:textId="77777777" w:rsidR="00F24B54" w:rsidRPr="00A608EE" w:rsidRDefault="00F24B54" w:rsidP="00EE208A">
      <w:pPr>
        <w:jc w:val="both"/>
        <w:rPr>
          <w:rFonts w:asciiTheme="majorHAnsi" w:hAnsiTheme="majorHAnsi"/>
          <w:szCs w:val="20"/>
        </w:rPr>
      </w:pPr>
    </w:p>
    <w:p w14:paraId="6779BD77" w14:textId="436B67DA" w:rsidR="00856562"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856562" w:rsidRPr="00A608EE">
        <w:rPr>
          <w:rFonts w:asciiTheme="majorHAnsi" w:hAnsiTheme="majorHAnsi" w:cstheme="majorHAnsi"/>
          <w:b/>
          <w:bCs/>
          <w:color w:val="2145CC" w:themeColor="accent5" w:themeShade="BF"/>
          <w:sz w:val="20"/>
          <w:szCs w:val="20"/>
        </w:rPr>
        <w:t xml:space="preserve">ALINUS | SPI5 Entry </w:t>
      </w:r>
      <w:r w:rsidR="00856562" w:rsidRPr="00A608EE">
        <w:rPr>
          <w:rFonts w:asciiTheme="majorHAnsi" w:hAnsiTheme="majorHAnsi" w:cstheme="majorHAnsi"/>
          <w:b/>
          <w:bCs/>
          <w:color w:val="2145CC" w:themeColor="accent5" w:themeShade="BF"/>
          <w:sz w:val="20"/>
          <w:szCs w:val="20"/>
        </w:rPr>
        <w:softHyphen/>
        <w:t>| 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44667E82" w14:textId="7BC4483C" w:rsidR="00856562" w:rsidRPr="00A608EE" w:rsidRDefault="00856562"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E6366C"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5.A.3.3.3: SPI5 Full</w:t>
      </w:r>
    </w:p>
    <w:p w14:paraId="043E5CC6" w14:textId="16EEDB80" w:rsidR="00856562" w:rsidRPr="00A608EE" w:rsidRDefault="00567651"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695A5620" w14:textId="043BFDB7" w:rsidR="004E5CEF" w:rsidRPr="00A608EE" w:rsidRDefault="004E5CEF" w:rsidP="00EE208A">
      <w:pPr>
        <w:jc w:val="both"/>
        <w:rPr>
          <w:rFonts w:asciiTheme="majorHAnsi" w:hAnsiTheme="majorHAnsi"/>
          <w:sz w:val="20"/>
          <w:szCs w:val="20"/>
          <w:lang w:eastAsia="fr-FR"/>
        </w:rPr>
      </w:pPr>
      <w:r w:rsidRPr="00A608EE">
        <w:rPr>
          <w:rFonts w:asciiTheme="majorHAnsi" w:hAnsiTheme="majorHAnsi"/>
          <w:sz w:val="20"/>
          <w:szCs w:val="20"/>
          <w:lang w:eastAsia="fr-FR"/>
        </w:rPr>
        <w:t>Health and safety risk assessments should result in actions to mitigate risks identified and ensure a safe workplace for employees. Actions to prevent risks should be free of charge for the employees to ensure full protection for all.</w:t>
      </w:r>
    </w:p>
    <w:p w14:paraId="56A07342" w14:textId="77777777" w:rsidR="00672763" w:rsidRPr="00A608EE" w:rsidRDefault="00672763" w:rsidP="00EE208A">
      <w:pPr>
        <w:jc w:val="both"/>
        <w:rPr>
          <w:rFonts w:asciiTheme="majorHAnsi" w:hAnsiTheme="majorHAnsi"/>
          <w:sz w:val="20"/>
          <w:szCs w:val="20"/>
          <w:lang w:eastAsia="fr-FR"/>
        </w:rPr>
      </w:pPr>
    </w:p>
    <w:p w14:paraId="453CF36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95808" behindDoc="1" locked="0" layoutInCell="1" allowOverlap="1" wp14:anchorId="4E52E7D9" wp14:editId="10A44502">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50185521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90A8FD7" w14:textId="77777777" w:rsidR="00672763" w:rsidRPr="00A608EE" w:rsidRDefault="00672763" w:rsidP="00EE208A">
      <w:pPr>
        <w:jc w:val="both"/>
        <w:rPr>
          <w:rFonts w:asciiTheme="majorHAnsi" w:hAnsiTheme="majorHAnsi"/>
          <w:sz w:val="20"/>
          <w:szCs w:val="20"/>
          <w:lang w:eastAsia="fr-FR"/>
        </w:rPr>
      </w:pPr>
    </w:p>
    <w:p w14:paraId="166F7DF9" w14:textId="63F2896F" w:rsidR="00567651" w:rsidRPr="00A608EE" w:rsidRDefault="00386AB6"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567651" w:rsidRPr="00A608EE">
        <w:rPr>
          <w:rFonts w:asciiTheme="majorHAnsi" w:hAnsiTheme="majorHAnsi"/>
          <w:sz w:val="20"/>
          <w:szCs w:val="20"/>
          <w:lang w:eastAsia="fr-FR"/>
        </w:rPr>
        <w:t>The provider provides accommodations to ensure the health and safety of employees with disabilities, and includes measures to ensure the safety of employees with disabilities within emergency/disaster response plans.</w:t>
      </w:r>
    </w:p>
    <w:p w14:paraId="297AC482" w14:textId="40B662D0" w:rsidR="00567651" w:rsidRPr="00A608EE" w:rsidRDefault="008F5CE5" w:rsidP="00EE208A">
      <w:pPr>
        <w:jc w:val="both"/>
        <w:rPr>
          <w:rFonts w:asciiTheme="majorHAnsi" w:hAnsiTheme="majorHAnsi"/>
          <w:sz w:val="20"/>
          <w:szCs w:val="20"/>
          <w:lang w:eastAsia="fr-FR"/>
        </w:rPr>
      </w:pPr>
      <w:r w:rsidRPr="00A608EE">
        <w:rPr>
          <w:noProof/>
        </w:rPr>
        <w:lastRenderedPageBreak/>
        <mc:AlternateContent>
          <mc:Choice Requires="wps">
            <w:drawing>
              <wp:anchor distT="0" distB="0" distL="114300" distR="114300" simplePos="0" relativeHeight="251730944" behindDoc="0" locked="0" layoutInCell="1" allowOverlap="1" wp14:anchorId="3E659BC5" wp14:editId="23F05BD3">
                <wp:simplePos x="0" y="0"/>
                <wp:positionH relativeFrom="margin">
                  <wp:align>left</wp:align>
                </wp:positionH>
                <wp:positionV relativeFrom="paragraph">
                  <wp:posOffset>160655</wp:posOffset>
                </wp:positionV>
                <wp:extent cx="1828800" cy="6972300"/>
                <wp:effectExtent l="0" t="0" r="24130" b="19050"/>
                <wp:wrapSquare wrapText="bothSides"/>
                <wp:docPr id="759533407" name="Cuadro de texto 1"/>
                <wp:cNvGraphicFramePr/>
                <a:graphic xmlns:a="http://schemas.openxmlformats.org/drawingml/2006/main">
                  <a:graphicData uri="http://schemas.microsoft.com/office/word/2010/wordprocessingShape">
                    <wps:wsp>
                      <wps:cNvSpPr txBox="1"/>
                      <wps:spPr>
                        <a:xfrm>
                          <a:off x="0" y="0"/>
                          <a:ext cx="1828800" cy="6972300"/>
                        </a:xfrm>
                        <a:prstGeom prst="rect">
                          <a:avLst/>
                        </a:prstGeom>
                        <a:noFill/>
                        <a:ln w="6350">
                          <a:solidFill>
                            <a:prstClr val="black"/>
                          </a:solidFill>
                        </a:ln>
                      </wps:spPr>
                      <wps:txbx>
                        <w:txbxContent>
                          <w:p w14:paraId="5D26EBE0" w14:textId="42AF59CA" w:rsidR="00567651" w:rsidRPr="00820B09" w:rsidRDefault="00EB123D"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567651" w:rsidRPr="00820B09">
                              <w:rPr>
                                <w:rFonts w:asciiTheme="majorHAnsi" w:hAnsiTheme="majorHAnsi"/>
                                <w:b/>
                                <w:bCs/>
                                <w:sz w:val="20"/>
                                <w:szCs w:val="20"/>
                                <w:lang w:eastAsia="fr-FR"/>
                              </w:rPr>
                              <w:t>5.A.3.3</w:t>
                            </w:r>
                          </w:p>
                          <w:p w14:paraId="0E94D087" w14:textId="3E164264" w:rsidR="008C6FF2" w:rsidRPr="00820B09" w:rsidRDefault="008C6FF2" w:rsidP="008C6FF2">
                            <w:pPr>
                              <w:pStyle w:val="NormalWeb"/>
                              <w:jc w:val="both"/>
                              <w:rPr>
                                <w:rFonts w:asciiTheme="majorHAnsi" w:hAnsiTheme="majorHAnsi"/>
                                <w:sz w:val="20"/>
                                <w:szCs w:val="20"/>
                              </w:rPr>
                            </w:pPr>
                            <w:r w:rsidRPr="00820B09">
                              <w:rPr>
                                <w:rFonts w:asciiTheme="majorHAnsi" w:hAnsiTheme="majorHAnsi"/>
                                <w:sz w:val="20"/>
                                <w:szCs w:val="20"/>
                              </w:rPr>
                              <w:t xml:space="preserve">Employees with disabilities may experience particular risks in all health and safety dimensions, including physical and workplace risks, psychosocial and mental health risks, and emergency and disaster-related risks. These should be identified by </w:t>
                            </w:r>
                            <w:r w:rsidR="0065769E" w:rsidRPr="00820B09">
                              <w:rPr>
                                <w:rFonts w:asciiTheme="majorHAnsi" w:hAnsiTheme="majorHAnsi"/>
                                <w:sz w:val="20"/>
                                <w:szCs w:val="20"/>
                              </w:rPr>
                              <w:t xml:space="preserve">inclusive </w:t>
                            </w:r>
                            <w:r w:rsidR="008F5CE5" w:rsidRPr="00820B09">
                              <w:rPr>
                                <w:rFonts w:asciiTheme="majorHAnsi" w:hAnsiTheme="majorHAnsi"/>
                                <w:sz w:val="20"/>
                                <w:szCs w:val="20"/>
                              </w:rPr>
                              <w:t>w</w:t>
                            </w:r>
                            <w:r w:rsidRPr="00820B09">
                              <w:rPr>
                                <w:rFonts w:asciiTheme="majorHAnsi" w:hAnsiTheme="majorHAnsi"/>
                                <w:sz w:val="20"/>
                                <w:szCs w:val="20"/>
                              </w:rPr>
                              <w:t xml:space="preserve">orkplace </w:t>
                            </w:r>
                            <w:r w:rsidR="008F5CE5" w:rsidRPr="00820B09">
                              <w:rPr>
                                <w:rFonts w:asciiTheme="majorHAnsi" w:hAnsiTheme="majorHAnsi"/>
                                <w:sz w:val="20"/>
                                <w:szCs w:val="20"/>
                              </w:rPr>
                              <w:t xml:space="preserve">health and safety (WHS) </w:t>
                            </w:r>
                            <w:r w:rsidRPr="00820B09">
                              <w:rPr>
                                <w:rFonts w:asciiTheme="majorHAnsi" w:hAnsiTheme="majorHAnsi"/>
                                <w:sz w:val="20"/>
                                <w:szCs w:val="20"/>
                              </w:rPr>
                              <w:t>risk assessment procedure</w:t>
                            </w:r>
                            <w:r w:rsidR="0065769E" w:rsidRPr="00820B09">
                              <w:rPr>
                                <w:rFonts w:asciiTheme="majorHAnsi" w:hAnsiTheme="majorHAnsi"/>
                                <w:sz w:val="20"/>
                                <w:szCs w:val="20"/>
                              </w:rPr>
                              <w:t>, including i</w:t>
                            </w:r>
                            <w:r w:rsidR="008F5CE5" w:rsidRPr="00820B09">
                              <w:rPr>
                                <w:rFonts w:asciiTheme="majorHAnsi" w:hAnsiTheme="majorHAnsi"/>
                                <w:sz w:val="20"/>
                                <w:szCs w:val="20"/>
                              </w:rPr>
                              <w:t>ndividualized risk assessments for employees with disabilities where required (see indicator 5.A.3.1).</w:t>
                            </w:r>
                          </w:p>
                          <w:p w14:paraId="18B6B383" w14:textId="77777777" w:rsidR="008F5CE5" w:rsidRPr="00820B09" w:rsidRDefault="008C6FF2" w:rsidP="00567651">
                            <w:pPr>
                              <w:jc w:val="both"/>
                              <w:rPr>
                                <w:rFonts w:asciiTheme="majorHAnsi" w:hAnsiTheme="majorHAnsi"/>
                                <w:sz w:val="20"/>
                                <w:szCs w:val="20"/>
                              </w:rPr>
                            </w:pPr>
                            <w:r w:rsidRPr="00820B09">
                              <w:rPr>
                                <w:rFonts w:asciiTheme="majorHAnsi" w:hAnsiTheme="majorHAnsi"/>
                                <w:sz w:val="20"/>
                                <w:szCs w:val="20"/>
                              </w:rPr>
                              <w:t>Risk mitigation measures may include</w:t>
                            </w:r>
                            <w:r w:rsidR="008F5CE5" w:rsidRPr="00820B09">
                              <w:rPr>
                                <w:rFonts w:asciiTheme="majorHAnsi" w:hAnsiTheme="majorHAnsi"/>
                                <w:sz w:val="20"/>
                                <w:szCs w:val="20"/>
                              </w:rPr>
                              <w:t>:</w:t>
                            </w:r>
                          </w:p>
                          <w:p w14:paraId="520F6F9B" w14:textId="6622EF37" w:rsidR="008F5CE5" w:rsidRPr="00820B09" w:rsidRDefault="008F5CE5" w:rsidP="00A27AAA">
                            <w:pPr>
                              <w:pStyle w:val="ListParagraph"/>
                              <w:numPr>
                                <w:ilvl w:val="0"/>
                                <w:numId w:val="409"/>
                              </w:numPr>
                              <w:rPr>
                                <w:rFonts w:asciiTheme="majorHAnsi" w:hAnsiTheme="majorHAnsi"/>
                                <w:szCs w:val="20"/>
                                <w:lang w:eastAsia="fr-FR"/>
                              </w:rPr>
                            </w:pPr>
                            <w:r w:rsidRPr="00820B09">
                              <w:rPr>
                                <w:rFonts w:asciiTheme="majorHAnsi" w:hAnsiTheme="majorHAnsi"/>
                                <w:szCs w:val="20"/>
                                <w:lang w:eastAsia="fr-FR"/>
                              </w:rPr>
                              <w:t>training staff responsible for WHS on disability-inclusive risk management processes, and training building / floor wardens and managers on inclusive evacuation support.</w:t>
                            </w:r>
                          </w:p>
                          <w:p w14:paraId="536F03E8" w14:textId="0EFBA197" w:rsidR="0065769E" w:rsidRPr="00820B09" w:rsidRDefault="0065769E" w:rsidP="00A27AAA">
                            <w:pPr>
                              <w:pStyle w:val="ListParagraph"/>
                              <w:numPr>
                                <w:ilvl w:val="0"/>
                                <w:numId w:val="409"/>
                              </w:numPr>
                              <w:rPr>
                                <w:rFonts w:asciiTheme="majorHAnsi" w:hAnsiTheme="majorHAnsi"/>
                                <w:szCs w:val="20"/>
                                <w:lang w:eastAsia="fr-FR"/>
                              </w:rPr>
                            </w:pPr>
                            <w:r w:rsidRPr="00820B09">
                              <w:rPr>
                                <w:rFonts w:asciiTheme="majorHAnsi" w:hAnsiTheme="majorHAnsi"/>
                                <w:szCs w:val="20"/>
                                <w:lang w:eastAsia="fr-FR"/>
                              </w:rPr>
                              <w:t>providing all WHS information, including training materials and emergency and evacuation plans and procedures in accessible formats.</w:t>
                            </w:r>
                          </w:p>
                          <w:p w14:paraId="61C3BA0E" w14:textId="33E1544A" w:rsidR="0065769E" w:rsidRPr="00820B09" w:rsidRDefault="0065769E" w:rsidP="00A27AAA">
                            <w:pPr>
                              <w:pStyle w:val="ListParagraph"/>
                              <w:numPr>
                                <w:ilvl w:val="0"/>
                                <w:numId w:val="409"/>
                              </w:numPr>
                              <w:rPr>
                                <w:rFonts w:asciiTheme="majorHAnsi" w:hAnsiTheme="majorHAnsi"/>
                                <w:szCs w:val="20"/>
                                <w:lang w:eastAsia="fr-FR"/>
                              </w:rPr>
                            </w:pPr>
                            <w:r w:rsidRPr="00820B09">
                              <w:rPr>
                                <w:rFonts w:asciiTheme="majorHAnsi" w:hAnsiTheme="majorHAnsi"/>
                                <w:szCs w:val="20"/>
                                <w:lang w:eastAsia="fr-FR"/>
                              </w:rPr>
                              <w:t>providing inclusive and accessible trainings related to WHS, including induction training, refresher courses, and safety briefings.</w:t>
                            </w:r>
                          </w:p>
                          <w:p w14:paraId="485AD672" w14:textId="4FDFC555" w:rsidR="008F5CE5" w:rsidRPr="00820B09" w:rsidRDefault="0065769E"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rPr>
                              <w:t xml:space="preserve">making </w:t>
                            </w:r>
                            <w:r w:rsidR="008C6FF2" w:rsidRPr="00820B09">
                              <w:rPr>
                                <w:rFonts w:asciiTheme="majorHAnsi" w:hAnsiTheme="majorHAnsi"/>
                                <w:szCs w:val="20"/>
                              </w:rPr>
                              <w:t>adaptations to the workplace (e.g. improving accessibility of signage, adjusting lighting)</w:t>
                            </w:r>
                            <w:r w:rsidRPr="00820B09">
                              <w:rPr>
                                <w:rFonts w:asciiTheme="majorHAnsi" w:hAnsiTheme="majorHAnsi"/>
                                <w:szCs w:val="20"/>
                              </w:rPr>
                              <w:t>.</w:t>
                            </w:r>
                          </w:p>
                          <w:p w14:paraId="328D8171" w14:textId="5C2B03C2" w:rsidR="008C6FF2" w:rsidRPr="00820B09" w:rsidRDefault="008C6FF2"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rPr>
                              <w:t>provi</w:t>
                            </w:r>
                            <w:r w:rsidR="0065769E" w:rsidRPr="00820B09">
                              <w:rPr>
                                <w:rFonts w:asciiTheme="majorHAnsi" w:hAnsiTheme="majorHAnsi"/>
                                <w:szCs w:val="20"/>
                              </w:rPr>
                              <w:t>ding</w:t>
                            </w:r>
                            <w:r w:rsidRPr="00820B09">
                              <w:rPr>
                                <w:rFonts w:asciiTheme="majorHAnsi" w:hAnsiTheme="majorHAnsi"/>
                                <w:szCs w:val="20"/>
                              </w:rPr>
                              <w:t xml:space="preserve"> reasonable accommodations to mitigate the risk of harm for individual employees (e.g. providing ergonomic furniture, adjusting screen settings).</w:t>
                            </w:r>
                          </w:p>
                          <w:p w14:paraId="5F4C108B" w14:textId="18666D79" w:rsidR="008F5CE5" w:rsidRPr="00820B09" w:rsidRDefault="008F5CE5"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lang w:eastAsia="fr-FR"/>
                              </w:rPr>
                              <w:t>accessibility audits of all premises including evacuation routes and accessible evacuation signage</w:t>
                            </w:r>
                            <w:r w:rsidR="0065769E" w:rsidRPr="00820B09">
                              <w:rPr>
                                <w:rFonts w:asciiTheme="majorHAnsi" w:hAnsiTheme="majorHAnsi"/>
                                <w:szCs w:val="20"/>
                                <w:lang w:eastAsia="fr-FR"/>
                              </w:rPr>
                              <w:t xml:space="preserve"> (see indicator 3.B.2.2 for information on accessibility audits).</w:t>
                            </w:r>
                          </w:p>
                          <w:p w14:paraId="49088442" w14:textId="684DB31F" w:rsidR="008F5CE5" w:rsidRPr="00820B09" w:rsidRDefault="008F5CE5"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lang w:eastAsia="fr-FR"/>
                              </w:rPr>
                              <w:t>designing and implementing gender-sensitive and disability-inclusive plans and procedures for emergencies and evacuations.</w:t>
                            </w:r>
                          </w:p>
                          <w:p w14:paraId="53C05249" w14:textId="1BCD59A9" w:rsidR="008F5CE5" w:rsidRPr="00820B09" w:rsidRDefault="008F5CE5" w:rsidP="008F5CE5">
                            <w:pPr>
                              <w:jc w:val="both"/>
                              <w:rPr>
                                <w:rFonts w:asciiTheme="majorHAnsi" w:hAnsiTheme="majorHAnsi"/>
                                <w:sz w:val="20"/>
                                <w:szCs w:val="20"/>
                                <w:lang w:eastAsia="fr-FR"/>
                              </w:rPr>
                            </w:pPr>
                            <w:r w:rsidRPr="00820B09">
                              <w:rPr>
                                <w:rFonts w:asciiTheme="majorHAnsi" w:hAnsiTheme="majorHAnsi"/>
                                <w:sz w:val="20"/>
                                <w:szCs w:val="20"/>
                                <w:lang w:eastAsia="fr-FR"/>
                              </w:rPr>
                              <w:t>All components of emergency response and evacuation plans and procedures should be accessible for employees with different types of impairments, including information and training; alarms and alerts; evacuation procedures, routes and signage; and safe refuges. Emergency response and evacuation plans should be made available in accessible formats for employees with disabilities</w:t>
                            </w:r>
                            <w:r w:rsidR="0065769E" w:rsidRPr="00820B09">
                              <w:rPr>
                                <w:rFonts w:asciiTheme="majorHAnsi" w:hAnsiTheme="majorHAnsi"/>
                                <w:sz w:val="20"/>
                                <w:szCs w:val="20"/>
                                <w:lang w:eastAsia="fr-FR"/>
                              </w:rPr>
                              <w:t>. Conduct periodic drills that include employees with disabilities.</w:t>
                            </w:r>
                          </w:p>
                          <w:p w14:paraId="262E80B0" w14:textId="1421958F" w:rsidR="008C6FF2" w:rsidRPr="00820B09" w:rsidRDefault="008F5CE5" w:rsidP="00567651">
                            <w:pPr>
                              <w:jc w:val="both"/>
                              <w:rPr>
                                <w:rFonts w:asciiTheme="majorHAnsi" w:hAnsiTheme="majorHAnsi"/>
                                <w:sz w:val="20"/>
                                <w:szCs w:val="20"/>
                                <w:lang w:eastAsia="fr-FR"/>
                              </w:rPr>
                            </w:pPr>
                            <w:r w:rsidRPr="00820B09">
                              <w:rPr>
                                <w:rFonts w:asciiTheme="majorHAnsi" w:hAnsiTheme="majorHAnsi"/>
                                <w:sz w:val="20"/>
                                <w:szCs w:val="20"/>
                                <w:lang w:eastAsia="fr-FR"/>
                              </w:rPr>
                              <w:t xml:space="preserve"> </w:t>
                            </w:r>
                          </w:p>
                          <w:p w14:paraId="4E8F7053" w14:textId="6ED0F078" w:rsidR="008C6FF2" w:rsidRPr="00820B09" w:rsidRDefault="008F5CE5" w:rsidP="00567651">
                            <w:pPr>
                              <w:jc w:val="both"/>
                              <w:rPr>
                                <w:rFonts w:asciiTheme="majorHAnsi" w:hAnsiTheme="majorHAnsi"/>
                                <w:sz w:val="20"/>
                                <w:szCs w:val="20"/>
                                <w:lang w:eastAsia="fr-FR"/>
                              </w:rPr>
                            </w:pPr>
                            <w:r w:rsidRPr="00820B09">
                              <w:rPr>
                                <w:rFonts w:asciiTheme="majorHAnsi" w:hAnsiTheme="majorHAnsi"/>
                                <w:sz w:val="20"/>
                                <w:szCs w:val="20"/>
                                <w:lang w:eastAsia="fr-FR"/>
                              </w:rPr>
                              <w:t>Some employees with disabilities may require an individualized plan, known as a Personal Emergency Evacuation Plan (PEEP), that sets out how the individual will be supported to evacuate in the event of an emergency. This may involve measures including specific communication methods, assistance from other employees, provision of refuge areas with accessible two-way communications, and / or the provision of specialized equipment, such as evacuation chairs. The decision whether a PEEP is required, and the development of the PEEP, should be in undertaken in consultation with the employee, and specialized disability and WHS organizations where required.</w:t>
                            </w:r>
                          </w:p>
                          <w:p w14:paraId="1EAFC3D4" w14:textId="60A60EA6" w:rsidR="00A80F39" w:rsidRPr="00820B09" w:rsidRDefault="00A80F39" w:rsidP="00A80F39">
                            <w:pPr>
                              <w:pStyle w:val="NormalWeb"/>
                              <w:jc w:val="both"/>
                              <w:rPr>
                                <w:rFonts w:asciiTheme="majorHAnsi" w:hAnsiTheme="majorHAnsi"/>
                                <w:sz w:val="20"/>
                                <w:szCs w:val="20"/>
                              </w:rPr>
                            </w:pPr>
                            <w:r w:rsidRPr="00820B09">
                              <w:rPr>
                                <w:rFonts w:asciiTheme="majorHAnsi" w:hAnsiTheme="majorHAnsi"/>
                                <w:sz w:val="20"/>
                                <w:szCs w:val="20"/>
                              </w:rPr>
                              <w:t>See the resources for this indicator</w:t>
                            </w:r>
                            <w:r w:rsidR="00907EF8" w:rsidRPr="00820B09">
                              <w:rPr>
                                <w:rFonts w:asciiTheme="majorHAnsi" w:hAnsiTheme="majorHAnsi"/>
                                <w:sz w:val="20"/>
                                <w:szCs w:val="20"/>
                              </w:rPr>
                              <w:t xml:space="preserve">. </w:t>
                            </w:r>
                            <w:r w:rsidRPr="00820B09">
                              <w:rPr>
                                <w:rFonts w:asciiTheme="majorHAnsi" w:hAnsiTheme="majorHAnsi"/>
                                <w:sz w:val="20"/>
                                <w:szCs w:val="20"/>
                              </w:rPr>
                              <w:t>BFFI</w:t>
                            </w:r>
                            <w:r w:rsidR="00907EF8" w:rsidRPr="00820B09">
                              <w:rPr>
                                <w:rFonts w:asciiTheme="majorHAnsi" w:hAnsiTheme="majorHAnsi"/>
                                <w:sz w:val="20"/>
                                <w:szCs w:val="20"/>
                              </w:rPr>
                              <w:t>’s</w:t>
                            </w:r>
                            <w:r w:rsidRPr="00820B09">
                              <w:rPr>
                                <w:rFonts w:asciiTheme="majorHAnsi" w:hAnsiTheme="majorHAnsi"/>
                                <w:sz w:val="20"/>
                                <w:szCs w:val="20"/>
                              </w:rPr>
                              <w:t xml:space="preserve"> Disability Inclusion Guide for FSPs provides more information and resources on WHS considerations for employees with disabilities. </w:t>
                            </w:r>
                          </w:p>
                          <w:p w14:paraId="2D6AD8DA" w14:textId="76E61347" w:rsidR="00567651" w:rsidRPr="00820B09" w:rsidRDefault="00567651" w:rsidP="008F5CE5">
                            <w:pPr>
                              <w:jc w:val="both"/>
                              <w:rPr>
                                <w:rFonts w:asciiTheme="majorHAnsi" w:hAnsiTheme="majorHAnsi"/>
                                <w:sz w:val="20"/>
                                <w:szCs w:val="20"/>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659BC5" id="_x0000_s1065" type="#_x0000_t202" style="position:absolute;left:0;text-align:left;margin-left:0;margin-top:12.65pt;width:2in;height:549pt;z-index:251730944;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" filled="f" strokeweight=".5pt">
                <v:textbox>
                  <w:txbxContent>
                    <w:p w14:paraId="5D26EBE0" w14:textId="42AF59CA" w:rsidR="00567651" w:rsidRPr="00820B09" w:rsidRDefault="00EB123D"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567651" w:rsidRPr="00820B09">
                        <w:rPr>
                          <w:rFonts w:asciiTheme="majorHAnsi" w:hAnsiTheme="majorHAnsi"/>
                          <w:b/>
                          <w:bCs/>
                          <w:sz w:val="20"/>
                          <w:szCs w:val="20"/>
                          <w:lang w:eastAsia="fr-FR"/>
                        </w:rPr>
                        <w:t>5.A.3.3</w:t>
                      </w:r>
                    </w:p>
                    <w:p w14:paraId="0E94D087" w14:textId="3E164264" w:rsidR="008C6FF2" w:rsidRPr="00820B09" w:rsidRDefault="008C6FF2" w:rsidP="008C6FF2">
                      <w:pPr>
                        <w:pStyle w:val="NormalWeb"/>
                        <w:jc w:val="both"/>
                        <w:rPr>
                          <w:rFonts w:asciiTheme="majorHAnsi" w:hAnsiTheme="majorHAnsi"/>
                          <w:sz w:val="20"/>
                          <w:szCs w:val="20"/>
                        </w:rPr>
                      </w:pPr>
                      <w:r w:rsidRPr="00820B09">
                        <w:rPr>
                          <w:rFonts w:asciiTheme="majorHAnsi" w:hAnsiTheme="majorHAnsi"/>
                          <w:sz w:val="20"/>
                          <w:szCs w:val="20"/>
                        </w:rPr>
                        <w:t xml:space="preserve">Employees with disabilities may experience particular risks in all health and safety dimensions, including physical and workplace risks, psychosocial and mental health risks, and emergency and disaster-related risks. These should be identified by </w:t>
                      </w:r>
                      <w:r w:rsidR="0065769E" w:rsidRPr="00820B09">
                        <w:rPr>
                          <w:rFonts w:asciiTheme="majorHAnsi" w:hAnsiTheme="majorHAnsi"/>
                          <w:sz w:val="20"/>
                          <w:szCs w:val="20"/>
                        </w:rPr>
                        <w:t xml:space="preserve">inclusive </w:t>
                      </w:r>
                      <w:r w:rsidR="008F5CE5" w:rsidRPr="00820B09">
                        <w:rPr>
                          <w:rFonts w:asciiTheme="majorHAnsi" w:hAnsiTheme="majorHAnsi"/>
                          <w:sz w:val="20"/>
                          <w:szCs w:val="20"/>
                        </w:rPr>
                        <w:t>w</w:t>
                      </w:r>
                      <w:r w:rsidRPr="00820B09">
                        <w:rPr>
                          <w:rFonts w:asciiTheme="majorHAnsi" w:hAnsiTheme="majorHAnsi"/>
                          <w:sz w:val="20"/>
                          <w:szCs w:val="20"/>
                        </w:rPr>
                        <w:t xml:space="preserve">orkplace </w:t>
                      </w:r>
                      <w:r w:rsidR="008F5CE5" w:rsidRPr="00820B09">
                        <w:rPr>
                          <w:rFonts w:asciiTheme="majorHAnsi" w:hAnsiTheme="majorHAnsi"/>
                          <w:sz w:val="20"/>
                          <w:szCs w:val="20"/>
                        </w:rPr>
                        <w:t xml:space="preserve">health and safety (WHS) </w:t>
                      </w:r>
                      <w:r w:rsidRPr="00820B09">
                        <w:rPr>
                          <w:rFonts w:asciiTheme="majorHAnsi" w:hAnsiTheme="majorHAnsi"/>
                          <w:sz w:val="20"/>
                          <w:szCs w:val="20"/>
                        </w:rPr>
                        <w:t>risk assessment procedure</w:t>
                      </w:r>
                      <w:r w:rsidR="0065769E" w:rsidRPr="00820B09">
                        <w:rPr>
                          <w:rFonts w:asciiTheme="majorHAnsi" w:hAnsiTheme="majorHAnsi"/>
                          <w:sz w:val="20"/>
                          <w:szCs w:val="20"/>
                        </w:rPr>
                        <w:t>, including i</w:t>
                      </w:r>
                      <w:r w:rsidR="008F5CE5" w:rsidRPr="00820B09">
                        <w:rPr>
                          <w:rFonts w:asciiTheme="majorHAnsi" w:hAnsiTheme="majorHAnsi"/>
                          <w:sz w:val="20"/>
                          <w:szCs w:val="20"/>
                        </w:rPr>
                        <w:t>ndividualized risk assessments for employees with disabilities where required (see indicator 5.A.3.1).</w:t>
                      </w:r>
                    </w:p>
                    <w:p w14:paraId="18B6B383" w14:textId="77777777" w:rsidR="008F5CE5" w:rsidRPr="00820B09" w:rsidRDefault="008C6FF2" w:rsidP="00567651">
                      <w:pPr>
                        <w:jc w:val="both"/>
                        <w:rPr>
                          <w:rFonts w:asciiTheme="majorHAnsi" w:hAnsiTheme="majorHAnsi"/>
                          <w:sz w:val="20"/>
                          <w:szCs w:val="20"/>
                        </w:rPr>
                      </w:pPr>
                      <w:r w:rsidRPr="00820B09">
                        <w:rPr>
                          <w:rFonts w:asciiTheme="majorHAnsi" w:hAnsiTheme="majorHAnsi"/>
                          <w:sz w:val="20"/>
                          <w:szCs w:val="20"/>
                        </w:rPr>
                        <w:t>Risk mitigation measures may include</w:t>
                      </w:r>
                      <w:r w:rsidR="008F5CE5" w:rsidRPr="00820B09">
                        <w:rPr>
                          <w:rFonts w:asciiTheme="majorHAnsi" w:hAnsiTheme="majorHAnsi"/>
                          <w:sz w:val="20"/>
                          <w:szCs w:val="20"/>
                        </w:rPr>
                        <w:t>:</w:t>
                      </w:r>
                    </w:p>
                    <w:p w14:paraId="520F6F9B" w14:textId="6622EF37" w:rsidR="008F5CE5" w:rsidRPr="00820B09" w:rsidRDefault="008F5CE5" w:rsidP="00A27AAA">
                      <w:pPr>
                        <w:pStyle w:val="ListParagraph"/>
                        <w:numPr>
                          <w:ilvl w:val="0"/>
                          <w:numId w:val="409"/>
                        </w:numPr>
                        <w:rPr>
                          <w:rFonts w:asciiTheme="majorHAnsi" w:hAnsiTheme="majorHAnsi"/>
                          <w:szCs w:val="20"/>
                          <w:lang w:eastAsia="fr-FR"/>
                        </w:rPr>
                      </w:pPr>
                      <w:r w:rsidRPr="00820B09">
                        <w:rPr>
                          <w:rFonts w:asciiTheme="majorHAnsi" w:hAnsiTheme="majorHAnsi"/>
                          <w:szCs w:val="20"/>
                          <w:lang w:eastAsia="fr-FR"/>
                        </w:rPr>
                        <w:t>training staff responsible for WHS on disability-inclusive risk management processes, and training building / floor wardens and managers on inclusive evacuation support.</w:t>
                      </w:r>
                    </w:p>
                    <w:p w14:paraId="536F03E8" w14:textId="0EFBA197" w:rsidR="0065769E" w:rsidRPr="00820B09" w:rsidRDefault="0065769E" w:rsidP="00A27AAA">
                      <w:pPr>
                        <w:pStyle w:val="ListParagraph"/>
                        <w:numPr>
                          <w:ilvl w:val="0"/>
                          <w:numId w:val="409"/>
                        </w:numPr>
                        <w:rPr>
                          <w:rFonts w:asciiTheme="majorHAnsi" w:hAnsiTheme="majorHAnsi"/>
                          <w:szCs w:val="20"/>
                          <w:lang w:eastAsia="fr-FR"/>
                        </w:rPr>
                      </w:pPr>
                      <w:r w:rsidRPr="00820B09">
                        <w:rPr>
                          <w:rFonts w:asciiTheme="majorHAnsi" w:hAnsiTheme="majorHAnsi"/>
                          <w:szCs w:val="20"/>
                          <w:lang w:eastAsia="fr-FR"/>
                        </w:rPr>
                        <w:t>providing all WHS information, including training materials and emergency and evacuation plans and procedures in accessible formats.</w:t>
                      </w:r>
                    </w:p>
                    <w:p w14:paraId="61C3BA0E" w14:textId="33E1544A" w:rsidR="0065769E" w:rsidRPr="00820B09" w:rsidRDefault="0065769E" w:rsidP="00A27AAA">
                      <w:pPr>
                        <w:pStyle w:val="ListParagraph"/>
                        <w:numPr>
                          <w:ilvl w:val="0"/>
                          <w:numId w:val="409"/>
                        </w:numPr>
                        <w:rPr>
                          <w:rFonts w:asciiTheme="majorHAnsi" w:hAnsiTheme="majorHAnsi"/>
                          <w:szCs w:val="20"/>
                          <w:lang w:eastAsia="fr-FR"/>
                        </w:rPr>
                      </w:pPr>
                      <w:r w:rsidRPr="00820B09">
                        <w:rPr>
                          <w:rFonts w:asciiTheme="majorHAnsi" w:hAnsiTheme="majorHAnsi"/>
                          <w:szCs w:val="20"/>
                          <w:lang w:eastAsia="fr-FR"/>
                        </w:rPr>
                        <w:t>providing inclusive and accessible trainings related to WHS, including induction training, refresher courses, and safety briefings.</w:t>
                      </w:r>
                    </w:p>
                    <w:p w14:paraId="485AD672" w14:textId="4FDFC555" w:rsidR="008F5CE5" w:rsidRPr="00820B09" w:rsidRDefault="0065769E"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rPr>
                        <w:t xml:space="preserve">making </w:t>
                      </w:r>
                      <w:r w:rsidR="008C6FF2" w:rsidRPr="00820B09">
                        <w:rPr>
                          <w:rFonts w:asciiTheme="majorHAnsi" w:hAnsiTheme="majorHAnsi"/>
                          <w:szCs w:val="20"/>
                        </w:rPr>
                        <w:t>adaptations to the workplace (e.g. improving accessibility of signage, adjusting lighting)</w:t>
                      </w:r>
                      <w:r w:rsidRPr="00820B09">
                        <w:rPr>
                          <w:rFonts w:asciiTheme="majorHAnsi" w:hAnsiTheme="majorHAnsi"/>
                          <w:szCs w:val="20"/>
                        </w:rPr>
                        <w:t>.</w:t>
                      </w:r>
                    </w:p>
                    <w:p w14:paraId="328D8171" w14:textId="5C2B03C2" w:rsidR="008C6FF2" w:rsidRPr="00820B09" w:rsidRDefault="008C6FF2"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rPr>
                        <w:t>provi</w:t>
                      </w:r>
                      <w:r w:rsidR="0065769E" w:rsidRPr="00820B09">
                        <w:rPr>
                          <w:rFonts w:asciiTheme="majorHAnsi" w:hAnsiTheme="majorHAnsi"/>
                          <w:szCs w:val="20"/>
                        </w:rPr>
                        <w:t>ding</w:t>
                      </w:r>
                      <w:r w:rsidRPr="00820B09">
                        <w:rPr>
                          <w:rFonts w:asciiTheme="majorHAnsi" w:hAnsiTheme="majorHAnsi"/>
                          <w:szCs w:val="20"/>
                        </w:rPr>
                        <w:t xml:space="preserve"> reasonable accommodations to mitigate the risk of harm for individual employees (e.g. providing ergonomic furniture, adjusting screen settings).</w:t>
                      </w:r>
                    </w:p>
                    <w:p w14:paraId="5F4C108B" w14:textId="18666D79" w:rsidR="008F5CE5" w:rsidRPr="00820B09" w:rsidRDefault="008F5CE5"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lang w:eastAsia="fr-FR"/>
                        </w:rPr>
                        <w:t>accessibility audits of all premises including evacuation routes and accessible evacuation signage</w:t>
                      </w:r>
                      <w:r w:rsidR="0065769E" w:rsidRPr="00820B09">
                        <w:rPr>
                          <w:rFonts w:asciiTheme="majorHAnsi" w:hAnsiTheme="majorHAnsi"/>
                          <w:szCs w:val="20"/>
                          <w:lang w:eastAsia="fr-FR"/>
                        </w:rPr>
                        <w:t xml:space="preserve"> (see indicator 3.B.2.2 for information on accessibility audits).</w:t>
                      </w:r>
                    </w:p>
                    <w:p w14:paraId="49088442" w14:textId="684DB31F" w:rsidR="008F5CE5" w:rsidRPr="00820B09" w:rsidRDefault="008F5CE5" w:rsidP="00A27AAA">
                      <w:pPr>
                        <w:pStyle w:val="ListParagraph"/>
                        <w:numPr>
                          <w:ilvl w:val="0"/>
                          <w:numId w:val="409"/>
                        </w:numPr>
                        <w:jc w:val="both"/>
                        <w:rPr>
                          <w:rFonts w:asciiTheme="majorHAnsi" w:hAnsiTheme="majorHAnsi"/>
                          <w:szCs w:val="20"/>
                          <w:lang w:eastAsia="fr-FR"/>
                        </w:rPr>
                      </w:pPr>
                      <w:r w:rsidRPr="00820B09">
                        <w:rPr>
                          <w:rFonts w:asciiTheme="majorHAnsi" w:hAnsiTheme="majorHAnsi"/>
                          <w:szCs w:val="20"/>
                          <w:lang w:eastAsia="fr-FR"/>
                        </w:rPr>
                        <w:t>designing and implementing gender-sensitive and disability-inclusive plans and procedures for emergencies and evacuations.</w:t>
                      </w:r>
                    </w:p>
                    <w:p w14:paraId="53C05249" w14:textId="1BCD59A9" w:rsidR="008F5CE5" w:rsidRPr="00820B09" w:rsidRDefault="008F5CE5" w:rsidP="008F5CE5">
                      <w:pPr>
                        <w:jc w:val="both"/>
                        <w:rPr>
                          <w:rFonts w:asciiTheme="majorHAnsi" w:hAnsiTheme="majorHAnsi"/>
                          <w:sz w:val="20"/>
                          <w:szCs w:val="20"/>
                          <w:lang w:eastAsia="fr-FR"/>
                        </w:rPr>
                      </w:pPr>
                      <w:r w:rsidRPr="00820B09">
                        <w:rPr>
                          <w:rFonts w:asciiTheme="majorHAnsi" w:hAnsiTheme="majorHAnsi"/>
                          <w:sz w:val="20"/>
                          <w:szCs w:val="20"/>
                          <w:lang w:eastAsia="fr-FR"/>
                        </w:rPr>
                        <w:t>All components of emergency response and evacuation plans and procedures should be accessible for employees with different types of impairments, including information and training; alarms and alerts; evacuation procedures, routes and signage; and safe refuges. Emergency response and evacuation plans should be made available in accessible formats for employees with disabilities</w:t>
                      </w:r>
                      <w:r w:rsidR="0065769E" w:rsidRPr="00820B09">
                        <w:rPr>
                          <w:rFonts w:asciiTheme="majorHAnsi" w:hAnsiTheme="majorHAnsi"/>
                          <w:sz w:val="20"/>
                          <w:szCs w:val="20"/>
                          <w:lang w:eastAsia="fr-FR"/>
                        </w:rPr>
                        <w:t>. Conduct periodic drills that include employees with disabilities.</w:t>
                      </w:r>
                    </w:p>
                    <w:p w14:paraId="262E80B0" w14:textId="1421958F" w:rsidR="008C6FF2" w:rsidRPr="00820B09" w:rsidRDefault="008F5CE5" w:rsidP="00567651">
                      <w:pPr>
                        <w:jc w:val="both"/>
                        <w:rPr>
                          <w:rFonts w:asciiTheme="majorHAnsi" w:hAnsiTheme="majorHAnsi"/>
                          <w:sz w:val="20"/>
                          <w:szCs w:val="20"/>
                          <w:lang w:eastAsia="fr-FR"/>
                        </w:rPr>
                      </w:pPr>
                      <w:r w:rsidRPr="00820B09">
                        <w:rPr>
                          <w:rFonts w:asciiTheme="majorHAnsi" w:hAnsiTheme="majorHAnsi"/>
                          <w:sz w:val="20"/>
                          <w:szCs w:val="20"/>
                          <w:lang w:eastAsia="fr-FR"/>
                        </w:rPr>
                        <w:t xml:space="preserve"> </w:t>
                      </w:r>
                    </w:p>
                    <w:p w14:paraId="4E8F7053" w14:textId="6ED0F078" w:rsidR="008C6FF2" w:rsidRPr="00820B09" w:rsidRDefault="008F5CE5" w:rsidP="00567651">
                      <w:pPr>
                        <w:jc w:val="both"/>
                        <w:rPr>
                          <w:rFonts w:asciiTheme="majorHAnsi" w:hAnsiTheme="majorHAnsi"/>
                          <w:sz w:val="20"/>
                          <w:szCs w:val="20"/>
                          <w:lang w:eastAsia="fr-FR"/>
                        </w:rPr>
                      </w:pPr>
                      <w:r w:rsidRPr="00820B09">
                        <w:rPr>
                          <w:rFonts w:asciiTheme="majorHAnsi" w:hAnsiTheme="majorHAnsi"/>
                          <w:sz w:val="20"/>
                          <w:szCs w:val="20"/>
                          <w:lang w:eastAsia="fr-FR"/>
                        </w:rPr>
                        <w:t>Some employees with disabilities may require an individualized plan, known as a Personal Emergency Evacuation Plan (PEEP), that sets out how the individual will be supported to evacuate in the event of an emergency. This may involve measures including specific communication methods, assistance from other employees, provision of refuge areas with accessible two-way communications, and / or the provision of specialized equipment, such as evacuation chairs. The decision whether a PEEP is required, and the development of the PEEP, should be in undertaken in consultation with the employee, and specialized disability and WHS organizations where required.</w:t>
                      </w:r>
                    </w:p>
                    <w:p w14:paraId="1EAFC3D4" w14:textId="60A60EA6" w:rsidR="00A80F39" w:rsidRPr="00820B09" w:rsidRDefault="00A80F39" w:rsidP="00A80F39">
                      <w:pPr>
                        <w:pStyle w:val="NormalWeb"/>
                        <w:jc w:val="both"/>
                        <w:rPr>
                          <w:rFonts w:asciiTheme="majorHAnsi" w:hAnsiTheme="majorHAnsi"/>
                          <w:sz w:val="20"/>
                          <w:szCs w:val="20"/>
                        </w:rPr>
                      </w:pPr>
                      <w:r w:rsidRPr="00820B09">
                        <w:rPr>
                          <w:rFonts w:asciiTheme="majorHAnsi" w:hAnsiTheme="majorHAnsi"/>
                          <w:sz w:val="20"/>
                          <w:szCs w:val="20"/>
                        </w:rPr>
                        <w:t>See the resources for this indicator</w:t>
                      </w:r>
                      <w:r w:rsidR="00907EF8" w:rsidRPr="00820B09">
                        <w:rPr>
                          <w:rFonts w:asciiTheme="majorHAnsi" w:hAnsiTheme="majorHAnsi"/>
                          <w:sz w:val="20"/>
                          <w:szCs w:val="20"/>
                        </w:rPr>
                        <w:t xml:space="preserve">. </w:t>
                      </w:r>
                      <w:r w:rsidRPr="00820B09">
                        <w:rPr>
                          <w:rFonts w:asciiTheme="majorHAnsi" w:hAnsiTheme="majorHAnsi"/>
                          <w:sz w:val="20"/>
                          <w:szCs w:val="20"/>
                        </w:rPr>
                        <w:t>BFFI</w:t>
                      </w:r>
                      <w:r w:rsidR="00907EF8" w:rsidRPr="00820B09">
                        <w:rPr>
                          <w:rFonts w:asciiTheme="majorHAnsi" w:hAnsiTheme="majorHAnsi"/>
                          <w:sz w:val="20"/>
                          <w:szCs w:val="20"/>
                        </w:rPr>
                        <w:t>’s</w:t>
                      </w:r>
                      <w:r w:rsidRPr="00820B09">
                        <w:rPr>
                          <w:rFonts w:asciiTheme="majorHAnsi" w:hAnsiTheme="majorHAnsi"/>
                          <w:sz w:val="20"/>
                          <w:szCs w:val="20"/>
                        </w:rPr>
                        <w:t xml:space="preserve"> Disability Inclusion Guide for FSPs provides more information and resources on WHS considerations for employees with disabilities. </w:t>
                      </w:r>
                    </w:p>
                    <w:p w14:paraId="2D6AD8DA" w14:textId="76E61347" w:rsidR="00567651" w:rsidRPr="00820B09" w:rsidRDefault="00567651" w:rsidP="008F5CE5">
                      <w:pPr>
                        <w:jc w:val="both"/>
                        <w:rPr>
                          <w:rFonts w:asciiTheme="majorHAnsi" w:hAnsiTheme="majorHAnsi"/>
                          <w:sz w:val="20"/>
                          <w:szCs w:val="20"/>
                          <w:lang w:eastAsia="fr-FR"/>
                        </w:rPr>
                      </w:pPr>
                    </w:p>
                  </w:txbxContent>
                </v:textbox>
                <w10:wrap type="square" anchorx="margin"/>
              </v:shape>
            </w:pict>
          </mc:Fallback>
        </mc:AlternateContent>
      </w:r>
    </w:p>
    <w:p w14:paraId="19E78FC1" w14:textId="3F47CDFE" w:rsidR="00567651" w:rsidRPr="00A608EE" w:rsidRDefault="00567651" w:rsidP="00EE208A">
      <w:pPr>
        <w:jc w:val="both"/>
        <w:rPr>
          <w:rFonts w:asciiTheme="majorHAnsi" w:hAnsiTheme="majorHAnsi"/>
          <w:szCs w:val="20"/>
          <w:lang w:eastAsia="fr-FR"/>
        </w:rPr>
      </w:pPr>
    </w:p>
    <w:p w14:paraId="50A22969" w14:textId="40F09A40" w:rsidR="004E5CEF" w:rsidRPr="00A608EE" w:rsidRDefault="004E5CE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781B9475" w14:textId="77777777" w:rsidR="004E5CEF" w:rsidRPr="00A608EE" w:rsidRDefault="004E5CEF"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5.A.3.3.1</w:t>
      </w:r>
    </w:p>
    <w:p w14:paraId="551B3B3F" w14:textId="77777777" w:rsidR="004E5CEF" w:rsidRPr="00A608EE" w:rsidRDefault="004E5CEF" w:rsidP="00A27AAA">
      <w:pPr>
        <w:numPr>
          <w:ilvl w:val="0"/>
          <w:numId w:val="307"/>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w:t>
      </w:r>
    </w:p>
    <w:p w14:paraId="10BCCBB6" w14:textId="77777777" w:rsidR="004E5CEF" w:rsidRPr="00A608EE" w:rsidRDefault="004E5CEF" w:rsidP="00A27AAA">
      <w:pPr>
        <w:numPr>
          <w:ilvl w:val="1"/>
          <w:numId w:val="307"/>
        </w:numPr>
        <w:jc w:val="both"/>
        <w:rPr>
          <w:rFonts w:asciiTheme="majorHAnsi" w:hAnsiTheme="majorHAnsi"/>
          <w:sz w:val="20"/>
          <w:szCs w:val="20"/>
          <w:lang w:eastAsia="fr-FR"/>
        </w:rPr>
      </w:pPr>
      <w:r w:rsidRPr="00A608EE">
        <w:rPr>
          <w:rFonts w:asciiTheme="majorHAnsi" w:hAnsiTheme="majorHAnsi"/>
          <w:sz w:val="20"/>
          <w:szCs w:val="20"/>
          <w:lang w:eastAsia="fr-FR"/>
        </w:rPr>
        <w:t>offers all necessary health &amp; safety equipment free-of-charge to all employees,</w:t>
      </w:r>
    </w:p>
    <w:p w14:paraId="35DFC734" w14:textId="77777777" w:rsidR="004E5CEF" w:rsidRPr="00A608EE" w:rsidRDefault="004E5CEF" w:rsidP="00A27AAA">
      <w:pPr>
        <w:numPr>
          <w:ilvl w:val="1"/>
          <w:numId w:val="307"/>
        </w:numPr>
        <w:jc w:val="both"/>
        <w:rPr>
          <w:rFonts w:asciiTheme="majorHAnsi" w:hAnsiTheme="majorHAnsi"/>
          <w:sz w:val="20"/>
          <w:szCs w:val="20"/>
          <w:lang w:eastAsia="fr-FR"/>
        </w:rPr>
      </w:pPr>
      <w:r w:rsidRPr="00A608EE">
        <w:rPr>
          <w:rFonts w:asciiTheme="majorHAnsi" w:hAnsiTheme="majorHAnsi"/>
          <w:sz w:val="20"/>
          <w:szCs w:val="20"/>
          <w:lang w:eastAsia="fr-FR"/>
        </w:rPr>
        <w:t>trains at least annually all employees in the proper use of their health &amp; safety equipment,</w:t>
      </w:r>
    </w:p>
    <w:p w14:paraId="64E9F7AC" w14:textId="77777777" w:rsidR="004E5CEF" w:rsidRPr="00A608EE" w:rsidRDefault="004E5CEF" w:rsidP="00A27AAA">
      <w:pPr>
        <w:numPr>
          <w:ilvl w:val="1"/>
          <w:numId w:val="307"/>
        </w:numPr>
        <w:jc w:val="both"/>
        <w:rPr>
          <w:rFonts w:asciiTheme="majorHAnsi" w:hAnsiTheme="majorHAnsi"/>
          <w:sz w:val="20"/>
          <w:szCs w:val="20"/>
          <w:lang w:eastAsia="fr-FR"/>
        </w:rPr>
      </w:pPr>
      <w:r w:rsidRPr="00A608EE">
        <w:rPr>
          <w:rFonts w:asciiTheme="majorHAnsi" w:hAnsiTheme="majorHAnsi"/>
          <w:sz w:val="20"/>
          <w:szCs w:val="20"/>
          <w:lang w:eastAsia="fr-FR"/>
        </w:rPr>
        <w:t>adapts physical accommodations, as needed, to safeguard the employees’ health and safety, and</w:t>
      </w:r>
    </w:p>
    <w:p w14:paraId="7ECF5CE5" w14:textId="77777777" w:rsidR="004E5CEF" w:rsidRPr="00A608EE" w:rsidRDefault="004E5CEF" w:rsidP="00A27AAA">
      <w:pPr>
        <w:numPr>
          <w:ilvl w:val="1"/>
          <w:numId w:val="307"/>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the large majority of employees uses effectively their health &amp; safety equipment.</w:t>
      </w:r>
    </w:p>
    <w:p w14:paraId="742BAE1B" w14:textId="77777777" w:rsidR="004E5CEF" w:rsidRPr="00A608EE" w:rsidRDefault="004E5CEF" w:rsidP="00A27AAA">
      <w:pPr>
        <w:numPr>
          <w:ilvl w:val="0"/>
          <w:numId w:val="307"/>
        </w:numPr>
        <w:jc w:val="both"/>
        <w:rPr>
          <w:rFonts w:asciiTheme="majorHAnsi" w:hAnsiTheme="majorHAnsi"/>
          <w:sz w:val="20"/>
          <w:szCs w:val="20"/>
          <w:lang w:eastAsia="fr-FR"/>
        </w:rPr>
      </w:pPr>
      <w:r w:rsidRPr="00A608EE">
        <w:rPr>
          <w:rFonts w:asciiTheme="majorHAnsi" w:hAnsiTheme="majorHAnsi"/>
          <w:sz w:val="20"/>
          <w:szCs w:val="20"/>
          <w:lang w:eastAsia="fr-FR"/>
        </w:rPr>
        <w:t>Score ‘partially’, if a significant number of employees do not use effectively their health &amp; safety equipment or the first three requirements are not met fully. For instance, (i) not all necessary health &amp; safety equipment is offered to all employees or (ii) training in the proper use of the health &amp; safety equipment is offered only once in two years or not to all employees or (iii) physical accommodations are not sufficiently adapted to safeguard the employees’ health and safety.</w:t>
      </w:r>
    </w:p>
    <w:p w14:paraId="4AC337D2" w14:textId="77777777" w:rsidR="004E5CEF" w:rsidRPr="00A608EE" w:rsidRDefault="004E5CEF" w:rsidP="00A27AAA">
      <w:pPr>
        <w:numPr>
          <w:ilvl w:val="0"/>
          <w:numId w:val="307"/>
        </w:numPr>
        <w:jc w:val="both"/>
        <w:rPr>
          <w:rFonts w:asciiTheme="majorHAnsi" w:hAnsiTheme="majorHAnsi"/>
          <w:sz w:val="20"/>
          <w:szCs w:val="20"/>
          <w:lang w:eastAsia="fr-FR"/>
        </w:rPr>
      </w:pPr>
      <w:r w:rsidRPr="00A608EE">
        <w:rPr>
          <w:rFonts w:asciiTheme="majorHAnsi" w:hAnsiTheme="majorHAnsi"/>
          <w:sz w:val="20"/>
          <w:szCs w:val="20"/>
          <w:lang w:eastAsia="fr-FR"/>
        </w:rPr>
        <w:t>Score ‘no’, if most employees do not use effectively their health &amp; safety equipment and/or do not have the most basic equipment and/or most requirements are largely not met. For instance, (i) the health &amp; safety equipment for the employees is insufficient and/or in poor condition and/or (ii) most employees are not trained in the use of health &amp; safety equipment and/or (iii) physical accommodations are not adapted to safeguard the employees’ health and safety.</w:t>
      </w:r>
    </w:p>
    <w:p w14:paraId="3CDE8DBF" w14:textId="77777777" w:rsidR="004E5CEF" w:rsidRPr="00A608EE" w:rsidRDefault="004E5CEF" w:rsidP="00EE208A">
      <w:pPr>
        <w:jc w:val="both"/>
        <w:rPr>
          <w:rFonts w:asciiTheme="majorHAnsi" w:hAnsiTheme="majorHAnsi"/>
          <w:sz w:val="20"/>
          <w:szCs w:val="20"/>
          <w:u w:val="single"/>
          <w:lang w:eastAsia="fr-FR"/>
        </w:rPr>
      </w:pPr>
    </w:p>
    <w:p w14:paraId="3E41506D" w14:textId="4156E010" w:rsidR="004E5CEF" w:rsidRPr="00A608EE" w:rsidRDefault="004E5CEF"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5.A.3.3.2</w:t>
      </w:r>
    </w:p>
    <w:p w14:paraId="6AB736F8" w14:textId="77777777" w:rsidR="004E5CEF" w:rsidRPr="00A608EE" w:rsidRDefault="004E5CEF" w:rsidP="00A27AAA">
      <w:pPr>
        <w:numPr>
          <w:ilvl w:val="0"/>
          <w:numId w:val="308"/>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w:t>
      </w:r>
    </w:p>
    <w:p w14:paraId="11C4ABFA" w14:textId="77777777" w:rsidR="004E5CEF" w:rsidRPr="00A608EE" w:rsidRDefault="004E5CEF" w:rsidP="00A27AAA">
      <w:pPr>
        <w:numPr>
          <w:ilvl w:val="1"/>
          <w:numId w:val="308"/>
        </w:numPr>
        <w:jc w:val="both"/>
        <w:rPr>
          <w:rFonts w:asciiTheme="majorHAnsi" w:hAnsiTheme="majorHAnsi"/>
          <w:sz w:val="20"/>
          <w:szCs w:val="20"/>
          <w:lang w:eastAsia="fr-FR"/>
        </w:rPr>
      </w:pPr>
      <w:r w:rsidRPr="00A608EE">
        <w:rPr>
          <w:rFonts w:asciiTheme="majorHAnsi" w:hAnsiTheme="majorHAnsi"/>
          <w:sz w:val="20"/>
          <w:szCs w:val="20"/>
          <w:lang w:eastAsia="fr-FR"/>
        </w:rPr>
        <w:t>has an updated written emergency/disaster response plan for all its offices,</w:t>
      </w:r>
    </w:p>
    <w:p w14:paraId="41064E2B" w14:textId="77777777" w:rsidR="004E5CEF" w:rsidRPr="00A608EE" w:rsidRDefault="004E5CEF" w:rsidP="00A27AAA">
      <w:pPr>
        <w:numPr>
          <w:ilvl w:val="1"/>
          <w:numId w:val="308"/>
        </w:numPr>
        <w:jc w:val="both"/>
        <w:rPr>
          <w:rFonts w:asciiTheme="majorHAnsi" w:hAnsiTheme="majorHAnsi"/>
          <w:sz w:val="20"/>
          <w:szCs w:val="20"/>
          <w:lang w:eastAsia="fr-FR"/>
        </w:rPr>
      </w:pPr>
      <w:r w:rsidRPr="00A608EE">
        <w:rPr>
          <w:rFonts w:asciiTheme="majorHAnsi" w:hAnsiTheme="majorHAnsi"/>
          <w:sz w:val="20"/>
          <w:szCs w:val="20"/>
          <w:lang w:eastAsia="fr-FR"/>
        </w:rPr>
        <w:t>trains management and employees at least annually on how to follow it, and</w:t>
      </w:r>
    </w:p>
    <w:p w14:paraId="29F191E0" w14:textId="77777777" w:rsidR="004E5CEF" w:rsidRPr="00A608EE" w:rsidRDefault="004E5CEF" w:rsidP="00A27AAA">
      <w:pPr>
        <w:numPr>
          <w:ilvl w:val="1"/>
          <w:numId w:val="308"/>
        </w:numPr>
        <w:jc w:val="both"/>
        <w:rPr>
          <w:rFonts w:asciiTheme="majorHAnsi" w:hAnsiTheme="majorHAnsi"/>
          <w:sz w:val="20"/>
          <w:szCs w:val="20"/>
          <w:lang w:eastAsia="fr-FR"/>
        </w:rPr>
      </w:pPr>
      <w:r w:rsidRPr="00A608EE">
        <w:rPr>
          <w:rFonts w:asciiTheme="majorHAnsi" w:hAnsiTheme="majorHAnsi"/>
          <w:sz w:val="20"/>
          <w:szCs w:val="20"/>
          <w:lang w:eastAsia="fr-FR"/>
        </w:rPr>
        <w:t>the large majority of employees understands it well.</w:t>
      </w:r>
    </w:p>
    <w:p w14:paraId="33761871" w14:textId="77777777" w:rsidR="004E5CEF" w:rsidRPr="00A608EE" w:rsidRDefault="004E5CEF" w:rsidP="00A27AAA">
      <w:pPr>
        <w:numPr>
          <w:ilvl w:val="0"/>
          <w:numId w:val="308"/>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three requirements are not met fully. For instance, (i) there is just a written generic emergency/disaster response plan, but not adjusted to each office or (ii) training on the emergency/disaster response plan is offered only once in two years or not to all employees or (iii) a significant number of the employees do not understand it well.</w:t>
      </w:r>
    </w:p>
    <w:p w14:paraId="54946743" w14:textId="77777777" w:rsidR="004E5CEF" w:rsidRPr="00A608EE" w:rsidRDefault="004E5CEF" w:rsidP="00A27AAA">
      <w:pPr>
        <w:numPr>
          <w:ilvl w:val="0"/>
          <w:numId w:val="308"/>
        </w:numPr>
        <w:jc w:val="both"/>
        <w:rPr>
          <w:rFonts w:asciiTheme="majorHAnsi" w:hAnsiTheme="majorHAnsi"/>
          <w:sz w:val="20"/>
          <w:szCs w:val="20"/>
          <w:lang w:eastAsia="fr-FR"/>
        </w:rPr>
      </w:pPr>
      <w:r w:rsidRPr="00A608EE">
        <w:rPr>
          <w:rFonts w:asciiTheme="majorHAnsi" w:hAnsiTheme="majorHAnsi"/>
          <w:sz w:val="20"/>
          <w:szCs w:val="20"/>
          <w:lang w:eastAsia="fr-FR"/>
        </w:rPr>
        <w:t>Score ‘no’, if one of the three requirements are largely not met. For instance, (i) most employees do not understand the emergency/disaster response plan and/or (ii) there is no written emergency/disaster response plan and/or (iii) no training on the emergency/disaster response plan within the past two years.</w:t>
      </w:r>
    </w:p>
    <w:p w14:paraId="2403D032" w14:textId="77777777" w:rsidR="004E5CEF" w:rsidRPr="00A608EE" w:rsidRDefault="004E5CEF" w:rsidP="00EE208A">
      <w:pPr>
        <w:jc w:val="both"/>
        <w:rPr>
          <w:rFonts w:asciiTheme="majorHAnsi" w:hAnsiTheme="majorHAnsi"/>
          <w:sz w:val="20"/>
          <w:szCs w:val="20"/>
          <w:u w:val="single"/>
          <w:lang w:eastAsia="fr-FR"/>
        </w:rPr>
      </w:pPr>
    </w:p>
    <w:p w14:paraId="5C4A68BA" w14:textId="377F26E4" w:rsidR="004E5CEF" w:rsidRPr="00A608EE" w:rsidRDefault="004E5CEF" w:rsidP="00EE208A">
      <w:pPr>
        <w:jc w:val="both"/>
        <w:rPr>
          <w:rFonts w:asciiTheme="majorHAnsi" w:hAnsiTheme="majorHAnsi"/>
          <w:sz w:val="20"/>
          <w:szCs w:val="20"/>
          <w:lang w:eastAsia="fr-FR"/>
        </w:rPr>
      </w:pPr>
      <w:r w:rsidRPr="00A608EE">
        <w:rPr>
          <w:rFonts w:asciiTheme="majorHAnsi" w:hAnsiTheme="majorHAnsi"/>
          <w:sz w:val="20"/>
          <w:szCs w:val="20"/>
          <w:u w:val="single"/>
          <w:lang w:eastAsia="fr-FR"/>
        </w:rPr>
        <w:t>Detail 5.A.3.3.3 (in SPI5 Full only)</w:t>
      </w:r>
    </w:p>
    <w:p w14:paraId="2DA09D49" w14:textId="77777777" w:rsidR="004E5CEF" w:rsidRPr="00A608EE" w:rsidRDefault="004E5CEF" w:rsidP="00A27AAA">
      <w:pPr>
        <w:numPr>
          <w:ilvl w:val="0"/>
          <w:numId w:val="309"/>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w:t>
      </w:r>
    </w:p>
    <w:p w14:paraId="05BEBAB6" w14:textId="77777777" w:rsidR="004E5CEF" w:rsidRPr="00A608EE" w:rsidRDefault="004E5CEF" w:rsidP="00A27AAA">
      <w:pPr>
        <w:numPr>
          <w:ilvl w:val="1"/>
          <w:numId w:val="309"/>
        </w:numPr>
        <w:jc w:val="both"/>
        <w:rPr>
          <w:rFonts w:asciiTheme="majorHAnsi" w:hAnsiTheme="majorHAnsi"/>
          <w:sz w:val="20"/>
          <w:szCs w:val="20"/>
          <w:lang w:eastAsia="fr-FR"/>
        </w:rPr>
      </w:pPr>
      <w:r w:rsidRPr="00A608EE">
        <w:rPr>
          <w:rFonts w:asciiTheme="majorHAnsi" w:hAnsiTheme="majorHAnsi"/>
          <w:sz w:val="20"/>
          <w:szCs w:val="20"/>
          <w:lang w:eastAsia="fr-FR"/>
        </w:rPr>
        <w:t>compensates all employees who miss work due to work-related injuries (even if there are no such national labor regulations) and</w:t>
      </w:r>
    </w:p>
    <w:p w14:paraId="010D8CA5" w14:textId="77777777" w:rsidR="004E5CEF" w:rsidRPr="00A608EE" w:rsidRDefault="004E5CEF" w:rsidP="00A27AAA">
      <w:pPr>
        <w:numPr>
          <w:ilvl w:val="1"/>
          <w:numId w:val="309"/>
        </w:numPr>
        <w:jc w:val="both"/>
        <w:rPr>
          <w:rFonts w:asciiTheme="majorHAnsi" w:hAnsiTheme="majorHAnsi"/>
          <w:sz w:val="20"/>
          <w:szCs w:val="20"/>
          <w:lang w:eastAsia="fr-FR"/>
        </w:rPr>
      </w:pPr>
      <w:r w:rsidRPr="00A608EE">
        <w:rPr>
          <w:rFonts w:asciiTheme="majorHAnsi" w:hAnsiTheme="majorHAnsi"/>
          <w:sz w:val="20"/>
          <w:szCs w:val="20"/>
          <w:lang w:eastAsia="fr-FR"/>
        </w:rPr>
        <w:t>at a minimum as stipulated by national labor law and regulations and</w:t>
      </w:r>
    </w:p>
    <w:p w14:paraId="7FD95614" w14:textId="77777777" w:rsidR="004E5CEF" w:rsidRPr="00A608EE" w:rsidRDefault="004E5CEF" w:rsidP="00A27AAA">
      <w:pPr>
        <w:numPr>
          <w:ilvl w:val="1"/>
          <w:numId w:val="309"/>
        </w:numPr>
        <w:jc w:val="both"/>
        <w:rPr>
          <w:rFonts w:asciiTheme="majorHAnsi" w:hAnsiTheme="majorHAnsi"/>
          <w:sz w:val="20"/>
          <w:szCs w:val="20"/>
          <w:lang w:eastAsia="fr-FR"/>
        </w:rPr>
      </w:pPr>
      <w:r w:rsidRPr="00A608EE">
        <w:rPr>
          <w:rFonts w:asciiTheme="majorHAnsi" w:hAnsiTheme="majorHAnsi"/>
          <w:sz w:val="20"/>
          <w:szCs w:val="20"/>
          <w:lang w:eastAsia="fr-FR"/>
        </w:rPr>
        <w:t>the large majority of the employees are aware of it.</w:t>
      </w:r>
    </w:p>
    <w:p w14:paraId="4FC829B0" w14:textId="77777777" w:rsidR="004E5CEF" w:rsidRPr="00A608EE" w:rsidRDefault="004E5CEF" w:rsidP="00A27AAA">
      <w:pPr>
        <w:numPr>
          <w:ilvl w:val="0"/>
          <w:numId w:val="309"/>
        </w:numPr>
        <w:jc w:val="both"/>
        <w:rPr>
          <w:rFonts w:asciiTheme="majorHAnsi" w:hAnsiTheme="majorHAnsi"/>
          <w:sz w:val="20"/>
          <w:szCs w:val="20"/>
          <w:lang w:eastAsia="fr-FR"/>
        </w:rPr>
      </w:pPr>
      <w:r w:rsidRPr="00A608EE">
        <w:rPr>
          <w:rFonts w:asciiTheme="majorHAnsi" w:hAnsiTheme="majorHAnsi"/>
          <w:sz w:val="20"/>
          <w:szCs w:val="20"/>
          <w:lang w:eastAsia="fr-FR"/>
        </w:rPr>
        <w:t>Score ‘partially’, if the three requirements are not met fully. For instance, (i) there is just a written generic emergency/disaster response plan but not adjusted to each office or (ii) training on the emergency/disaster response plan is offered only once in two years or not to all employees or (iii) a significant number of the employees do not understand on how to follow it.</w:t>
      </w:r>
    </w:p>
    <w:p w14:paraId="4CF42405" w14:textId="77777777" w:rsidR="004E5CEF" w:rsidRPr="00A608EE" w:rsidRDefault="004E5CEF" w:rsidP="00A27AAA">
      <w:pPr>
        <w:numPr>
          <w:ilvl w:val="0"/>
          <w:numId w:val="309"/>
        </w:numPr>
        <w:jc w:val="both"/>
        <w:rPr>
          <w:rFonts w:asciiTheme="majorHAnsi" w:hAnsiTheme="majorHAnsi"/>
          <w:sz w:val="20"/>
          <w:szCs w:val="20"/>
          <w:lang w:eastAsia="fr-FR"/>
        </w:rPr>
      </w:pPr>
      <w:r w:rsidRPr="00A608EE">
        <w:rPr>
          <w:rFonts w:asciiTheme="majorHAnsi" w:hAnsiTheme="majorHAnsi"/>
          <w:sz w:val="20"/>
          <w:szCs w:val="20"/>
          <w:lang w:eastAsia="fr-FR"/>
        </w:rPr>
        <w:t>Score ‘no’, if one of the three requirements are largely not met. For instance, (i) most employees do not understand the emergency/disaster response plan and/or (ii) there is no written emergency/disaster response plan and/or (iii) no training on the emergency/disaster response within the past two years.</w:t>
      </w:r>
    </w:p>
    <w:p w14:paraId="45C87D63" w14:textId="77777777" w:rsidR="004E5CEF" w:rsidRPr="00A608EE" w:rsidRDefault="004E5CEF" w:rsidP="00EE208A">
      <w:pPr>
        <w:jc w:val="both"/>
        <w:rPr>
          <w:rFonts w:asciiTheme="majorHAnsi" w:hAnsiTheme="majorHAnsi"/>
          <w:sz w:val="20"/>
          <w:szCs w:val="20"/>
          <w:lang w:eastAsia="fr-FR"/>
        </w:rPr>
      </w:pPr>
    </w:p>
    <w:p w14:paraId="4D16C0E9" w14:textId="4F77E63C" w:rsidR="004E5CEF" w:rsidRPr="00A608EE" w:rsidRDefault="004E5CE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7CF39677" w14:textId="77777777" w:rsidR="004E5CEF" w:rsidRPr="00A608EE" w:rsidRDefault="004E5CEF" w:rsidP="00A27AAA">
      <w:pPr>
        <w:numPr>
          <w:ilvl w:val="0"/>
          <w:numId w:val="310"/>
        </w:numPr>
        <w:jc w:val="both"/>
        <w:rPr>
          <w:rFonts w:asciiTheme="majorHAnsi" w:hAnsiTheme="majorHAnsi"/>
          <w:sz w:val="20"/>
          <w:szCs w:val="20"/>
          <w:lang w:eastAsia="fr-FR"/>
        </w:rPr>
      </w:pPr>
      <w:r w:rsidRPr="00A608EE">
        <w:rPr>
          <w:rFonts w:asciiTheme="majorHAnsi" w:hAnsiTheme="majorHAnsi"/>
          <w:sz w:val="20"/>
          <w:szCs w:val="20"/>
          <w:lang w:eastAsia="fr-FR"/>
        </w:rPr>
        <w:t>HR Policy &amp; Procedures Manual.</w:t>
      </w:r>
    </w:p>
    <w:p w14:paraId="27E03BAF" w14:textId="77777777" w:rsidR="004E5CEF" w:rsidRPr="00A608EE" w:rsidRDefault="004E5CEF" w:rsidP="00A27AAA">
      <w:pPr>
        <w:numPr>
          <w:ilvl w:val="0"/>
          <w:numId w:val="310"/>
        </w:numPr>
        <w:jc w:val="both"/>
        <w:rPr>
          <w:rFonts w:asciiTheme="majorHAnsi" w:hAnsiTheme="majorHAnsi"/>
          <w:sz w:val="20"/>
          <w:szCs w:val="20"/>
          <w:lang w:eastAsia="fr-FR"/>
        </w:rPr>
      </w:pPr>
      <w:r w:rsidRPr="00A608EE">
        <w:rPr>
          <w:rFonts w:asciiTheme="majorHAnsi" w:hAnsiTheme="majorHAnsi"/>
          <w:sz w:val="20"/>
          <w:szCs w:val="20"/>
          <w:lang w:eastAsia="fr-FR"/>
        </w:rPr>
        <w:t>Last two health and safety risk reports.</w:t>
      </w:r>
    </w:p>
    <w:p w14:paraId="605E6424" w14:textId="77777777" w:rsidR="004E5CEF" w:rsidRPr="00A608EE" w:rsidRDefault="004E5CEF" w:rsidP="00A27AAA">
      <w:pPr>
        <w:numPr>
          <w:ilvl w:val="0"/>
          <w:numId w:val="310"/>
        </w:numPr>
        <w:jc w:val="both"/>
        <w:rPr>
          <w:rFonts w:asciiTheme="majorHAnsi" w:hAnsiTheme="majorHAnsi"/>
          <w:sz w:val="20"/>
          <w:szCs w:val="20"/>
          <w:lang w:eastAsia="fr-FR"/>
        </w:rPr>
      </w:pPr>
      <w:r w:rsidRPr="00A608EE">
        <w:rPr>
          <w:rFonts w:asciiTheme="majorHAnsi" w:hAnsiTheme="majorHAnsi"/>
          <w:sz w:val="20"/>
          <w:szCs w:val="20"/>
          <w:lang w:eastAsia="fr-FR"/>
        </w:rPr>
        <w:t>Interviews with HR manager, different employees (women and men with office and field functions), and CEO/deputy CEO.</w:t>
      </w:r>
    </w:p>
    <w:p w14:paraId="2034A26E" w14:textId="77777777" w:rsidR="004E5CEF" w:rsidRPr="00A608EE" w:rsidRDefault="004E5CEF" w:rsidP="00A27AAA">
      <w:pPr>
        <w:numPr>
          <w:ilvl w:val="0"/>
          <w:numId w:val="310"/>
        </w:numPr>
        <w:jc w:val="both"/>
        <w:rPr>
          <w:rFonts w:asciiTheme="majorHAnsi" w:hAnsiTheme="majorHAnsi"/>
          <w:sz w:val="20"/>
          <w:szCs w:val="20"/>
          <w:lang w:eastAsia="fr-FR"/>
        </w:rPr>
      </w:pPr>
      <w:r w:rsidRPr="00A608EE">
        <w:rPr>
          <w:rFonts w:asciiTheme="majorHAnsi" w:hAnsiTheme="majorHAnsi"/>
          <w:sz w:val="20"/>
          <w:szCs w:val="20"/>
          <w:lang w:eastAsia="fr-FR"/>
        </w:rPr>
        <w:t>Relevant parts of the national labor law and regulations.</w:t>
      </w:r>
    </w:p>
    <w:p w14:paraId="3BB5FB56" w14:textId="77777777" w:rsidR="004E5CEF" w:rsidRPr="00A608EE" w:rsidRDefault="004E5CEF" w:rsidP="00EE208A">
      <w:pPr>
        <w:jc w:val="both"/>
        <w:rPr>
          <w:rFonts w:asciiTheme="majorHAnsi" w:hAnsiTheme="majorHAnsi"/>
          <w:sz w:val="20"/>
          <w:szCs w:val="20"/>
          <w:lang w:eastAsia="fr-FR"/>
        </w:rPr>
      </w:pPr>
    </w:p>
    <w:p w14:paraId="1E481846" w14:textId="782EEFE4" w:rsidR="004E5CEF" w:rsidRPr="00A608EE" w:rsidRDefault="004E5CE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4ED805C1" w14:textId="77777777" w:rsidR="004E5CEF" w:rsidRPr="00A608EE" w:rsidRDefault="004E5CEF" w:rsidP="00A27AAA">
      <w:pPr>
        <w:numPr>
          <w:ilvl w:val="0"/>
          <w:numId w:val="311"/>
        </w:numPr>
        <w:jc w:val="both"/>
        <w:rPr>
          <w:rFonts w:asciiTheme="majorHAnsi" w:hAnsiTheme="majorHAnsi"/>
          <w:sz w:val="20"/>
          <w:szCs w:val="20"/>
          <w:lang w:eastAsia="fr-FR"/>
        </w:rPr>
      </w:pPr>
      <w:r w:rsidRPr="00A608EE">
        <w:rPr>
          <w:rFonts w:asciiTheme="majorHAnsi" w:hAnsiTheme="majorHAnsi"/>
          <w:sz w:val="20"/>
          <w:szCs w:val="20"/>
          <w:lang w:eastAsia="fr-FR"/>
        </w:rPr>
        <w:t>List the related actions taken to prevent/reduce health and safety risks for employees.</w:t>
      </w:r>
    </w:p>
    <w:p w14:paraId="50618C29" w14:textId="77777777" w:rsidR="004E5CEF" w:rsidRPr="00A608EE" w:rsidRDefault="004E5CEF" w:rsidP="00A27AAA">
      <w:pPr>
        <w:numPr>
          <w:ilvl w:val="0"/>
          <w:numId w:val="311"/>
        </w:numPr>
        <w:jc w:val="both"/>
        <w:rPr>
          <w:rFonts w:asciiTheme="majorHAnsi" w:hAnsiTheme="majorHAnsi"/>
          <w:sz w:val="20"/>
          <w:szCs w:val="20"/>
          <w:lang w:eastAsia="fr-FR"/>
        </w:rPr>
      </w:pPr>
      <w:r w:rsidRPr="00A608EE">
        <w:rPr>
          <w:rFonts w:asciiTheme="majorHAnsi" w:hAnsiTheme="majorHAnsi"/>
          <w:sz w:val="20"/>
          <w:szCs w:val="20"/>
          <w:lang w:eastAsia="fr-FR"/>
        </w:rPr>
        <w:t>Describe the trainings (frequency and methodology) for employees to prevent/mitigate major health and safety risks.</w:t>
      </w:r>
    </w:p>
    <w:p w14:paraId="494AF2EF" w14:textId="77777777" w:rsidR="004E5CEF" w:rsidRPr="00A608EE" w:rsidRDefault="004E5CEF" w:rsidP="00A27AAA">
      <w:pPr>
        <w:numPr>
          <w:ilvl w:val="0"/>
          <w:numId w:val="311"/>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Outline the latest emergency/disaster response plan and whether and how it is adapted to each office.</w:t>
      </w:r>
    </w:p>
    <w:p w14:paraId="5B56A632" w14:textId="77777777" w:rsidR="004E5CEF" w:rsidRPr="00A608EE" w:rsidRDefault="004E5CEF" w:rsidP="00A27AAA">
      <w:pPr>
        <w:numPr>
          <w:ilvl w:val="0"/>
          <w:numId w:val="311"/>
        </w:numPr>
        <w:jc w:val="both"/>
        <w:rPr>
          <w:rFonts w:asciiTheme="majorHAnsi" w:hAnsiTheme="majorHAnsi"/>
          <w:sz w:val="20"/>
          <w:szCs w:val="20"/>
          <w:lang w:eastAsia="fr-FR"/>
        </w:rPr>
      </w:pPr>
      <w:r w:rsidRPr="00A608EE">
        <w:rPr>
          <w:rFonts w:asciiTheme="majorHAnsi" w:hAnsiTheme="majorHAnsi"/>
          <w:sz w:val="20"/>
          <w:szCs w:val="20"/>
          <w:lang w:eastAsia="fr-FR"/>
        </w:rPr>
        <w:t>Explain how and for how long the provider compensates employees who miss work due to work-related injuries.</w:t>
      </w:r>
    </w:p>
    <w:p w14:paraId="3CCCA5A8" w14:textId="77777777" w:rsidR="004E5CEF" w:rsidRPr="00A608EE" w:rsidRDefault="004E5CEF" w:rsidP="00EE208A">
      <w:pPr>
        <w:jc w:val="both"/>
        <w:rPr>
          <w:rFonts w:asciiTheme="majorHAnsi" w:hAnsiTheme="majorHAnsi"/>
          <w:sz w:val="20"/>
          <w:szCs w:val="20"/>
          <w:lang w:eastAsia="fr-FR"/>
        </w:rPr>
      </w:pPr>
    </w:p>
    <w:p w14:paraId="2632B12B" w14:textId="3B40B781" w:rsidR="004E5CEF" w:rsidRPr="00A608EE" w:rsidRDefault="004E5CEF"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5.A.3.3</w:t>
      </w:r>
    </w:p>
    <w:p w14:paraId="1489396A" w14:textId="7E0E57E9" w:rsidR="488500BF" w:rsidRPr="00A608EE" w:rsidRDefault="488500BF" w:rsidP="00A27AAA">
      <w:pPr>
        <w:numPr>
          <w:ilvl w:val="0"/>
          <w:numId w:val="30"/>
        </w:numPr>
        <w:jc w:val="both"/>
        <w:rPr>
          <w:rFonts w:ascii="Work Sans" w:eastAsia="Work Sans" w:hAnsi="Work Sans" w:cs="Work Sans"/>
          <w:color w:val="000000" w:themeColor="background1"/>
          <w:sz w:val="20"/>
          <w:szCs w:val="20"/>
        </w:rPr>
      </w:pPr>
      <w:hyperlink r:id="rId260">
        <w:r w:rsidRPr="00A608EE">
          <w:rPr>
            <w:rStyle w:val="Hyperlink"/>
            <w:rFonts w:ascii="Work Sans" w:eastAsia="Work Sans" w:hAnsi="Work Sans" w:cs="Work Sans"/>
            <w:sz w:val="20"/>
            <w:szCs w:val="20"/>
          </w:rPr>
          <w:t>Example Health and Safety Risks &amp; Training Topics</w:t>
        </w:r>
      </w:hyperlink>
    </w:p>
    <w:p w14:paraId="0E75904E" w14:textId="264C1F79" w:rsidR="488500BF" w:rsidRPr="00A608EE" w:rsidRDefault="488500BF" w:rsidP="00A27AAA">
      <w:pPr>
        <w:pStyle w:val="ListParagraph"/>
        <w:numPr>
          <w:ilvl w:val="0"/>
          <w:numId w:val="30"/>
        </w:numPr>
        <w:spacing w:after="0" w:line="240" w:lineRule="auto"/>
        <w:jc w:val="both"/>
        <w:rPr>
          <w:rFonts w:eastAsia="Work Sans"/>
          <w:color w:val="000000" w:themeColor="background1"/>
          <w:szCs w:val="20"/>
        </w:rPr>
      </w:pPr>
      <w:hyperlink r:id="rId261">
        <w:r w:rsidRPr="00A608EE">
          <w:rPr>
            <w:rStyle w:val="Hyperlink"/>
            <w:rFonts w:ascii="Work Sans" w:eastAsia="Work Sans" w:hAnsi="Work Sans" w:cs="Work Sans"/>
            <w:szCs w:val="20"/>
          </w:rPr>
          <w:t>Health and Safety Guidance for 5.A.3.3.1 and 5.A.3.3.2</w:t>
        </w:r>
      </w:hyperlink>
    </w:p>
    <w:p w14:paraId="32DD2409" w14:textId="3E1CF506" w:rsidR="00A80F39" w:rsidRPr="00A608EE" w:rsidRDefault="00A80F39" w:rsidP="00A27AAA">
      <w:pPr>
        <w:pStyle w:val="ListParagraph"/>
        <w:numPr>
          <w:ilvl w:val="0"/>
          <w:numId w:val="29"/>
        </w:numPr>
        <w:rPr>
          <w:rFonts w:asciiTheme="majorHAnsi" w:eastAsia="Times New Roman" w:hAnsiTheme="majorHAnsi" w:cs="Times New Roman"/>
          <w:szCs w:val="20"/>
          <w:lang w:eastAsia="fr-FR"/>
        </w:rPr>
      </w:pPr>
      <w:r w:rsidRPr="00A608EE">
        <w:rPr>
          <w:rFonts w:asciiTheme="majorHAnsi" w:eastAsia="Times New Roman" w:hAnsiTheme="majorHAnsi" w:cs="Times New Roman"/>
          <w:b/>
          <w:bCs/>
          <w:szCs w:val="20"/>
          <w:lang w:eastAsia="fr-FR"/>
        </w:rPr>
        <w:t>[DI Focus]:</w:t>
      </w:r>
      <w:r w:rsidRPr="00A608EE">
        <w:rPr>
          <w:rFonts w:asciiTheme="majorHAnsi" w:eastAsia="Times New Roman" w:hAnsiTheme="majorHAnsi" w:cs="Times New Roman"/>
          <w:szCs w:val="20"/>
          <w:lang w:eastAsia="fr-FR"/>
        </w:rPr>
        <w:t xml:space="preserve"> </w:t>
      </w:r>
      <w:hyperlink r:id="rId262" w:history="1">
        <w:r w:rsidR="00C05D08" w:rsidRPr="00A608EE">
          <w:rPr>
            <w:rStyle w:val="Hyperlink"/>
            <w:rFonts w:asciiTheme="majorHAnsi" w:eastAsia="Times New Roman" w:hAnsiTheme="majorHAnsi" w:cs="Times New Roman"/>
            <w:szCs w:val="20"/>
            <w:lang w:eastAsia="fr-FR"/>
          </w:rPr>
          <w:t>European Agency for Safety and Health at Work ‘Ensuring the health and safety of workers with disabilities’: includes detailed action points across the health and safety management system, including emergency procedures</w:t>
        </w:r>
      </w:hyperlink>
    </w:p>
    <w:p w14:paraId="6E201812" w14:textId="77777777" w:rsidR="00B23185" w:rsidRPr="00A608EE" w:rsidRDefault="00B23185" w:rsidP="00EE208A">
      <w:pPr>
        <w:jc w:val="both"/>
        <w:rPr>
          <w:rFonts w:asciiTheme="majorHAnsi" w:hAnsiTheme="majorHAnsi"/>
          <w:sz w:val="20"/>
          <w:szCs w:val="20"/>
        </w:rPr>
      </w:pPr>
    </w:p>
    <w:p w14:paraId="3B08C399" w14:textId="77777777" w:rsidR="00142F3A" w:rsidRPr="00A608EE" w:rsidRDefault="00142F3A" w:rsidP="00EE208A">
      <w:pPr>
        <w:jc w:val="both"/>
        <w:rPr>
          <w:rFonts w:asciiTheme="majorHAnsi" w:hAnsiTheme="majorHAnsi"/>
          <w:sz w:val="20"/>
          <w:szCs w:val="20"/>
        </w:rPr>
      </w:pPr>
    </w:p>
    <w:p w14:paraId="2BB9F50E" w14:textId="6A9FA9A7" w:rsidR="008868F1" w:rsidRPr="00A608EE" w:rsidRDefault="00463DB1" w:rsidP="00EE208A">
      <w:pPr>
        <w:pStyle w:val="Heading2"/>
        <w:spacing w:before="0" w:line="240" w:lineRule="auto"/>
        <w:jc w:val="both"/>
      </w:pPr>
      <w:bookmarkStart w:id="93" w:name="_Toc230938814"/>
      <w:r w:rsidRPr="00A608EE">
        <w:t>Standard 5B. The provider’s Human Resource Development system is designed to attract and maintain a qualified and motivated workforce</w:t>
      </w:r>
      <w:bookmarkEnd w:id="93"/>
    </w:p>
    <w:p w14:paraId="243C98CB" w14:textId="77777777" w:rsidR="008868F1" w:rsidRPr="00A608EE" w:rsidRDefault="008868F1" w:rsidP="00EE208A">
      <w:pPr>
        <w:jc w:val="both"/>
        <w:rPr>
          <w:rFonts w:asciiTheme="majorHAnsi" w:hAnsiTheme="majorHAnsi"/>
          <w:szCs w:val="20"/>
        </w:rPr>
      </w:pPr>
    </w:p>
    <w:p w14:paraId="7DEAEAC3" w14:textId="77777777" w:rsidR="00463DB1" w:rsidRPr="00A608EE" w:rsidRDefault="00463DB1" w:rsidP="00EE208A">
      <w:pPr>
        <w:jc w:val="both"/>
        <w:rPr>
          <w:rFonts w:asciiTheme="majorHAnsi" w:hAnsiTheme="majorHAnsi"/>
          <w:sz w:val="20"/>
          <w:szCs w:val="20"/>
          <w:lang w:eastAsia="fr-FR"/>
        </w:rPr>
      </w:pPr>
      <w:r w:rsidRPr="00A608EE">
        <w:rPr>
          <w:rFonts w:asciiTheme="majorHAnsi" w:hAnsiTheme="majorHAnsi"/>
          <w:sz w:val="20"/>
          <w:szCs w:val="20"/>
          <w:lang w:eastAsia="fr-FR"/>
        </w:rPr>
        <w:t>In order to do excellent work, staff need clarity on their remit, training to achieve this successfully, and a fair and transparent system for evaluating and incentivizing their performance. A staff-focused organization takes regular steps to understand whether staff are satisfied in their work, why they chose to leave your employment, and act when red flags arise in the course of this routine monitoring. It will also have a system to consult, to receive and respond to employee complaints and grievances.</w:t>
      </w:r>
    </w:p>
    <w:p w14:paraId="7CDF5ADA" w14:textId="77777777" w:rsidR="00463DB1" w:rsidRPr="00A608EE" w:rsidRDefault="00463DB1" w:rsidP="00EE208A">
      <w:pPr>
        <w:jc w:val="both"/>
        <w:rPr>
          <w:rFonts w:asciiTheme="majorHAnsi" w:hAnsiTheme="majorHAnsi"/>
          <w:szCs w:val="20"/>
          <w:lang w:eastAsia="fr-FR"/>
        </w:rPr>
      </w:pPr>
    </w:p>
    <w:p w14:paraId="383D2709" w14:textId="42060AF6" w:rsidR="00463DB1" w:rsidRPr="00A608EE" w:rsidRDefault="00463DB1"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Standard 5B</w:t>
      </w:r>
    </w:p>
    <w:p w14:paraId="1D0F6933" w14:textId="77777777" w:rsidR="00463DB1" w:rsidRPr="00A608EE" w:rsidRDefault="00463DB1" w:rsidP="00A27AAA">
      <w:pPr>
        <w:numPr>
          <w:ilvl w:val="0"/>
          <w:numId w:val="312"/>
        </w:numPr>
        <w:jc w:val="both"/>
        <w:rPr>
          <w:rFonts w:asciiTheme="majorHAnsi" w:hAnsiTheme="majorHAnsi"/>
          <w:sz w:val="20"/>
          <w:szCs w:val="20"/>
          <w:lang w:eastAsia="fr-FR"/>
        </w:rPr>
      </w:pPr>
      <w:hyperlink r:id="rId263" w:history="1">
        <w:r w:rsidRPr="00A608EE">
          <w:rPr>
            <w:rStyle w:val="Hyperlink"/>
            <w:rFonts w:asciiTheme="majorHAnsi" w:hAnsiTheme="majorHAnsi"/>
            <w:sz w:val="20"/>
            <w:szCs w:val="20"/>
            <w:lang w:eastAsia="fr-FR"/>
          </w:rPr>
          <w:t>Examples of Employee Positions and Related SPM Duties</w:t>
        </w:r>
      </w:hyperlink>
    </w:p>
    <w:p w14:paraId="734396B3" w14:textId="77777777" w:rsidR="00463DB1" w:rsidRPr="00A608EE" w:rsidRDefault="00463DB1" w:rsidP="00A27AAA">
      <w:pPr>
        <w:numPr>
          <w:ilvl w:val="0"/>
          <w:numId w:val="312"/>
        </w:numPr>
        <w:jc w:val="both"/>
        <w:rPr>
          <w:rFonts w:asciiTheme="majorHAnsi" w:hAnsiTheme="majorHAnsi"/>
          <w:sz w:val="20"/>
          <w:szCs w:val="20"/>
          <w:lang w:eastAsia="fr-FR"/>
        </w:rPr>
      </w:pPr>
      <w:hyperlink r:id="rId264" w:history="1">
        <w:r w:rsidRPr="00A608EE">
          <w:rPr>
            <w:rStyle w:val="Hyperlink"/>
            <w:rFonts w:asciiTheme="majorHAnsi" w:hAnsiTheme="majorHAnsi"/>
            <w:sz w:val="20"/>
            <w:szCs w:val="20"/>
            <w:lang w:eastAsia="fr-FR"/>
          </w:rPr>
          <w:t>Grameen Foundation’s Recruitment and Selection Toolkit</w:t>
        </w:r>
      </w:hyperlink>
    </w:p>
    <w:p w14:paraId="23990FF6" w14:textId="77777777" w:rsidR="00463DB1" w:rsidRPr="00A608EE" w:rsidRDefault="00463DB1" w:rsidP="00EE208A">
      <w:pPr>
        <w:jc w:val="both"/>
        <w:rPr>
          <w:rFonts w:asciiTheme="majorHAnsi" w:hAnsiTheme="majorHAnsi"/>
          <w:sz w:val="20"/>
          <w:szCs w:val="20"/>
          <w:lang w:eastAsia="fr-FR"/>
        </w:rPr>
      </w:pPr>
    </w:p>
    <w:p w14:paraId="02F954AE" w14:textId="08B1AF27" w:rsidR="00463DB1" w:rsidRPr="00A608EE" w:rsidRDefault="00463DB1" w:rsidP="00EE208A">
      <w:pPr>
        <w:jc w:val="both"/>
        <w:rPr>
          <w:rFonts w:asciiTheme="majorHAnsi" w:hAnsiTheme="majorHAnsi"/>
          <w:sz w:val="20"/>
          <w:szCs w:val="20"/>
          <w:lang w:eastAsia="fr-FR"/>
        </w:rPr>
      </w:pPr>
      <w:r w:rsidRPr="00A608EE">
        <w:rPr>
          <w:rFonts w:asciiTheme="majorHAnsi" w:hAnsiTheme="majorHAnsi"/>
          <w:sz w:val="20"/>
          <w:szCs w:val="20"/>
          <w:lang w:eastAsia="fr-FR"/>
        </w:rPr>
        <w:t>This standard has 2 essential practices:</w:t>
      </w:r>
    </w:p>
    <w:p w14:paraId="3232503C" w14:textId="6E9F2795" w:rsidR="00463DB1" w:rsidRPr="00A608EE" w:rsidRDefault="00463DB1" w:rsidP="00A27AAA">
      <w:pPr>
        <w:numPr>
          <w:ilvl w:val="0"/>
          <w:numId w:val="313"/>
        </w:numPr>
        <w:jc w:val="both"/>
        <w:rPr>
          <w:rFonts w:asciiTheme="majorHAnsi" w:hAnsiTheme="majorHAnsi"/>
          <w:sz w:val="20"/>
          <w:szCs w:val="20"/>
          <w:lang w:eastAsia="fr-FR"/>
        </w:rPr>
      </w:pPr>
      <w:r w:rsidRPr="00A608EE">
        <w:rPr>
          <w:rFonts w:asciiTheme="majorHAnsi" w:hAnsiTheme="majorHAnsi"/>
          <w:sz w:val="20"/>
          <w:szCs w:val="20"/>
          <w:lang w:eastAsia="fr-FR"/>
        </w:rPr>
        <w:t>Essential Practice 5.B.1: The provider gives employees complete employment documentation and training to understand their job requirements.</w:t>
      </w:r>
    </w:p>
    <w:p w14:paraId="4F3CCA0A" w14:textId="27560694" w:rsidR="00463DB1" w:rsidRPr="00A608EE" w:rsidRDefault="00463DB1" w:rsidP="00A27AAA">
      <w:pPr>
        <w:numPr>
          <w:ilvl w:val="0"/>
          <w:numId w:val="313"/>
        </w:numPr>
        <w:jc w:val="both"/>
        <w:rPr>
          <w:rFonts w:asciiTheme="majorHAnsi" w:hAnsiTheme="majorHAnsi"/>
          <w:sz w:val="20"/>
          <w:szCs w:val="20"/>
          <w:lang w:eastAsia="fr-FR"/>
        </w:rPr>
      </w:pPr>
      <w:r w:rsidRPr="00A608EE">
        <w:rPr>
          <w:rFonts w:asciiTheme="majorHAnsi" w:hAnsiTheme="majorHAnsi"/>
          <w:sz w:val="20"/>
          <w:szCs w:val="20"/>
          <w:lang w:eastAsia="fr-FR"/>
        </w:rPr>
        <w:t>Essential Practice 5.B.2: The provider gives employees formal opportunities to communicate with management.</w:t>
      </w:r>
    </w:p>
    <w:p w14:paraId="0F3CFED1" w14:textId="77777777" w:rsidR="000313F8" w:rsidRPr="00A608EE" w:rsidRDefault="000313F8" w:rsidP="00EE208A">
      <w:pPr>
        <w:jc w:val="both"/>
        <w:rPr>
          <w:rFonts w:asciiTheme="majorHAnsi" w:hAnsiTheme="majorHAnsi"/>
          <w:szCs w:val="20"/>
        </w:rPr>
      </w:pPr>
    </w:p>
    <w:p w14:paraId="78A55C2A" w14:textId="09CB1A81" w:rsidR="00980ACC" w:rsidRPr="00A608EE" w:rsidRDefault="008868F1" w:rsidP="00EE208A">
      <w:pPr>
        <w:pStyle w:val="Heading3"/>
        <w:spacing w:before="0" w:line="240" w:lineRule="auto"/>
        <w:jc w:val="both"/>
      </w:pPr>
      <w:bookmarkStart w:id="94" w:name="_Toc230938815"/>
      <w:r w:rsidRPr="00A608EE">
        <w:rPr>
          <w:rStyle w:val="text-primary"/>
        </w:rPr>
        <w:t>5.B.1</w:t>
      </w:r>
      <w:r w:rsidRPr="00A608EE">
        <w:t xml:space="preserve"> </w:t>
      </w:r>
      <w:r w:rsidR="00463DB1" w:rsidRPr="00A608EE">
        <w:t>The provider gives employees complete employment documentation and training to understand their job requirements</w:t>
      </w:r>
      <w:r w:rsidR="0094723D" w:rsidRPr="00A608EE">
        <w:t>.</w:t>
      </w:r>
      <w:bookmarkEnd w:id="94"/>
    </w:p>
    <w:p w14:paraId="4184D48C" w14:textId="77777777" w:rsidR="00463DB1" w:rsidRPr="00A608EE" w:rsidRDefault="00463DB1" w:rsidP="00EE208A">
      <w:pPr>
        <w:jc w:val="both"/>
      </w:pPr>
    </w:p>
    <w:p w14:paraId="39A60F62" w14:textId="77777777" w:rsidR="00463DB1" w:rsidRPr="00A608EE" w:rsidRDefault="00463DB1" w:rsidP="00EE208A">
      <w:pPr>
        <w:jc w:val="both"/>
        <w:rPr>
          <w:rFonts w:asciiTheme="majorHAnsi" w:hAnsiTheme="majorHAnsi"/>
          <w:b/>
          <w:bCs/>
          <w:sz w:val="20"/>
          <w:szCs w:val="20"/>
        </w:rPr>
      </w:pPr>
      <w:r w:rsidRPr="00A608EE">
        <w:rPr>
          <w:rFonts w:asciiTheme="majorHAnsi" w:hAnsiTheme="majorHAnsi"/>
          <w:b/>
          <w:bCs/>
          <w:sz w:val="20"/>
          <w:szCs w:val="20"/>
        </w:rPr>
        <w:t>Provide all employees with an employment contract</w:t>
      </w:r>
    </w:p>
    <w:p w14:paraId="32A9061C" w14:textId="482821CC" w:rsidR="00463DB1" w:rsidRPr="00A608EE" w:rsidRDefault="00463DB1" w:rsidP="00EE208A">
      <w:pPr>
        <w:jc w:val="both"/>
        <w:rPr>
          <w:rFonts w:asciiTheme="majorHAnsi" w:hAnsiTheme="majorHAnsi"/>
          <w:sz w:val="20"/>
          <w:szCs w:val="20"/>
        </w:rPr>
      </w:pPr>
      <w:r w:rsidRPr="00A608EE">
        <w:rPr>
          <w:rFonts w:asciiTheme="majorHAnsi" w:hAnsiTheme="majorHAnsi"/>
          <w:sz w:val="20"/>
          <w:szCs w:val="20"/>
        </w:rPr>
        <w:t>In addition to all employees understanding their rights and responsibilities supported by a clear HR policy (refer to Standard 5A), providers should also provide each employee with a written (signed) employment contract and a written job description of his/her workplace duties. The job description should be reviewed with the employee at the time of hiring and whenever s/he changes positions to ensure clarity on his/her roles and responsibilities and to enable fair performance evaluations.</w:t>
      </w:r>
    </w:p>
    <w:p w14:paraId="5816A2BE" w14:textId="77777777" w:rsidR="00463DB1" w:rsidRPr="00A608EE" w:rsidRDefault="00463DB1" w:rsidP="00EE208A">
      <w:pPr>
        <w:jc w:val="both"/>
        <w:rPr>
          <w:rFonts w:asciiTheme="majorHAnsi" w:hAnsiTheme="majorHAnsi"/>
          <w:sz w:val="20"/>
          <w:szCs w:val="20"/>
        </w:rPr>
      </w:pPr>
    </w:p>
    <w:p w14:paraId="195C1C0B" w14:textId="1986812F" w:rsidR="00463DB1" w:rsidRPr="00A608EE" w:rsidRDefault="00463DB1" w:rsidP="00EE208A">
      <w:pPr>
        <w:jc w:val="both"/>
        <w:rPr>
          <w:rFonts w:asciiTheme="majorHAnsi" w:hAnsiTheme="majorHAnsi"/>
          <w:sz w:val="20"/>
          <w:szCs w:val="20"/>
        </w:rPr>
      </w:pPr>
      <w:r w:rsidRPr="00A608EE">
        <w:rPr>
          <w:rFonts w:asciiTheme="majorHAnsi" w:hAnsiTheme="majorHAnsi"/>
          <w:sz w:val="20"/>
          <w:szCs w:val="20"/>
        </w:rPr>
        <w:t>The employment contract (signed on or before the first day of work) should specify the employee’s:</w:t>
      </w:r>
    </w:p>
    <w:p w14:paraId="7DAC8A7D" w14:textId="77777777" w:rsidR="00463DB1" w:rsidRPr="00A608EE" w:rsidRDefault="00463DB1" w:rsidP="00A27AAA">
      <w:pPr>
        <w:numPr>
          <w:ilvl w:val="0"/>
          <w:numId w:val="314"/>
        </w:numPr>
        <w:jc w:val="both"/>
        <w:rPr>
          <w:rFonts w:asciiTheme="majorHAnsi" w:hAnsiTheme="majorHAnsi"/>
          <w:sz w:val="20"/>
          <w:szCs w:val="20"/>
        </w:rPr>
      </w:pPr>
      <w:r w:rsidRPr="00A608EE">
        <w:rPr>
          <w:rFonts w:asciiTheme="majorHAnsi" w:hAnsiTheme="majorHAnsi"/>
          <w:b/>
          <w:bCs/>
          <w:sz w:val="20"/>
          <w:szCs w:val="20"/>
        </w:rPr>
        <w:t>Earnings (salary and/or wages)</w:t>
      </w:r>
      <w:r w:rsidRPr="00A608EE">
        <w:rPr>
          <w:rFonts w:asciiTheme="majorHAnsi" w:hAnsiTheme="majorHAnsi"/>
          <w:sz w:val="20"/>
          <w:szCs w:val="20"/>
        </w:rPr>
        <w:t>: Remuneration, in cash and in kind, that is to pay employees both for time worked and time not worked, such as annual vacation and other paid leave.</w:t>
      </w:r>
    </w:p>
    <w:p w14:paraId="5F49DBF6" w14:textId="77777777" w:rsidR="00463DB1" w:rsidRPr="00A608EE" w:rsidRDefault="00463DB1" w:rsidP="00A27AAA">
      <w:pPr>
        <w:numPr>
          <w:ilvl w:val="0"/>
          <w:numId w:val="314"/>
        </w:numPr>
        <w:jc w:val="both"/>
        <w:rPr>
          <w:rFonts w:asciiTheme="majorHAnsi" w:hAnsiTheme="majorHAnsi"/>
          <w:sz w:val="20"/>
          <w:szCs w:val="20"/>
        </w:rPr>
      </w:pPr>
      <w:r w:rsidRPr="00A608EE">
        <w:rPr>
          <w:rFonts w:asciiTheme="majorHAnsi" w:hAnsiTheme="majorHAnsi"/>
          <w:b/>
          <w:bCs/>
          <w:sz w:val="20"/>
          <w:szCs w:val="20"/>
        </w:rPr>
        <w:t>Benefits (social protection)</w:t>
      </w:r>
      <w:r w:rsidRPr="00A608EE">
        <w:rPr>
          <w:rFonts w:asciiTheme="majorHAnsi" w:hAnsiTheme="majorHAnsi"/>
          <w:sz w:val="20"/>
          <w:szCs w:val="20"/>
        </w:rPr>
        <w:t>: The measures (e.g., health insurance, pensions) designed to protect employees (sickness, maternity, employment injury, unemployment, retirement, etc.).</w:t>
      </w:r>
    </w:p>
    <w:p w14:paraId="2F8864A1" w14:textId="77777777" w:rsidR="00463DB1" w:rsidRPr="00A608EE" w:rsidRDefault="00463DB1" w:rsidP="00A27AAA">
      <w:pPr>
        <w:numPr>
          <w:ilvl w:val="0"/>
          <w:numId w:val="314"/>
        </w:numPr>
        <w:jc w:val="both"/>
        <w:rPr>
          <w:rFonts w:asciiTheme="majorHAnsi" w:hAnsiTheme="majorHAnsi"/>
          <w:sz w:val="20"/>
          <w:szCs w:val="20"/>
        </w:rPr>
      </w:pPr>
      <w:r w:rsidRPr="00A608EE">
        <w:rPr>
          <w:rFonts w:asciiTheme="majorHAnsi" w:hAnsiTheme="majorHAnsi"/>
          <w:b/>
          <w:bCs/>
          <w:sz w:val="20"/>
          <w:szCs w:val="20"/>
        </w:rPr>
        <w:t>Employment conditions</w:t>
      </w:r>
      <w:r w:rsidRPr="00A608EE">
        <w:rPr>
          <w:rFonts w:asciiTheme="majorHAnsi" w:hAnsiTheme="majorHAnsi"/>
          <w:sz w:val="20"/>
          <w:szCs w:val="20"/>
        </w:rPr>
        <w:t>:</w:t>
      </w:r>
    </w:p>
    <w:p w14:paraId="1E893C6C" w14:textId="77777777" w:rsidR="00463DB1" w:rsidRPr="00A608EE" w:rsidRDefault="00463DB1" w:rsidP="00A27AAA">
      <w:pPr>
        <w:numPr>
          <w:ilvl w:val="1"/>
          <w:numId w:val="314"/>
        </w:numPr>
        <w:jc w:val="both"/>
        <w:rPr>
          <w:rFonts w:asciiTheme="majorHAnsi" w:hAnsiTheme="majorHAnsi"/>
          <w:sz w:val="20"/>
          <w:szCs w:val="20"/>
        </w:rPr>
      </w:pPr>
      <w:r w:rsidRPr="00A608EE">
        <w:rPr>
          <w:rFonts w:asciiTheme="majorHAnsi" w:hAnsiTheme="majorHAnsi"/>
          <w:sz w:val="20"/>
          <w:szCs w:val="20"/>
        </w:rPr>
        <w:lastRenderedPageBreak/>
        <w:t>The terms of the worker’s employment, such as working time, minimum wages, whether there is a probationary period before the person becomes a permanent employee, and the location where the employee will work;</w:t>
      </w:r>
    </w:p>
    <w:p w14:paraId="11DFBD19" w14:textId="77777777" w:rsidR="00463DB1" w:rsidRPr="00A608EE" w:rsidRDefault="2975F0E7" w:rsidP="00A27AAA">
      <w:pPr>
        <w:numPr>
          <w:ilvl w:val="1"/>
          <w:numId w:val="314"/>
        </w:numPr>
        <w:jc w:val="both"/>
        <w:rPr>
          <w:rFonts w:asciiTheme="majorHAnsi" w:hAnsiTheme="majorHAnsi"/>
          <w:sz w:val="20"/>
          <w:szCs w:val="20"/>
        </w:rPr>
      </w:pPr>
      <w:r w:rsidRPr="00A608EE">
        <w:rPr>
          <w:rFonts w:asciiTheme="majorHAnsi" w:hAnsiTheme="majorHAnsi"/>
          <w:b/>
          <w:bCs/>
          <w:sz w:val="20"/>
          <w:szCs w:val="20"/>
        </w:rPr>
        <w:t>Job description/scope of work</w:t>
      </w:r>
      <w:r w:rsidRPr="00A608EE">
        <w:rPr>
          <w:rFonts w:asciiTheme="majorHAnsi" w:hAnsiTheme="majorHAnsi"/>
          <w:sz w:val="20"/>
          <w:szCs w:val="20"/>
        </w:rPr>
        <w:t>: The job title and responsibilities, including reporting line (see below);</w:t>
      </w:r>
    </w:p>
    <w:p w14:paraId="4F6634F5" w14:textId="77777777" w:rsidR="00463DB1" w:rsidRPr="00A608EE" w:rsidRDefault="00463DB1" w:rsidP="00A27AAA">
      <w:pPr>
        <w:numPr>
          <w:ilvl w:val="1"/>
          <w:numId w:val="314"/>
        </w:numPr>
        <w:jc w:val="both"/>
        <w:rPr>
          <w:rFonts w:asciiTheme="majorHAnsi" w:hAnsiTheme="majorHAnsi"/>
          <w:sz w:val="20"/>
          <w:szCs w:val="20"/>
        </w:rPr>
      </w:pPr>
      <w:r w:rsidRPr="00A608EE">
        <w:rPr>
          <w:rFonts w:asciiTheme="majorHAnsi" w:hAnsiTheme="majorHAnsi"/>
          <w:b/>
          <w:bCs/>
          <w:sz w:val="20"/>
          <w:szCs w:val="20"/>
        </w:rPr>
        <w:t>Work rules and possible sanctions</w:t>
      </w:r>
      <w:r w:rsidRPr="00A608EE">
        <w:rPr>
          <w:rFonts w:asciiTheme="majorHAnsi" w:hAnsiTheme="majorHAnsi"/>
          <w:sz w:val="20"/>
          <w:szCs w:val="20"/>
        </w:rPr>
        <w:t>: List of actions and activities that are prohibited and investigations that can be conducted for cases of reported misconduct (e.g., violations of the Code of Conduct; theft; harassment of a colleague); the different levels of disciplinary procedures that employees may face; and employee rights related to appealing disciplinary action;</w:t>
      </w:r>
    </w:p>
    <w:p w14:paraId="1F0A82C8" w14:textId="77777777" w:rsidR="00463DB1" w:rsidRPr="00A608EE" w:rsidRDefault="00463DB1" w:rsidP="00A27AAA">
      <w:pPr>
        <w:numPr>
          <w:ilvl w:val="1"/>
          <w:numId w:val="314"/>
        </w:numPr>
        <w:jc w:val="both"/>
        <w:rPr>
          <w:rFonts w:asciiTheme="majorHAnsi" w:hAnsiTheme="majorHAnsi"/>
          <w:sz w:val="20"/>
          <w:szCs w:val="20"/>
        </w:rPr>
      </w:pPr>
      <w:r w:rsidRPr="00A608EE">
        <w:rPr>
          <w:rFonts w:asciiTheme="majorHAnsi" w:hAnsiTheme="majorHAnsi"/>
          <w:b/>
          <w:bCs/>
          <w:sz w:val="20"/>
          <w:szCs w:val="20"/>
        </w:rPr>
        <w:t>Performance evaluation and incentives</w:t>
      </w:r>
      <w:r w:rsidRPr="00A608EE">
        <w:rPr>
          <w:rFonts w:asciiTheme="majorHAnsi" w:hAnsiTheme="majorHAnsi"/>
          <w:sz w:val="20"/>
          <w:szCs w:val="20"/>
        </w:rPr>
        <w:t>: The performance metrics that the institution will use to evaluate the employee’s performance and an explanation of the incentive/reward system (see guidance for </w:t>
      </w:r>
      <w:hyperlink r:id="rId265" w:anchor="5c3" w:tgtFrame="_blank" w:history="1">
        <w:r w:rsidRPr="00A608EE">
          <w:rPr>
            <w:rStyle w:val="Hyperlink"/>
            <w:rFonts w:asciiTheme="majorHAnsi" w:hAnsiTheme="majorHAnsi"/>
            <w:sz w:val="20"/>
            <w:szCs w:val="20"/>
          </w:rPr>
          <w:t>5C3</w:t>
        </w:r>
      </w:hyperlink>
      <w:r w:rsidRPr="00A608EE">
        <w:rPr>
          <w:rFonts w:asciiTheme="majorHAnsi" w:hAnsiTheme="majorHAnsi"/>
          <w:sz w:val="20"/>
          <w:szCs w:val="20"/>
        </w:rPr>
        <w:t>).</w:t>
      </w:r>
    </w:p>
    <w:p w14:paraId="5BBFB932" w14:textId="77777777" w:rsidR="00463DB1" w:rsidRPr="00A608EE" w:rsidRDefault="00463DB1" w:rsidP="00EE208A">
      <w:pPr>
        <w:jc w:val="both"/>
        <w:rPr>
          <w:rFonts w:asciiTheme="majorHAnsi" w:hAnsiTheme="majorHAnsi"/>
          <w:sz w:val="20"/>
          <w:szCs w:val="20"/>
        </w:rPr>
      </w:pPr>
    </w:p>
    <w:p w14:paraId="7147FC15" w14:textId="776E40FA" w:rsidR="00463DB1" w:rsidRPr="00A608EE" w:rsidRDefault="00463DB1" w:rsidP="00EE208A">
      <w:pPr>
        <w:jc w:val="both"/>
        <w:rPr>
          <w:rFonts w:asciiTheme="majorHAnsi" w:hAnsiTheme="majorHAnsi"/>
          <w:sz w:val="20"/>
          <w:szCs w:val="20"/>
        </w:rPr>
      </w:pPr>
      <w:r w:rsidRPr="00A608EE">
        <w:rPr>
          <w:rFonts w:asciiTheme="majorHAnsi" w:hAnsiTheme="majorHAnsi"/>
          <w:sz w:val="20"/>
          <w:szCs w:val="20"/>
        </w:rPr>
        <w:t>Job descriptions should outline the nature of the work to be performed, key responsibilities and duties, and the competencies required. They need to be reviewed regularly to ensure their relevance as job functions are changing over time triggered by market and organizational changes, new technologies or also planned new SPM initiatives. Changing job functions may result in adapted key responsibilities and duties and call for new types of competencies required for the postholders. (see </w:t>
      </w:r>
      <w:hyperlink r:id="rId266" w:tgtFrame="_blank" w:history="1">
        <w:r w:rsidRPr="00A608EE">
          <w:rPr>
            <w:rStyle w:val="Hyperlink"/>
            <w:rFonts w:asciiTheme="majorHAnsi" w:hAnsiTheme="majorHAnsi"/>
            <w:sz w:val="20"/>
            <w:szCs w:val="20"/>
          </w:rPr>
          <w:t>Examples of Employee Positions and Related SPM Duties for SPM-related job responsibilities</w:t>
        </w:r>
      </w:hyperlink>
      <w:r w:rsidRPr="00A608EE">
        <w:rPr>
          <w:rFonts w:asciiTheme="majorHAnsi" w:hAnsiTheme="majorHAnsi"/>
          <w:sz w:val="20"/>
          <w:szCs w:val="20"/>
        </w:rPr>
        <w:t>). Elements of a Job Description provides additional detail on which components to include in your employees’ job descriptions.</w:t>
      </w:r>
    </w:p>
    <w:p w14:paraId="12EEAD6B" w14:textId="77777777" w:rsidR="00463DB1" w:rsidRPr="00A608EE" w:rsidRDefault="00463DB1" w:rsidP="00EE208A">
      <w:pPr>
        <w:jc w:val="both"/>
        <w:rPr>
          <w:rFonts w:asciiTheme="majorHAnsi" w:hAnsiTheme="majorHAnsi"/>
        </w:rPr>
      </w:pPr>
    </w:p>
    <w:p w14:paraId="719EB221" w14:textId="65308F19" w:rsidR="00463DB1" w:rsidRPr="00A608EE" w:rsidRDefault="00463DB1" w:rsidP="00EE208A">
      <w:pPr>
        <w:jc w:val="both"/>
        <w:rPr>
          <w:rFonts w:asciiTheme="majorHAnsi" w:hAnsiTheme="majorHAnsi"/>
          <w:sz w:val="20"/>
          <w:szCs w:val="20"/>
        </w:rPr>
      </w:pPr>
      <w:r w:rsidRPr="00A608EE">
        <w:rPr>
          <w:rFonts w:asciiTheme="majorHAnsi" w:hAnsiTheme="majorHAnsi"/>
          <w:sz w:val="20"/>
          <w:szCs w:val="20"/>
        </w:rPr>
        <w:t>In addition to a clear job description, each employee should understand the evaluation criteria that his/her manager will use to assess job performance. For example, FINCA (Azerbaijan) evaluates each new employee at three, six, and 12 months, and then semi-annually thereafter. The employee’s supervisor completes a form that lists the criteria against which the employee will be evaluated. The employee is then asked to sign their agreement to this statement: “I have reviewed the performance requirements listed in this form and agree that they are the standards by which I will be evaluated during the next performance period.” In this way, employees are clear on what the organization expects of them, and how they can achieve good performance.</w:t>
      </w:r>
    </w:p>
    <w:p w14:paraId="5E748A4C" w14:textId="77777777" w:rsidR="00463DB1" w:rsidRPr="00A608EE" w:rsidRDefault="00463DB1" w:rsidP="00EE208A">
      <w:pPr>
        <w:jc w:val="both"/>
        <w:rPr>
          <w:rFonts w:asciiTheme="majorHAnsi" w:hAnsiTheme="majorHAnsi"/>
          <w:sz w:val="20"/>
          <w:szCs w:val="20"/>
        </w:rPr>
      </w:pPr>
    </w:p>
    <w:p w14:paraId="7024899B" w14:textId="697F9498" w:rsidR="00463DB1" w:rsidRPr="00A608EE" w:rsidRDefault="00463DB1" w:rsidP="00EE208A">
      <w:pPr>
        <w:jc w:val="both"/>
        <w:rPr>
          <w:rFonts w:asciiTheme="majorHAnsi" w:hAnsiTheme="majorHAnsi"/>
          <w:b/>
          <w:bCs/>
          <w:sz w:val="20"/>
          <w:szCs w:val="20"/>
        </w:rPr>
      </w:pPr>
      <w:r w:rsidRPr="00A608EE">
        <w:rPr>
          <w:rFonts w:asciiTheme="majorHAnsi" w:hAnsiTheme="majorHAnsi"/>
          <w:b/>
          <w:bCs/>
          <w:sz w:val="20"/>
          <w:szCs w:val="20"/>
        </w:rPr>
        <w:t>Provide job-specific training</w:t>
      </w:r>
    </w:p>
    <w:p w14:paraId="44BFF59F" w14:textId="77777777" w:rsidR="00463DB1" w:rsidRPr="00A608EE" w:rsidRDefault="00463DB1" w:rsidP="00EE208A">
      <w:pPr>
        <w:jc w:val="both"/>
        <w:rPr>
          <w:rFonts w:asciiTheme="majorHAnsi" w:hAnsiTheme="majorHAnsi"/>
          <w:sz w:val="20"/>
          <w:szCs w:val="20"/>
        </w:rPr>
      </w:pPr>
      <w:r w:rsidRPr="00A608EE">
        <w:rPr>
          <w:rFonts w:asciiTheme="majorHAnsi" w:hAnsiTheme="majorHAnsi"/>
          <w:sz w:val="20"/>
          <w:szCs w:val="20"/>
        </w:rPr>
        <w:t>Providers should equip each employee to perform his/her job functions successfully. This includes at least two types of training:</w:t>
      </w:r>
    </w:p>
    <w:p w14:paraId="133EA769" w14:textId="77777777" w:rsidR="00463DB1" w:rsidRPr="00A608EE" w:rsidRDefault="00463DB1" w:rsidP="00A27AAA">
      <w:pPr>
        <w:numPr>
          <w:ilvl w:val="0"/>
          <w:numId w:val="315"/>
        </w:numPr>
        <w:jc w:val="both"/>
        <w:rPr>
          <w:rFonts w:asciiTheme="majorHAnsi" w:hAnsiTheme="majorHAnsi"/>
          <w:sz w:val="20"/>
          <w:szCs w:val="20"/>
        </w:rPr>
      </w:pPr>
      <w:r w:rsidRPr="00A608EE">
        <w:rPr>
          <w:rFonts w:asciiTheme="majorHAnsi" w:hAnsiTheme="majorHAnsi"/>
          <w:b/>
          <w:bCs/>
          <w:sz w:val="20"/>
          <w:szCs w:val="20"/>
        </w:rPr>
        <w:t>Orientation training</w:t>
      </w:r>
      <w:r w:rsidRPr="00A608EE">
        <w:rPr>
          <w:rFonts w:asciiTheme="majorHAnsi" w:hAnsiTheme="majorHAnsi"/>
          <w:sz w:val="20"/>
          <w:szCs w:val="20"/>
        </w:rPr>
        <w:t>: Training at the beginning of employment and whenever the employee changes positions within the institution. Employee orientation should include at least the following topics: the provider’s mission, social goals, and Code of Conduct; the employee’s job duties, including social performance related duties; and the conditions of employment. Follow this training with on-the-job training and mentorship so that new employees master skills not easily taught in a classroom setting. Such initial training for staff is also beneficial to clients, because they can be negatively affected by under-trained staff.</w:t>
      </w:r>
    </w:p>
    <w:p w14:paraId="65A92808" w14:textId="77777777" w:rsidR="00463DB1" w:rsidRPr="00A608EE" w:rsidRDefault="00463DB1" w:rsidP="00A27AAA">
      <w:pPr>
        <w:numPr>
          <w:ilvl w:val="0"/>
          <w:numId w:val="315"/>
        </w:numPr>
        <w:jc w:val="both"/>
        <w:rPr>
          <w:rFonts w:asciiTheme="majorHAnsi" w:hAnsiTheme="majorHAnsi"/>
          <w:sz w:val="20"/>
          <w:szCs w:val="20"/>
        </w:rPr>
      </w:pPr>
      <w:r w:rsidRPr="00A608EE">
        <w:rPr>
          <w:rFonts w:asciiTheme="majorHAnsi" w:hAnsiTheme="majorHAnsi"/>
          <w:b/>
          <w:bCs/>
          <w:sz w:val="20"/>
          <w:szCs w:val="20"/>
        </w:rPr>
        <w:t>Ongoing skills development</w:t>
      </w:r>
      <w:r w:rsidRPr="00A608EE">
        <w:rPr>
          <w:rFonts w:asciiTheme="majorHAnsi" w:hAnsiTheme="majorHAnsi"/>
          <w:sz w:val="20"/>
          <w:szCs w:val="20"/>
        </w:rPr>
        <w:t>: Facilitate professional development opportunities that respond to employees’ needs, as identified during regular performance reviews, as well as the provider’s priorities. As goals and products change over time, consider what new skills employees need (e.g., data collection, customer service, product sales). Additionally, when promoting employees to a higher level of responsibility or managerial authority, consider the need for job-specific training that prepares them for the new position as well as leadership and/ or management training to improve the employee’s ability to guide, supervise, and motivate others.</w:t>
      </w:r>
    </w:p>
    <w:p w14:paraId="35B88C50" w14:textId="77777777" w:rsidR="00463DB1" w:rsidRPr="00A608EE" w:rsidRDefault="00463DB1" w:rsidP="00EE208A">
      <w:pPr>
        <w:jc w:val="both"/>
        <w:rPr>
          <w:rFonts w:asciiTheme="majorHAnsi" w:hAnsiTheme="majorHAnsi"/>
          <w:sz w:val="20"/>
          <w:szCs w:val="20"/>
        </w:rPr>
      </w:pPr>
    </w:p>
    <w:p w14:paraId="2571A049" w14:textId="37EA61D9" w:rsidR="00463DB1" w:rsidRPr="00A608EE" w:rsidRDefault="00463DB1" w:rsidP="00EE208A">
      <w:pPr>
        <w:jc w:val="both"/>
        <w:rPr>
          <w:rFonts w:asciiTheme="majorHAnsi" w:hAnsiTheme="majorHAnsi"/>
          <w:sz w:val="20"/>
          <w:szCs w:val="20"/>
        </w:rPr>
      </w:pPr>
      <w:r w:rsidRPr="00A608EE">
        <w:rPr>
          <w:rFonts w:asciiTheme="majorHAnsi" w:hAnsiTheme="majorHAnsi"/>
          <w:sz w:val="20"/>
          <w:szCs w:val="20"/>
        </w:rPr>
        <w:t>Pay particular attention to providing training opportunities for employees without bias. Check that training is equally available for all types of employees, regardless of gender, level (management/staff), location (HQ/branches), and other relevant employee characteristics. Ensure that any training opportunity is accessible/inclusive to employees with disabilities, including through the provision of reasonable accommodations.</w:t>
      </w:r>
    </w:p>
    <w:p w14:paraId="01A5F757" w14:textId="77777777" w:rsidR="00463DB1" w:rsidRPr="00A608EE" w:rsidRDefault="00463DB1" w:rsidP="00EE208A">
      <w:pPr>
        <w:jc w:val="both"/>
        <w:rPr>
          <w:rFonts w:asciiTheme="majorHAnsi" w:hAnsiTheme="majorHAnsi"/>
          <w:sz w:val="20"/>
          <w:szCs w:val="20"/>
        </w:rPr>
      </w:pPr>
    </w:p>
    <w:p w14:paraId="7A575AEC" w14:textId="03EBA1AC" w:rsidR="00B23185" w:rsidRPr="00A608EE" w:rsidRDefault="00463DB1" w:rsidP="00EE208A">
      <w:pPr>
        <w:jc w:val="both"/>
        <w:rPr>
          <w:rFonts w:asciiTheme="majorHAnsi" w:hAnsiTheme="majorHAnsi"/>
          <w:b/>
          <w:bCs/>
          <w:sz w:val="20"/>
          <w:szCs w:val="20"/>
        </w:rPr>
      </w:pPr>
      <w:r w:rsidRPr="00A608EE">
        <w:rPr>
          <w:rFonts w:asciiTheme="majorHAnsi" w:hAnsiTheme="majorHAnsi"/>
          <w:b/>
          <w:bCs/>
          <w:sz w:val="20"/>
          <w:szCs w:val="20"/>
        </w:rPr>
        <w:t>Resources for 5.B.1</w:t>
      </w:r>
    </w:p>
    <w:p w14:paraId="7D94F01A" w14:textId="712DB3A8" w:rsidR="000313F8" w:rsidRPr="00A608EE" w:rsidRDefault="000313F8" w:rsidP="00A27AAA">
      <w:pPr>
        <w:numPr>
          <w:ilvl w:val="0"/>
          <w:numId w:val="48"/>
        </w:numPr>
        <w:jc w:val="both"/>
        <w:rPr>
          <w:rFonts w:ascii="Work Sans" w:hAnsi="Work Sans"/>
          <w:color w:val="2A3049"/>
          <w:sz w:val="20"/>
          <w:szCs w:val="20"/>
        </w:rPr>
      </w:pPr>
      <w:hyperlink r:id="rId267" w:history="1">
        <w:r w:rsidRPr="00A608EE">
          <w:rPr>
            <w:rStyle w:val="Hyperlink"/>
            <w:rFonts w:ascii="Work Sans" w:hAnsi="Work Sans"/>
            <w:sz w:val="20"/>
            <w:szCs w:val="20"/>
          </w:rPr>
          <w:t>SPM Essentials Webinar #</w:t>
        </w:r>
        <w:r w:rsidR="007B23B6" w:rsidRPr="00A608EE">
          <w:rPr>
            <w:rStyle w:val="Hyperlink"/>
            <w:rFonts w:ascii="Work Sans" w:hAnsi="Work Sans"/>
            <w:sz w:val="20"/>
            <w:szCs w:val="20"/>
          </w:rPr>
          <w:t>5</w:t>
        </w:r>
        <w:r w:rsidRPr="00A608EE">
          <w:rPr>
            <w:rStyle w:val="Hyperlink"/>
            <w:rFonts w:ascii="Work Sans" w:hAnsi="Work Sans"/>
            <w:sz w:val="20"/>
            <w:szCs w:val="20"/>
          </w:rPr>
          <w:t>: Listening to Employees as a Business Strategy</w:t>
        </w:r>
      </w:hyperlink>
    </w:p>
    <w:p w14:paraId="217575CA" w14:textId="77777777" w:rsidR="00B23185" w:rsidRPr="00A608EE" w:rsidRDefault="00B23185" w:rsidP="00EE208A">
      <w:pPr>
        <w:pStyle w:val="NormalWeb"/>
        <w:spacing w:before="0" w:beforeAutospacing="0" w:after="0" w:afterAutospacing="0"/>
        <w:jc w:val="both"/>
        <w:rPr>
          <w:rFonts w:asciiTheme="majorHAnsi" w:hAnsiTheme="majorHAnsi"/>
          <w:sz w:val="20"/>
          <w:szCs w:val="20"/>
        </w:rPr>
      </w:pPr>
    </w:p>
    <w:p w14:paraId="07DC4917" w14:textId="77777777" w:rsidR="000313F8" w:rsidRPr="00A608EE" w:rsidRDefault="000313F8" w:rsidP="00EE208A">
      <w:pPr>
        <w:pStyle w:val="NormalWeb"/>
        <w:spacing w:before="0" w:beforeAutospacing="0" w:after="0" w:afterAutospacing="0"/>
        <w:jc w:val="both"/>
        <w:rPr>
          <w:rFonts w:asciiTheme="majorHAnsi" w:hAnsiTheme="majorHAnsi"/>
          <w:sz w:val="20"/>
          <w:szCs w:val="20"/>
        </w:rPr>
      </w:pPr>
    </w:p>
    <w:p w14:paraId="4E1CC0F8" w14:textId="494CB147" w:rsidR="00745FBF" w:rsidRPr="00A608EE" w:rsidRDefault="008868F1" w:rsidP="00EE208A">
      <w:pPr>
        <w:pStyle w:val="Heading4"/>
        <w:spacing w:before="0" w:line="240" w:lineRule="auto"/>
        <w:jc w:val="both"/>
      </w:pPr>
      <w:r w:rsidRPr="00A608EE">
        <w:rPr>
          <w:rStyle w:val="text-primary"/>
        </w:rPr>
        <w:t>5.B.1.1</w:t>
      </w:r>
      <w:r w:rsidRPr="00A608EE">
        <w:t xml:space="preserve"> </w:t>
      </w:r>
      <w:r w:rsidR="00E276FE" w:rsidRPr="00A608EE">
        <w:t>The provider communicates to employees their individual employment terms</w:t>
      </w:r>
      <w:r w:rsidR="00151454" w:rsidRPr="00A608EE">
        <w:t>:</w:t>
      </w:r>
    </w:p>
    <w:p w14:paraId="54A6E8A7" w14:textId="5D381A0B" w:rsidR="009D464A" w:rsidRPr="00A608EE" w:rsidRDefault="008868F1" w:rsidP="00EE208A">
      <w:pPr>
        <w:pStyle w:val="Heading4"/>
        <w:spacing w:before="0" w:line="240" w:lineRule="auto"/>
        <w:ind w:left="708"/>
        <w:jc w:val="both"/>
        <w:rPr>
          <w:sz w:val="20"/>
          <w:szCs w:val="20"/>
        </w:rPr>
      </w:pPr>
      <w:r w:rsidRPr="00A608EE">
        <w:rPr>
          <w:sz w:val="20"/>
        </w:rPr>
        <w:t>5.B.1.1.1</w:t>
      </w:r>
      <w:r w:rsidRPr="00A608EE">
        <w:rPr>
          <w:sz w:val="20"/>
          <w:szCs w:val="20"/>
        </w:rPr>
        <w:t xml:space="preserve"> </w:t>
      </w:r>
      <w:r w:rsidR="00E276FE" w:rsidRPr="00A608EE">
        <w:rPr>
          <w:sz w:val="20"/>
          <w:szCs w:val="20"/>
        </w:rPr>
        <w:t>Base salary and opportunities for any other type of compensation (overtime, incentive pay)</w:t>
      </w:r>
    </w:p>
    <w:p w14:paraId="5320FD88" w14:textId="18265F90" w:rsidR="009D464A" w:rsidRPr="00A608EE" w:rsidRDefault="008868F1" w:rsidP="00EE208A">
      <w:pPr>
        <w:pStyle w:val="Heading4"/>
        <w:spacing w:before="0" w:line="240" w:lineRule="auto"/>
        <w:ind w:left="708"/>
        <w:jc w:val="both"/>
        <w:rPr>
          <w:sz w:val="20"/>
          <w:szCs w:val="20"/>
        </w:rPr>
      </w:pPr>
      <w:r w:rsidRPr="00A608EE">
        <w:rPr>
          <w:sz w:val="20"/>
        </w:rPr>
        <w:t>5.B.1.1.2</w:t>
      </w:r>
      <w:r w:rsidRPr="00A608EE">
        <w:rPr>
          <w:sz w:val="20"/>
          <w:szCs w:val="20"/>
        </w:rPr>
        <w:t xml:space="preserve"> </w:t>
      </w:r>
      <w:r w:rsidR="00E276FE" w:rsidRPr="00A608EE">
        <w:rPr>
          <w:sz w:val="20"/>
          <w:szCs w:val="20"/>
        </w:rPr>
        <w:t>Job description/scope of work</w:t>
      </w:r>
    </w:p>
    <w:p w14:paraId="5F36A3AB" w14:textId="1F3BF8D7" w:rsidR="009D464A" w:rsidRPr="00A608EE" w:rsidRDefault="008868F1" w:rsidP="00EE208A">
      <w:pPr>
        <w:pStyle w:val="Heading4"/>
        <w:spacing w:before="0" w:line="240" w:lineRule="auto"/>
        <w:ind w:left="708"/>
        <w:jc w:val="both"/>
        <w:rPr>
          <w:sz w:val="20"/>
          <w:szCs w:val="20"/>
        </w:rPr>
      </w:pPr>
      <w:r w:rsidRPr="00A608EE">
        <w:rPr>
          <w:sz w:val="20"/>
        </w:rPr>
        <w:t>5.B.1.1.3</w:t>
      </w:r>
      <w:r w:rsidRPr="00A608EE">
        <w:rPr>
          <w:sz w:val="20"/>
          <w:szCs w:val="20"/>
        </w:rPr>
        <w:t xml:space="preserve"> </w:t>
      </w:r>
      <w:r w:rsidR="00E276FE" w:rsidRPr="00A608EE">
        <w:rPr>
          <w:sz w:val="20"/>
          <w:szCs w:val="20"/>
        </w:rPr>
        <w:t>Performance evaluation process</w:t>
      </w:r>
    </w:p>
    <w:p w14:paraId="5AF06033" w14:textId="77777777" w:rsidR="000313F8" w:rsidRPr="00A608EE" w:rsidRDefault="000313F8" w:rsidP="00EE208A">
      <w:pPr>
        <w:jc w:val="both"/>
      </w:pPr>
    </w:p>
    <w:p w14:paraId="1889CEA2" w14:textId="17CBF2EA" w:rsidR="000313F8"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0313F8" w:rsidRPr="00A608EE">
        <w:rPr>
          <w:rFonts w:asciiTheme="majorHAnsi" w:hAnsiTheme="majorHAnsi" w:cstheme="majorHAnsi"/>
          <w:b/>
          <w:bCs/>
          <w:color w:val="2145CC" w:themeColor="accent5" w:themeShade="BF"/>
          <w:sz w:val="20"/>
          <w:szCs w:val="20"/>
        </w:rPr>
        <w:t>ESG Risk | ALINUS | SPI5 Entry | 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0F3B7DCD" w14:textId="33755F01" w:rsidR="000313F8" w:rsidRPr="00A608EE" w:rsidRDefault="000313F8" w:rsidP="00EE208A">
      <w:pPr>
        <w:pStyle w:val="NormalWeb"/>
        <w:spacing w:before="0" w:beforeAutospacing="0" w:after="0" w:afterAutospacing="0"/>
        <w:jc w:val="both"/>
      </w:pPr>
      <w:r w:rsidRPr="00A608EE">
        <w:rPr>
          <w:rFonts w:asciiTheme="majorHAnsi" w:hAnsiTheme="majorHAnsi" w:cstheme="majorHAnsi"/>
          <w:b/>
          <w:bCs/>
          <w:color w:val="2145CC" w:themeColor="accent5" w:themeShade="BF"/>
          <w:sz w:val="20"/>
          <w:szCs w:val="20"/>
        </w:rPr>
        <w:t>D</w:t>
      </w:r>
      <w:r w:rsidR="00E6366C"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5.B.1.1.3: SPI5 Full</w:t>
      </w:r>
    </w:p>
    <w:p w14:paraId="2B3BA2CD" w14:textId="64678A26" w:rsidR="000313F8" w:rsidRPr="00A608EE" w:rsidRDefault="00F97F91"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4A08E3C1" w14:textId="5F52FF98" w:rsidR="00E276FE" w:rsidRPr="00A608EE" w:rsidRDefault="00E276FE"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Employees should understand their individual rights and responsibilities. The provider should provide a written employment contract indicating the salary level, but also a description of their benefits and employment conditions. The performance evaluation process should be transparent to get employees committed and in line with the provider’s strategy. It should be combined with a career planning process and the identification of corresponding training opportunities (refer to 5.B.1.3).</w:t>
      </w:r>
    </w:p>
    <w:p w14:paraId="01146A31"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5EADDD7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97856" behindDoc="1" locked="0" layoutInCell="1" allowOverlap="1" wp14:anchorId="4F17371D" wp14:editId="2592ED3F">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605309366"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C8FAB5C"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1496A8F7" w14:textId="56CC04C2" w:rsidR="00F97F91" w:rsidRPr="00A608EE" w:rsidRDefault="00386AB6"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97F91" w:rsidRPr="00A608EE">
        <w:rPr>
          <w:rFonts w:asciiTheme="majorHAnsi" w:hAnsiTheme="majorHAnsi"/>
          <w:sz w:val="20"/>
          <w:szCs w:val="20"/>
        </w:rPr>
        <w:t>The provider provides individual employment contracts and terms in formats that are accessible for employees with different types of impairments (e.g. Easy-read, large print, braille, audio formats, oral information, sign language, accessible digital channels).</w:t>
      </w:r>
    </w:p>
    <w:p w14:paraId="7108D823" w14:textId="77777777" w:rsidR="0065769E" w:rsidRPr="00A608EE" w:rsidRDefault="0065769E" w:rsidP="00EE208A">
      <w:pPr>
        <w:pStyle w:val="NormalWeb"/>
        <w:spacing w:before="0" w:beforeAutospacing="0" w:after="0" w:afterAutospacing="0"/>
        <w:jc w:val="both"/>
        <w:rPr>
          <w:rFonts w:asciiTheme="majorHAnsi" w:hAnsiTheme="majorHAnsi"/>
          <w:sz w:val="20"/>
          <w:szCs w:val="20"/>
        </w:rPr>
      </w:pPr>
    </w:p>
    <w:p w14:paraId="2714568E" w14:textId="739834D6" w:rsidR="0065769E" w:rsidRPr="00A608EE" w:rsidRDefault="0065769E" w:rsidP="00A02AC4">
      <w:pPr>
        <w:jc w:val="both"/>
        <w:rPr>
          <w:rFonts w:asciiTheme="majorHAnsi" w:hAnsiTheme="majorHAnsi"/>
          <w:sz w:val="20"/>
          <w:szCs w:val="20"/>
        </w:rPr>
      </w:pPr>
      <w:r w:rsidRPr="00A608EE">
        <w:rPr>
          <w:rFonts w:asciiTheme="majorHAnsi" w:hAnsiTheme="majorHAnsi"/>
          <w:sz w:val="20"/>
          <w:szCs w:val="20"/>
          <w:lang w:eastAsia="fr-FR"/>
        </w:rPr>
        <w:t>[See indicator 4.B.1.4 for more information about accessible information formats]</w:t>
      </w:r>
    </w:p>
    <w:p w14:paraId="3C9749D5" w14:textId="77777777" w:rsidR="00F97F91" w:rsidRPr="00A608EE" w:rsidRDefault="00F97F91" w:rsidP="00EE208A">
      <w:pPr>
        <w:pStyle w:val="NormalWeb"/>
        <w:spacing w:before="0" w:beforeAutospacing="0" w:after="0" w:afterAutospacing="0"/>
        <w:jc w:val="both"/>
        <w:rPr>
          <w:rFonts w:asciiTheme="majorHAnsi" w:hAnsiTheme="majorHAnsi"/>
          <w:sz w:val="20"/>
          <w:szCs w:val="20"/>
        </w:rPr>
      </w:pPr>
    </w:p>
    <w:p w14:paraId="3C39BC9C" w14:textId="31274182" w:rsidR="00E276FE" w:rsidRPr="00A608EE" w:rsidRDefault="00E276FE"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0E057F05" w14:textId="77777777" w:rsidR="00E276FE" w:rsidRPr="00A608EE" w:rsidRDefault="00E276FE"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5.B.1.1.1</w:t>
      </w:r>
    </w:p>
    <w:p w14:paraId="03E6AE33" w14:textId="77777777" w:rsidR="00E276FE" w:rsidRPr="00A608EE" w:rsidRDefault="00E276FE" w:rsidP="00A27AAA">
      <w:pPr>
        <w:pStyle w:val="NormalWeb"/>
        <w:numPr>
          <w:ilvl w:val="0"/>
          <w:numId w:val="31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w:t>
      </w:r>
    </w:p>
    <w:p w14:paraId="43B583AA" w14:textId="77777777" w:rsidR="00E276FE" w:rsidRPr="00A608EE" w:rsidRDefault="00E276FE" w:rsidP="00A27AAA">
      <w:pPr>
        <w:pStyle w:val="NormalWeb"/>
        <w:numPr>
          <w:ilvl w:val="1"/>
          <w:numId w:val="31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each employee receives a written and mutually signed employment contract that outlines in clear language and necessary detail the complete salary package with the base salary, all performance-based incentives, all social benefits (like insurance coverages), and overtime pay and</w:t>
      </w:r>
    </w:p>
    <w:p w14:paraId="2588DFE2" w14:textId="77777777" w:rsidR="00E276FE" w:rsidRPr="00A608EE" w:rsidRDefault="00E276FE" w:rsidP="00A27AAA">
      <w:pPr>
        <w:pStyle w:val="NormalWeb"/>
        <w:numPr>
          <w:ilvl w:val="1"/>
          <w:numId w:val="31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most employees understand fully their employment contracts.</w:t>
      </w:r>
    </w:p>
    <w:p w14:paraId="0F01B3C0" w14:textId="77777777" w:rsidR="00E276FE" w:rsidRPr="00A608EE" w:rsidRDefault="00E276FE" w:rsidP="00A27AAA">
      <w:pPr>
        <w:pStyle w:val="NormalWeb"/>
        <w:numPr>
          <w:ilvl w:val="0"/>
          <w:numId w:val="31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two requirements are met only partly. For instance, (i) the employment contracts are not being mutually signed or (ii) they miss some of the above information that is communicated orally only or (iii) they are in legal language not well understood by many employees.</w:t>
      </w:r>
    </w:p>
    <w:p w14:paraId="4F598DA3" w14:textId="77777777" w:rsidR="00E276FE" w:rsidRPr="00A608EE" w:rsidRDefault="00E276FE" w:rsidP="00A27AAA">
      <w:pPr>
        <w:pStyle w:val="NormalWeb"/>
        <w:numPr>
          <w:ilvl w:val="0"/>
          <w:numId w:val="31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one or both requirements are largely not met. For instance, (i) most/all employees do not receive a written and mutually signed employment contract and/or (ii) employees are not informed by all elements of their salary package in whatever format and/or (iii) most employees do not understand well their salary package.</w:t>
      </w:r>
    </w:p>
    <w:p w14:paraId="3AB7281B" w14:textId="77777777" w:rsidR="00E276FE" w:rsidRPr="00A608EE" w:rsidRDefault="00E276FE" w:rsidP="00EE208A">
      <w:pPr>
        <w:pStyle w:val="NormalWeb"/>
        <w:spacing w:before="0" w:beforeAutospacing="0" w:after="0" w:afterAutospacing="0"/>
        <w:jc w:val="both"/>
        <w:rPr>
          <w:rFonts w:asciiTheme="majorHAnsi" w:hAnsiTheme="majorHAnsi"/>
          <w:sz w:val="20"/>
          <w:szCs w:val="20"/>
          <w:u w:val="single"/>
        </w:rPr>
      </w:pPr>
    </w:p>
    <w:p w14:paraId="399B8B98" w14:textId="5216408C" w:rsidR="00E276FE" w:rsidRPr="00A608EE" w:rsidRDefault="00E276FE"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5.B.1.1.2</w:t>
      </w:r>
    </w:p>
    <w:p w14:paraId="1F4716D8" w14:textId="77777777" w:rsidR="00E276FE" w:rsidRPr="00A608EE" w:rsidRDefault="00E276FE" w:rsidP="00A27AAA">
      <w:pPr>
        <w:pStyle w:val="NormalWeb"/>
        <w:numPr>
          <w:ilvl w:val="0"/>
          <w:numId w:val="31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w:t>
      </w:r>
    </w:p>
    <w:p w14:paraId="05442108" w14:textId="77777777" w:rsidR="00E276FE" w:rsidRPr="00A608EE" w:rsidRDefault="00E276FE" w:rsidP="00A27AAA">
      <w:pPr>
        <w:pStyle w:val="NormalWeb"/>
        <w:numPr>
          <w:ilvl w:val="1"/>
          <w:numId w:val="31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each employee receives an individual, customized written job description that outlines in clear language and necessary detail the nature of the work to be performed, key responsibilities and duties, and the competencies required and</w:t>
      </w:r>
    </w:p>
    <w:p w14:paraId="21B3EB1A" w14:textId="77777777" w:rsidR="00E276FE" w:rsidRPr="00A608EE" w:rsidRDefault="00E276FE" w:rsidP="00A27AAA">
      <w:pPr>
        <w:pStyle w:val="NormalWeb"/>
        <w:numPr>
          <w:ilvl w:val="1"/>
          <w:numId w:val="31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most employees understand fully their job description.</w:t>
      </w:r>
    </w:p>
    <w:p w14:paraId="0E4F0AF5" w14:textId="77777777" w:rsidR="00E276FE" w:rsidRPr="00A608EE" w:rsidRDefault="00E276FE" w:rsidP="00A27AAA">
      <w:pPr>
        <w:pStyle w:val="NormalWeb"/>
        <w:numPr>
          <w:ilvl w:val="0"/>
          <w:numId w:val="31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Score ‘partially’, if the two requirements are met only partly. For instance, (i) the job descriptions miss some of the above information that is communicated orally only or </w:t>
      </w:r>
      <w:r w:rsidRPr="00A608EE">
        <w:rPr>
          <w:rFonts w:asciiTheme="majorHAnsi" w:hAnsiTheme="majorHAnsi"/>
          <w:sz w:val="20"/>
          <w:szCs w:val="20"/>
        </w:rPr>
        <w:lastRenderedPageBreak/>
        <w:t>(ii) they are little customized or (iii) they are in vague/unclear language not well understood by many employees.</w:t>
      </w:r>
    </w:p>
    <w:p w14:paraId="09640990" w14:textId="77777777" w:rsidR="00E276FE" w:rsidRPr="00A608EE" w:rsidRDefault="00E276FE" w:rsidP="00A27AAA">
      <w:pPr>
        <w:pStyle w:val="NormalWeb"/>
        <w:numPr>
          <w:ilvl w:val="0"/>
          <w:numId w:val="31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one or both requirements are largely not met. For instance, (i) most/all employees do not receive a written job description, and/or (ii) the job descriptions are not customized and lack key information (like the competencies required), and/or (iii) most employees do not understand well their job description.</w:t>
      </w:r>
    </w:p>
    <w:p w14:paraId="1BA6161A" w14:textId="77777777" w:rsidR="00E276FE" w:rsidRPr="00A608EE" w:rsidRDefault="00E276FE" w:rsidP="00EE208A">
      <w:pPr>
        <w:pStyle w:val="NormalWeb"/>
        <w:spacing w:before="0" w:beforeAutospacing="0" w:after="0" w:afterAutospacing="0"/>
        <w:jc w:val="both"/>
        <w:rPr>
          <w:rFonts w:asciiTheme="majorHAnsi" w:hAnsiTheme="majorHAnsi"/>
          <w:sz w:val="20"/>
          <w:szCs w:val="20"/>
          <w:u w:val="single"/>
        </w:rPr>
      </w:pPr>
    </w:p>
    <w:p w14:paraId="5DCF8166" w14:textId="1F8A6735" w:rsidR="00E276FE" w:rsidRPr="00A608EE" w:rsidRDefault="00E276FE"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5.B.1.1.3 (in SPI5 Full only)</w:t>
      </w:r>
    </w:p>
    <w:p w14:paraId="7CA406B5" w14:textId="77777777" w:rsidR="00E276FE" w:rsidRPr="00A608EE" w:rsidRDefault="00E276FE" w:rsidP="00A27AAA">
      <w:pPr>
        <w:pStyle w:val="NormalWeb"/>
        <w:numPr>
          <w:ilvl w:val="0"/>
          <w:numId w:val="31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w:t>
      </w:r>
    </w:p>
    <w:p w14:paraId="3BA25A18" w14:textId="77777777" w:rsidR="00E276FE" w:rsidRPr="00A608EE" w:rsidRDefault="00E276FE" w:rsidP="00A27AAA">
      <w:pPr>
        <w:pStyle w:val="NormalWeb"/>
        <w:numPr>
          <w:ilvl w:val="1"/>
          <w:numId w:val="31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has a systemic process in place of evaluating at least annually the performance of all employees,</w:t>
      </w:r>
    </w:p>
    <w:p w14:paraId="5E672CCC" w14:textId="77777777" w:rsidR="00E276FE" w:rsidRPr="00A608EE" w:rsidRDefault="00E276FE" w:rsidP="00A27AAA">
      <w:pPr>
        <w:pStyle w:val="NormalWeb"/>
        <w:numPr>
          <w:ilvl w:val="1"/>
          <w:numId w:val="31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each employee receives in writing an explanation of the performance evaluation process with his/her individual evaluation criteria and targets, and</w:t>
      </w:r>
    </w:p>
    <w:p w14:paraId="372E8565" w14:textId="77777777" w:rsidR="00E276FE" w:rsidRPr="00A608EE" w:rsidRDefault="00E276FE" w:rsidP="00A27AAA">
      <w:pPr>
        <w:pStyle w:val="NormalWeb"/>
        <w:numPr>
          <w:ilvl w:val="1"/>
          <w:numId w:val="31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most employees understand fully their performance evaluation process.</w:t>
      </w:r>
    </w:p>
    <w:p w14:paraId="0EC05421" w14:textId="77777777" w:rsidR="00E276FE" w:rsidRPr="00A608EE" w:rsidRDefault="00E276FE" w:rsidP="00A27AAA">
      <w:pPr>
        <w:pStyle w:val="NormalWeb"/>
        <w:numPr>
          <w:ilvl w:val="0"/>
          <w:numId w:val="31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three requirements are met only partly. For instance, (i) the performance of most, but not all, employees are evaluated annually or (ii) the performance evaluation process and/or the evaluation criteria and targets are not clearly communicated to most/all employees or (iii) many employees do not understand well their performance evaluation process.</w:t>
      </w:r>
    </w:p>
    <w:p w14:paraId="036820B4" w14:textId="77777777" w:rsidR="00E276FE" w:rsidRPr="00A608EE" w:rsidRDefault="00E276FE" w:rsidP="00A27AAA">
      <w:pPr>
        <w:pStyle w:val="NormalWeb"/>
        <w:numPr>
          <w:ilvl w:val="0"/>
          <w:numId w:val="31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one or more requirements are largely not met. For instance, (i) the provider has no process in place of evaluating at least annually the performance of most/all employees, and/or (ii) the evaluation criteria and targets do not exist or are not communicated to the employees, and/or (iii) most employees do not understand well their performance evaluation process.</w:t>
      </w:r>
    </w:p>
    <w:p w14:paraId="25BA1E68" w14:textId="77777777" w:rsidR="00E276FE" w:rsidRPr="00A608EE" w:rsidRDefault="00E276FE" w:rsidP="00EE208A">
      <w:pPr>
        <w:pStyle w:val="NormalWeb"/>
        <w:spacing w:before="0" w:beforeAutospacing="0" w:after="0" w:afterAutospacing="0"/>
        <w:jc w:val="both"/>
        <w:rPr>
          <w:rFonts w:asciiTheme="majorHAnsi" w:hAnsiTheme="majorHAnsi"/>
          <w:sz w:val="20"/>
          <w:szCs w:val="20"/>
        </w:rPr>
      </w:pPr>
    </w:p>
    <w:p w14:paraId="4CBB3B08" w14:textId="4DAA9F9D" w:rsidR="00E276FE" w:rsidRPr="00A608EE" w:rsidRDefault="00E276FE"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45D4911A" w14:textId="77777777" w:rsidR="00E276FE" w:rsidRPr="00A608EE" w:rsidRDefault="00E276FE" w:rsidP="00A27AAA">
      <w:pPr>
        <w:pStyle w:val="NormalWeb"/>
        <w:numPr>
          <w:ilvl w:val="0"/>
          <w:numId w:val="31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w:t>
      </w:r>
    </w:p>
    <w:p w14:paraId="06CF5B34" w14:textId="77777777" w:rsidR="00E276FE" w:rsidRPr="00A608EE" w:rsidRDefault="00E276FE" w:rsidP="00A27AAA">
      <w:pPr>
        <w:pStyle w:val="NormalWeb"/>
        <w:numPr>
          <w:ilvl w:val="0"/>
          <w:numId w:val="31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Employment contracts for different staff categories and job descriptions for several positions.</w:t>
      </w:r>
    </w:p>
    <w:p w14:paraId="5BEA9BAD" w14:textId="77777777" w:rsidR="00E276FE" w:rsidRPr="00A608EE" w:rsidRDefault="00E276FE" w:rsidP="00A27AAA">
      <w:pPr>
        <w:pStyle w:val="NormalWeb"/>
        <w:numPr>
          <w:ilvl w:val="0"/>
          <w:numId w:val="31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Description of the performance evaluation process.</w:t>
      </w:r>
    </w:p>
    <w:p w14:paraId="5263281E" w14:textId="77777777" w:rsidR="00E276FE" w:rsidRPr="00A608EE" w:rsidRDefault="00E276FE" w:rsidP="00A27AAA">
      <w:pPr>
        <w:pStyle w:val="NormalWeb"/>
        <w:numPr>
          <w:ilvl w:val="0"/>
          <w:numId w:val="31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reports on the staff salary packages and performance evaluations over the past 12 months.</w:t>
      </w:r>
    </w:p>
    <w:p w14:paraId="4106F2CC" w14:textId="77777777" w:rsidR="00E276FE" w:rsidRPr="00A608EE" w:rsidRDefault="00E276FE" w:rsidP="00A27AAA">
      <w:pPr>
        <w:pStyle w:val="NormalWeb"/>
        <w:numPr>
          <w:ilvl w:val="0"/>
          <w:numId w:val="31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HR manager and different employees (women and men with office and field functions).</w:t>
      </w:r>
    </w:p>
    <w:p w14:paraId="429D452A" w14:textId="77777777" w:rsidR="00E276FE" w:rsidRPr="00A608EE" w:rsidRDefault="00E276FE" w:rsidP="00A27AAA">
      <w:pPr>
        <w:pStyle w:val="NormalWeb"/>
        <w:numPr>
          <w:ilvl w:val="0"/>
          <w:numId w:val="31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Relevant parts of the national labor law and regulations.</w:t>
      </w:r>
    </w:p>
    <w:p w14:paraId="1382E5BC" w14:textId="77777777" w:rsidR="00E276FE" w:rsidRPr="00A608EE" w:rsidRDefault="00E276FE" w:rsidP="00EE208A">
      <w:pPr>
        <w:pStyle w:val="NormalWeb"/>
        <w:spacing w:before="0" w:beforeAutospacing="0" w:after="0" w:afterAutospacing="0"/>
        <w:jc w:val="both"/>
        <w:rPr>
          <w:rFonts w:asciiTheme="majorHAnsi" w:hAnsiTheme="majorHAnsi"/>
          <w:sz w:val="20"/>
          <w:szCs w:val="20"/>
        </w:rPr>
      </w:pPr>
    </w:p>
    <w:p w14:paraId="267339EC" w14:textId="702D437C" w:rsidR="00E276FE" w:rsidRPr="00A608EE" w:rsidRDefault="00E276FE"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2D81C829" w14:textId="77777777" w:rsidR="00E276FE" w:rsidRPr="00A608EE" w:rsidRDefault="00E276FE" w:rsidP="00A27AAA">
      <w:pPr>
        <w:pStyle w:val="NormalWeb"/>
        <w:numPr>
          <w:ilvl w:val="0"/>
          <w:numId w:val="32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Briefly describe key elements from employee files: employment contracts, job descriptions, performance evaluations.</w:t>
      </w:r>
    </w:p>
    <w:p w14:paraId="66E893ED" w14:textId="77777777" w:rsidR="00E276FE" w:rsidRPr="00A608EE" w:rsidRDefault="00E276FE" w:rsidP="00A27AAA">
      <w:pPr>
        <w:pStyle w:val="NormalWeb"/>
        <w:numPr>
          <w:ilvl w:val="0"/>
          <w:numId w:val="32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where what information is when provided to employees.</w:t>
      </w:r>
    </w:p>
    <w:p w14:paraId="59DD4EA3" w14:textId="77777777" w:rsidR="00E276FE" w:rsidRPr="00A608EE" w:rsidRDefault="00E276FE" w:rsidP="00EE208A">
      <w:pPr>
        <w:pStyle w:val="NormalWeb"/>
        <w:spacing w:before="0" w:beforeAutospacing="0" w:after="0" w:afterAutospacing="0"/>
        <w:jc w:val="both"/>
        <w:rPr>
          <w:rFonts w:asciiTheme="majorHAnsi" w:hAnsiTheme="majorHAnsi"/>
          <w:sz w:val="20"/>
          <w:szCs w:val="20"/>
        </w:rPr>
      </w:pPr>
    </w:p>
    <w:p w14:paraId="037FCC6F" w14:textId="1FB4102D" w:rsidR="00E276FE" w:rsidRPr="00A608EE" w:rsidRDefault="00E276FE"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5.B.1.1</w:t>
      </w:r>
    </w:p>
    <w:p w14:paraId="520350FC" w14:textId="3869FC29" w:rsidR="488500BF" w:rsidRPr="00A608EE" w:rsidRDefault="488500BF" w:rsidP="00A27AAA">
      <w:pPr>
        <w:numPr>
          <w:ilvl w:val="0"/>
          <w:numId w:val="31"/>
        </w:numPr>
        <w:jc w:val="both"/>
        <w:rPr>
          <w:rFonts w:ascii="Work Sans" w:eastAsia="Work Sans" w:hAnsi="Work Sans" w:cs="Work Sans"/>
          <w:color w:val="000000" w:themeColor="background1"/>
          <w:szCs w:val="20"/>
        </w:rPr>
      </w:pPr>
      <w:hyperlink r:id="rId268">
        <w:r w:rsidRPr="00A608EE">
          <w:rPr>
            <w:rStyle w:val="Hyperlink"/>
            <w:rFonts w:ascii="Work Sans" w:eastAsia="Work Sans" w:hAnsi="Work Sans" w:cs="Work Sans"/>
            <w:szCs w:val="20"/>
          </w:rPr>
          <w:t xml:space="preserve">Examples of Employee Positions and Related </w:t>
        </w:r>
        <w:r w:rsidR="00474C27" w:rsidRPr="00A608EE">
          <w:rPr>
            <w:rStyle w:val="Hyperlink"/>
            <w:rFonts w:ascii="Work Sans" w:eastAsia="Work Sans" w:hAnsi="Work Sans" w:cs="Work Sans"/>
            <w:szCs w:val="20"/>
          </w:rPr>
          <w:t>GPS</w:t>
        </w:r>
        <w:r w:rsidRPr="00A608EE">
          <w:rPr>
            <w:rStyle w:val="Hyperlink"/>
            <w:rFonts w:ascii="Work Sans" w:eastAsia="Work Sans" w:hAnsi="Work Sans" w:cs="Work Sans"/>
            <w:szCs w:val="20"/>
          </w:rPr>
          <w:t xml:space="preserve"> Duties</w:t>
        </w:r>
      </w:hyperlink>
    </w:p>
    <w:p w14:paraId="0B358EE6" w14:textId="43BBA9A6" w:rsidR="488500BF" w:rsidRPr="00A608EE" w:rsidRDefault="488500BF" w:rsidP="00A27AAA">
      <w:pPr>
        <w:pStyle w:val="ListParagraph"/>
        <w:numPr>
          <w:ilvl w:val="0"/>
          <w:numId w:val="31"/>
        </w:numPr>
        <w:spacing w:after="0" w:line="240" w:lineRule="auto"/>
        <w:jc w:val="both"/>
        <w:rPr>
          <w:rFonts w:eastAsia="Work Sans"/>
          <w:color w:val="000000" w:themeColor="background1"/>
          <w:szCs w:val="20"/>
        </w:rPr>
      </w:pPr>
      <w:hyperlink r:id="rId269">
        <w:r w:rsidRPr="00A608EE">
          <w:rPr>
            <w:rStyle w:val="Hyperlink"/>
            <w:rFonts w:ascii="Work Sans" w:eastAsia="Work Sans" w:hAnsi="Work Sans" w:cs="Work Sans"/>
            <w:szCs w:val="20"/>
          </w:rPr>
          <w:t>Elements of a Job Description</w:t>
        </w:r>
      </w:hyperlink>
    </w:p>
    <w:p w14:paraId="27AF7A43" w14:textId="77777777" w:rsidR="008012B4" w:rsidRPr="00A608EE" w:rsidRDefault="008012B4" w:rsidP="00EE208A">
      <w:pPr>
        <w:pStyle w:val="NormalWeb"/>
        <w:spacing w:before="0" w:beforeAutospacing="0" w:after="0" w:afterAutospacing="0"/>
        <w:jc w:val="both"/>
        <w:rPr>
          <w:rFonts w:asciiTheme="majorHAnsi" w:hAnsiTheme="majorHAnsi"/>
          <w:sz w:val="20"/>
          <w:szCs w:val="20"/>
        </w:rPr>
      </w:pPr>
    </w:p>
    <w:p w14:paraId="68806523" w14:textId="77777777" w:rsidR="00F527A6" w:rsidRPr="00A608EE" w:rsidRDefault="00F527A6" w:rsidP="00EE208A">
      <w:pPr>
        <w:pStyle w:val="NormalWeb"/>
        <w:spacing w:before="0" w:beforeAutospacing="0" w:after="0" w:afterAutospacing="0"/>
        <w:jc w:val="both"/>
        <w:rPr>
          <w:rFonts w:asciiTheme="majorHAnsi" w:hAnsiTheme="majorHAnsi"/>
          <w:sz w:val="20"/>
          <w:szCs w:val="20"/>
        </w:rPr>
      </w:pPr>
    </w:p>
    <w:p w14:paraId="3986F90D" w14:textId="6000D6FB" w:rsidR="008868F1" w:rsidRPr="00A608EE" w:rsidRDefault="008868F1" w:rsidP="00EE208A">
      <w:pPr>
        <w:pStyle w:val="Heading4"/>
        <w:spacing w:before="0" w:line="240" w:lineRule="auto"/>
        <w:jc w:val="both"/>
      </w:pPr>
      <w:r w:rsidRPr="00A608EE">
        <w:rPr>
          <w:rStyle w:val="text-primary"/>
        </w:rPr>
        <w:t>5.B.1.4</w:t>
      </w:r>
      <w:r w:rsidRPr="00A608EE">
        <w:t xml:space="preserve"> </w:t>
      </w:r>
      <w:r w:rsidR="007A741D" w:rsidRPr="00A608EE">
        <w:t>Men and women receive equal opportunities for training and skill development</w:t>
      </w:r>
      <w:r w:rsidR="004C058F" w:rsidRPr="00A608EE">
        <w:t>.</w:t>
      </w:r>
    </w:p>
    <w:p w14:paraId="0F8928C3" w14:textId="77777777" w:rsidR="008012B4" w:rsidRPr="00A608EE" w:rsidRDefault="008012B4" w:rsidP="00EE208A">
      <w:pPr>
        <w:jc w:val="both"/>
        <w:rPr>
          <w:rFonts w:asciiTheme="majorHAnsi" w:hAnsiTheme="majorHAnsi"/>
          <w:szCs w:val="20"/>
        </w:rPr>
      </w:pPr>
    </w:p>
    <w:p w14:paraId="6272856B" w14:textId="69435F3E" w:rsidR="00861DA8"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00861DA8" w:rsidRPr="00A608EE">
        <w:rPr>
          <w:rFonts w:asciiTheme="majorHAnsi" w:hAnsiTheme="majorHAnsi" w:cstheme="majorHAnsi"/>
          <w:b/>
          <w:bCs/>
          <w:color w:val="2145CC" w:themeColor="accent5" w:themeShade="BF"/>
          <w:sz w:val="20"/>
          <w:szCs w:val="20"/>
        </w:rPr>
        <w:t xml:space="preserve"> SPI5 Entry |</w:t>
      </w:r>
      <w:r w:rsidR="00861DA8" w:rsidRPr="00A608EE">
        <w:rPr>
          <w:rFonts w:asciiTheme="majorHAnsi" w:hAnsiTheme="majorHAnsi" w:cstheme="majorHAnsi"/>
          <w:b/>
          <w:bCs/>
          <w:color w:val="2145CC" w:themeColor="accent5" w:themeShade="BF"/>
          <w:szCs w:val="20"/>
        </w:rPr>
        <w:t xml:space="preserve"> </w:t>
      </w:r>
      <w:r w:rsidR="00861DA8"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5BF157A1" w14:textId="732BCD09" w:rsidR="00E84F97" w:rsidRPr="00A608EE" w:rsidRDefault="00E84F97"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558CFB73" w14:textId="77777777" w:rsidR="00D94B3C" w:rsidRPr="00A608EE" w:rsidRDefault="00D94B3C"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 gender non-discrimination policy (refer to 5.A.1.3) comprises not only equal pay and career opportunities but also equal opportunity and access to training and skill development (refer to 5.B.1.3). The latter includes at least two types of training:</w:t>
      </w:r>
    </w:p>
    <w:p w14:paraId="1C974704" w14:textId="77777777" w:rsidR="00D94B3C" w:rsidRPr="00A608EE" w:rsidRDefault="00D94B3C" w:rsidP="00A27AAA">
      <w:pPr>
        <w:pStyle w:val="NormalWeb"/>
        <w:numPr>
          <w:ilvl w:val="0"/>
          <w:numId w:val="32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ongoing skills training (i.e., training that occurs during the course of the employment (not orientation) that builds skills necessary for their current position and</w:t>
      </w:r>
    </w:p>
    <w:p w14:paraId="7EC7377F" w14:textId="76F29D96" w:rsidR="00E84F97" w:rsidRPr="00A608EE" w:rsidRDefault="00D94B3C" w:rsidP="00A27AAA">
      <w:pPr>
        <w:pStyle w:val="NormalWeb"/>
        <w:numPr>
          <w:ilvl w:val="0"/>
          <w:numId w:val="32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skills development training to facilitate employees' professional development opportunities, such as allowing them to respond to the employer's evolving needs by taking on new and/or more senior positions.</w:t>
      </w:r>
    </w:p>
    <w:p w14:paraId="57EB553E" w14:textId="77777777" w:rsidR="00672763" w:rsidRPr="00A608EE" w:rsidRDefault="00672763" w:rsidP="00672763">
      <w:pPr>
        <w:pStyle w:val="NormalWeb"/>
        <w:spacing w:before="0" w:beforeAutospacing="0" w:after="0" w:afterAutospacing="0"/>
        <w:jc w:val="both"/>
        <w:rPr>
          <w:rFonts w:asciiTheme="majorHAnsi" w:hAnsiTheme="majorHAnsi"/>
          <w:sz w:val="20"/>
          <w:szCs w:val="20"/>
        </w:rPr>
      </w:pPr>
    </w:p>
    <w:p w14:paraId="6264AE3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899904" behindDoc="1" locked="0" layoutInCell="1" allowOverlap="1" wp14:anchorId="4B7C50AB" wp14:editId="3F29118C">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218435417"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FB0882A" w14:textId="77777777" w:rsidR="00672763" w:rsidRPr="00A608EE" w:rsidRDefault="00672763" w:rsidP="00672763">
      <w:pPr>
        <w:pStyle w:val="NormalWeb"/>
        <w:spacing w:before="0" w:beforeAutospacing="0" w:after="0" w:afterAutospacing="0"/>
        <w:jc w:val="both"/>
        <w:rPr>
          <w:rFonts w:asciiTheme="majorHAnsi" w:hAnsiTheme="majorHAnsi"/>
          <w:sz w:val="20"/>
          <w:szCs w:val="20"/>
        </w:rPr>
      </w:pPr>
    </w:p>
    <w:p w14:paraId="45B1F547" w14:textId="56E681F2" w:rsidR="00E84F97" w:rsidRPr="00A608EE" w:rsidRDefault="00672763" w:rsidP="00E84F97">
      <w:pPr>
        <w:pStyle w:val="NormalWeb"/>
        <w:jc w:val="both"/>
        <w:rPr>
          <w:rFonts w:asciiTheme="majorHAnsi" w:hAnsiTheme="majorHAnsi"/>
          <w:sz w:val="20"/>
          <w:szCs w:val="20"/>
        </w:rPr>
      </w:pPr>
      <w:r w:rsidRPr="00A608EE">
        <w:rPr>
          <w:rFonts w:ascii="Work Sans" w:hAnsi="Work Sans"/>
          <w:b/>
          <w:bCs/>
          <w:sz w:val="20"/>
          <w:szCs w:val="20"/>
        </w:rPr>
        <w:t>D</w:t>
      </w:r>
      <w:r w:rsidR="00386AB6" w:rsidRPr="00A608EE">
        <w:rPr>
          <w:rFonts w:ascii="Work Sans" w:hAnsi="Work Sans"/>
          <w:b/>
          <w:bCs/>
          <w:sz w:val="20"/>
          <w:szCs w:val="20"/>
        </w:rPr>
        <w:t>I Indicator:</w:t>
      </w:r>
      <w:r w:rsidR="00386AB6" w:rsidRPr="00A608EE">
        <w:rPr>
          <w:rFonts w:ascii="Work Sans" w:hAnsi="Work Sans"/>
          <w:sz w:val="20"/>
          <w:szCs w:val="20"/>
        </w:rPr>
        <w:t xml:space="preserve"> </w:t>
      </w:r>
      <w:r w:rsidR="00E84F97" w:rsidRPr="00A608EE">
        <w:rPr>
          <w:rFonts w:asciiTheme="majorHAnsi" w:hAnsiTheme="majorHAnsi"/>
          <w:sz w:val="20"/>
          <w:szCs w:val="20"/>
        </w:rPr>
        <w:t>Men and women receive equal opportunities for training and skill development, and these opportunities are accessible and inclusive to employees with disabilities, including through the provision of reasonable accommodations.</w:t>
      </w:r>
    </w:p>
    <w:p w14:paraId="57488254" w14:textId="77777777" w:rsidR="00E84F97" w:rsidRPr="00A608EE" w:rsidRDefault="00E84F97" w:rsidP="00E84F97">
      <w:pPr>
        <w:pStyle w:val="NormalWeb"/>
        <w:jc w:val="both"/>
        <w:rPr>
          <w:rFonts w:asciiTheme="majorHAnsi" w:hAnsiTheme="majorHAnsi"/>
          <w:sz w:val="20"/>
          <w:szCs w:val="20"/>
        </w:rPr>
      </w:pPr>
      <w:r w:rsidRPr="00A608EE">
        <w:rPr>
          <w:rFonts w:asciiTheme="majorHAnsi" w:hAnsiTheme="majorHAnsi"/>
          <w:sz w:val="20"/>
          <w:szCs w:val="20"/>
        </w:rPr>
        <w:t>All new employees receive orientation and job-specific training that is accessible and inclusive to employees with disabilities, including through the provision of reasonable accommodations.</w:t>
      </w:r>
    </w:p>
    <w:p w14:paraId="15E8B27B" w14:textId="4B2790F8" w:rsidR="00E84F97" w:rsidRPr="00A608EE" w:rsidRDefault="00E84F97" w:rsidP="00E84F97">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makes professional development opportunities available to employees at every level in an accessible and inclusive way for employees with disabilities, including through the provision of reasonable accommodations.</w:t>
      </w:r>
    </w:p>
    <w:p w14:paraId="06375AA1" w14:textId="77777777" w:rsidR="0065769E" w:rsidRPr="00A608EE" w:rsidRDefault="0065769E" w:rsidP="00E84F97">
      <w:pPr>
        <w:pStyle w:val="NormalWeb"/>
        <w:spacing w:before="0" w:beforeAutospacing="0" w:after="0" w:afterAutospacing="0"/>
        <w:jc w:val="both"/>
        <w:rPr>
          <w:rFonts w:asciiTheme="majorHAnsi" w:hAnsiTheme="majorHAnsi"/>
          <w:sz w:val="20"/>
          <w:szCs w:val="20"/>
        </w:rPr>
      </w:pPr>
    </w:p>
    <w:p w14:paraId="4EBECB3A" w14:textId="45F1BFF9" w:rsidR="0065769E" w:rsidRPr="00A608EE" w:rsidRDefault="00741AB2" w:rsidP="00A02AC4">
      <w:pPr>
        <w:jc w:val="both"/>
        <w:rPr>
          <w:rFonts w:asciiTheme="majorHAnsi" w:hAnsiTheme="majorHAnsi"/>
          <w:sz w:val="20"/>
          <w:szCs w:val="20"/>
        </w:rPr>
      </w:pPr>
      <w:r w:rsidRPr="00A608EE">
        <w:rPr>
          <w:rFonts w:asciiTheme="majorHAnsi" w:hAnsiTheme="majorHAnsi"/>
          <w:sz w:val="20"/>
          <w:szCs w:val="20"/>
          <w:lang w:eastAsia="fr-FR"/>
        </w:rPr>
        <w:t>[See indicator 5.A.1.1 for the definition and information about reasonable accommodation]</w:t>
      </w:r>
    </w:p>
    <w:p w14:paraId="7E179EE1" w14:textId="77777777" w:rsidR="00D94B3C" w:rsidRPr="00A608EE" w:rsidRDefault="00D94B3C" w:rsidP="00EE208A">
      <w:pPr>
        <w:pStyle w:val="NormalWeb"/>
        <w:spacing w:before="0" w:beforeAutospacing="0" w:after="0" w:afterAutospacing="0"/>
        <w:jc w:val="both"/>
        <w:rPr>
          <w:rFonts w:asciiTheme="majorHAnsi" w:hAnsiTheme="majorHAnsi"/>
          <w:sz w:val="20"/>
          <w:szCs w:val="20"/>
        </w:rPr>
      </w:pPr>
    </w:p>
    <w:p w14:paraId="06F14F6F" w14:textId="1B7F4F73" w:rsidR="00D94B3C" w:rsidRPr="00A608EE" w:rsidRDefault="00D94B3C"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7281093F" w14:textId="77777777" w:rsidR="00D94B3C" w:rsidRPr="00A608EE" w:rsidRDefault="00D94B3C" w:rsidP="00A27AAA">
      <w:pPr>
        <w:pStyle w:val="NormalWeb"/>
        <w:numPr>
          <w:ilvl w:val="0"/>
          <w:numId w:val="32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w:t>
      </w:r>
    </w:p>
    <w:p w14:paraId="5B4CB15E" w14:textId="77777777" w:rsidR="00D94B3C" w:rsidRPr="00A608EE" w:rsidRDefault="00D94B3C" w:rsidP="00A27AAA">
      <w:pPr>
        <w:pStyle w:val="NormalWeb"/>
        <w:numPr>
          <w:ilvl w:val="1"/>
          <w:numId w:val="32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provider has a systematic process in place to offer training and skill development opportunities for employees from every level</w:t>
      </w:r>
    </w:p>
    <w:p w14:paraId="283D4A2D" w14:textId="77777777" w:rsidR="00D94B3C" w:rsidRPr="00A608EE" w:rsidRDefault="00D94B3C" w:rsidP="00A27AAA">
      <w:pPr>
        <w:pStyle w:val="NormalWeb"/>
        <w:numPr>
          <w:ilvl w:val="1"/>
          <w:numId w:val="32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with equal access for women and men.</w:t>
      </w:r>
    </w:p>
    <w:p w14:paraId="525370D2" w14:textId="77777777" w:rsidR="00D94B3C" w:rsidRPr="00A608EE" w:rsidRDefault="00D94B3C" w:rsidP="00A27AAA">
      <w:pPr>
        <w:pStyle w:val="NormalWeb"/>
        <w:numPr>
          <w:ilvl w:val="0"/>
          <w:numId w:val="32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one of the two requirements is met only partly. For instance, (i) some categories of employees (e.g. tellers) and/or employees at certain (e.g. lowest) levels made up mainly by women are offered no or comparably little training and skill development opportunities or (ii) there is limited unequal access/participation between women and men per type and/or level of position in terms of annual days for trainings and other professional development opportunities.</w:t>
      </w:r>
    </w:p>
    <w:p w14:paraId="661C0546" w14:textId="77777777" w:rsidR="00D94B3C" w:rsidRPr="00A608EE" w:rsidRDefault="00D94B3C" w:rsidP="00A27AAA">
      <w:pPr>
        <w:pStyle w:val="NormalWeb"/>
        <w:numPr>
          <w:ilvl w:val="0"/>
          <w:numId w:val="32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there is significant unequal access for women and men to training and skill development opportunities.</w:t>
      </w:r>
    </w:p>
    <w:p w14:paraId="3A4B51E8" w14:textId="77777777" w:rsidR="00D94B3C" w:rsidRPr="00A608EE" w:rsidRDefault="00D94B3C" w:rsidP="00EE208A">
      <w:pPr>
        <w:pStyle w:val="NormalWeb"/>
        <w:spacing w:before="0" w:beforeAutospacing="0" w:after="0" w:afterAutospacing="0"/>
        <w:jc w:val="both"/>
        <w:rPr>
          <w:rFonts w:asciiTheme="majorHAnsi" w:hAnsiTheme="majorHAnsi"/>
          <w:sz w:val="20"/>
          <w:szCs w:val="20"/>
        </w:rPr>
      </w:pPr>
    </w:p>
    <w:p w14:paraId="5C03383A" w14:textId="6B370F1A" w:rsidR="00D94B3C" w:rsidRPr="00A608EE" w:rsidRDefault="00D94B3C"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0290F532" w14:textId="77777777" w:rsidR="00D94B3C" w:rsidRPr="00A608EE" w:rsidRDefault="00D94B3C" w:rsidP="00A27AAA">
      <w:pPr>
        <w:pStyle w:val="NormalWeb"/>
        <w:numPr>
          <w:ilvl w:val="0"/>
          <w:numId w:val="32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w:t>
      </w:r>
    </w:p>
    <w:p w14:paraId="0E1B36C4" w14:textId="77777777" w:rsidR="00D94B3C" w:rsidRPr="00A608EE" w:rsidRDefault="00D94B3C" w:rsidP="00A27AAA">
      <w:pPr>
        <w:pStyle w:val="NormalWeb"/>
        <w:numPr>
          <w:ilvl w:val="0"/>
          <w:numId w:val="32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Last annual plan for, and report on, training and skill development, if available.</w:t>
      </w:r>
    </w:p>
    <w:p w14:paraId="4510A824" w14:textId="77777777" w:rsidR="00D94B3C" w:rsidRPr="00A608EE" w:rsidRDefault="00D94B3C" w:rsidP="00A27AAA">
      <w:pPr>
        <w:pStyle w:val="NormalWeb"/>
        <w:numPr>
          <w:ilvl w:val="0"/>
          <w:numId w:val="32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the HR manager, the Training manager, and different employees (women and men with office and field functions), and at different levels.</w:t>
      </w:r>
    </w:p>
    <w:p w14:paraId="588B5AEB" w14:textId="77777777" w:rsidR="00D94B3C" w:rsidRPr="00A608EE" w:rsidRDefault="00D94B3C" w:rsidP="00EE208A">
      <w:pPr>
        <w:pStyle w:val="NormalWeb"/>
        <w:spacing w:before="0" w:beforeAutospacing="0" w:after="0" w:afterAutospacing="0"/>
        <w:jc w:val="both"/>
        <w:rPr>
          <w:rFonts w:asciiTheme="majorHAnsi" w:hAnsiTheme="majorHAnsi"/>
          <w:sz w:val="20"/>
          <w:szCs w:val="20"/>
        </w:rPr>
      </w:pPr>
    </w:p>
    <w:p w14:paraId="2B0F3AA1" w14:textId="7691F5B0" w:rsidR="00D94B3C" w:rsidRPr="00A608EE" w:rsidRDefault="00D94B3C"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02490C42" w14:textId="77777777" w:rsidR="00D94B3C" w:rsidRPr="00A608EE" w:rsidRDefault="00D94B3C" w:rsidP="00A27AAA">
      <w:pPr>
        <w:pStyle w:val="NormalWeb"/>
        <w:numPr>
          <w:ilvl w:val="0"/>
          <w:numId w:val="32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List of internal and external training courses and skill development events offered to the employees over the past 12 months.</w:t>
      </w:r>
    </w:p>
    <w:p w14:paraId="4767E451" w14:textId="77777777" w:rsidR="00D94B3C" w:rsidRPr="00A608EE" w:rsidRDefault="00D94B3C" w:rsidP="00A27AAA">
      <w:pPr>
        <w:pStyle w:val="NormalWeb"/>
        <w:numPr>
          <w:ilvl w:val="0"/>
          <w:numId w:val="32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Explain how information is tracked for gender equality in accessing training and skill development opportunities: a roster or report on the number of women vs men attending as a proportion of men and women holding the post, an overall tally that shows what % of women and men employees had a training opportunity in the last year, etc.</w:t>
      </w:r>
    </w:p>
    <w:p w14:paraId="20697B28" w14:textId="0341932B" w:rsidR="00B23185" w:rsidRPr="00A608EE" w:rsidRDefault="00B23185" w:rsidP="00EE208A">
      <w:pPr>
        <w:pStyle w:val="NormalWeb"/>
        <w:spacing w:before="0" w:beforeAutospacing="0" w:after="0" w:afterAutospacing="0"/>
        <w:jc w:val="both"/>
        <w:rPr>
          <w:rFonts w:asciiTheme="majorHAnsi" w:hAnsiTheme="majorHAnsi"/>
          <w:sz w:val="20"/>
          <w:szCs w:val="20"/>
        </w:rPr>
      </w:pPr>
    </w:p>
    <w:p w14:paraId="05B78F2C" w14:textId="77777777" w:rsidR="00914EDA" w:rsidRPr="00A608EE" w:rsidRDefault="00914EDA" w:rsidP="00EE208A">
      <w:pPr>
        <w:pStyle w:val="NormalWeb"/>
        <w:spacing w:before="0" w:beforeAutospacing="0" w:after="0" w:afterAutospacing="0"/>
        <w:jc w:val="both"/>
        <w:rPr>
          <w:rFonts w:asciiTheme="majorHAnsi" w:hAnsiTheme="majorHAnsi"/>
          <w:sz w:val="20"/>
          <w:szCs w:val="20"/>
        </w:rPr>
      </w:pPr>
    </w:p>
    <w:p w14:paraId="52AF652B" w14:textId="72ECFADB" w:rsidR="008868F1" w:rsidRPr="00A608EE" w:rsidRDefault="008868F1" w:rsidP="00EE208A">
      <w:pPr>
        <w:pStyle w:val="Heading3"/>
        <w:spacing w:before="0" w:line="240" w:lineRule="auto"/>
        <w:jc w:val="both"/>
      </w:pPr>
      <w:bookmarkStart w:id="95" w:name="_Toc230938816"/>
      <w:r w:rsidRPr="00A608EE">
        <w:rPr>
          <w:rStyle w:val="text-primary"/>
        </w:rPr>
        <w:t>5.B.2</w:t>
      </w:r>
      <w:r w:rsidRPr="00A608EE">
        <w:t xml:space="preserve"> </w:t>
      </w:r>
      <w:r w:rsidR="00D94B3C" w:rsidRPr="00A608EE">
        <w:t>The provider gives employees formal opportunities to communicate with management</w:t>
      </w:r>
      <w:r w:rsidR="00E366A9" w:rsidRPr="00A608EE">
        <w:t>.</w:t>
      </w:r>
      <w:bookmarkEnd w:id="95"/>
    </w:p>
    <w:p w14:paraId="1FA5DD5E" w14:textId="77777777" w:rsidR="00B23185" w:rsidRPr="00A608EE" w:rsidRDefault="00B23185" w:rsidP="00EE208A">
      <w:pPr>
        <w:jc w:val="both"/>
        <w:rPr>
          <w:rFonts w:asciiTheme="majorHAnsi" w:hAnsiTheme="majorHAnsi"/>
          <w:szCs w:val="20"/>
        </w:rPr>
      </w:pPr>
    </w:p>
    <w:p w14:paraId="3254264F" w14:textId="77777777" w:rsidR="00D94B3C" w:rsidRPr="00A608EE" w:rsidRDefault="00D94B3C" w:rsidP="00EE208A">
      <w:pPr>
        <w:jc w:val="both"/>
        <w:rPr>
          <w:rFonts w:asciiTheme="majorHAnsi" w:hAnsiTheme="majorHAnsi"/>
          <w:b/>
          <w:bCs/>
          <w:sz w:val="20"/>
          <w:szCs w:val="20"/>
        </w:rPr>
      </w:pPr>
      <w:r w:rsidRPr="00A608EE">
        <w:rPr>
          <w:rFonts w:asciiTheme="majorHAnsi" w:hAnsiTheme="majorHAnsi"/>
          <w:b/>
          <w:bCs/>
          <w:sz w:val="20"/>
          <w:szCs w:val="20"/>
        </w:rPr>
        <w:t>Consultation on HR decisions and policy development</w:t>
      </w:r>
    </w:p>
    <w:p w14:paraId="614E6C54" w14:textId="77777777" w:rsidR="00D94B3C" w:rsidRPr="00A608EE" w:rsidRDefault="00D94B3C" w:rsidP="00EE208A">
      <w:pPr>
        <w:jc w:val="both"/>
        <w:rPr>
          <w:rFonts w:asciiTheme="majorHAnsi" w:hAnsiTheme="majorHAnsi"/>
          <w:sz w:val="20"/>
          <w:szCs w:val="20"/>
        </w:rPr>
      </w:pPr>
      <w:r w:rsidRPr="00A608EE">
        <w:rPr>
          <w:rFonts w:asciiTheme="majorHAnsi" w:hAnsiTheme="majorHAnsi"/>
          <w:sz w:val="20"/>
          <w:szCs w:val="20"/>
        </w:rPr>
        <w:lastRenderedPageBreak/>
        <w:t>Providers should make sure Human Resources decisions and policy developments are aligned with employees’ needs and constraints. By defining and monitoring a formal mechanism for consulting with employees on HR decisions and policies, the provider can collect employees’ feedback and input to feed the development of such policies and make informed, relevant decisions in matters of HR management. The formal mechanism should also define how employees are represented by elected representatives who have direct access to executive managers and can raise issues.</w:t>
      </w:r>
    </w:p>
    <w:p w14:paraId="1E6604F7" w14:textId="77777777" w:rsidR="00D94B3C" w:rsidRPr="00A608EE" w:rsidRDefault="00D94B3C" w:rsidP="00EE208A">
      <w:pPr>
        <w:jc w:val="both"/>
        <w:rPr>
          <w:rFonts w:asciiTheme="majorHAnsi" w:hAnsiTheme="majorHAnsi"/>
          <w:sz w:val="20"/>
          <w:szCs w:val="20"/>
        </w:rPr>
      </w:pPr>
    </w:p>
    <w:p w14:paraId="189EC53C" w14:textId="6BEDD735" w:rsidR="00D94B3C" w:rsidRPr="00A608EE" w:rsidRDefault="00D94B3C" w:rsidP="00EE208A">
      <w:pPr>
        <w:jc w:val="both"/>
        <w:rPr>
          <w:rFonts w:asciiTheme="majorHAnsi" w:hAnsiTheme="majorHAnsi"/>
          <w:b/>
          <w:bCs/>
          <w:sz w:val="20"/>
          <w:szCs w:val="20"/>
        </w:rPr>
      </w:pPr>
      <w:r w:rsidRPr="00A608EE">
        <w:rPr>
          <w:rFonts w:asciiTheme="majorHAnsi" w:hAnsiTheme="majorHAnsi"/>
          <w:b/>
          <w:bCs/>
          <w:sz w:val="20"/>
          <w:szCs w:val="20"/>
        </w:rPr>
        <w:t>Create a Formal, Confidential Grievance Mechanism</w:t>
      </w:r>
    </w:p>
    <w:p w14:paraId="1E0145CC" w14:textId="77777777" w:rsidR="00D94B3C" w:rsidRPr="00A608EE" w:rsidRDefault="00D94B3C" w:rsidP="00EE208A">
      <w:pPr>
        <w:jc w:val="both"/>
        <w:rPr>
          <w:rFonts w:asciiTheme="majorHAnsi" w:hAnsiTheme="majorHAnsi"/>
          <w:sz w:val="20"/>
          <w:szCs w:val="20"/>
        </w:rPr>
      </w:pPr>
      <w:r w:rsidRPr="00A608EE">
        <w:rPr>
          <w:rFonts w:asciiTheme="majorHAnsi" w:hAnsiTheme="majorHAnsi"/>
          <w:sz w:val="20"/>
          <w:szCs w:val="20"/>
        </w:rPr>
        <w:t>Providers should provide a formal way for employees to voice grievances. This mechanism could be a dedicated phone number, email address, or note box with at least one channel for voicing grievances confidentially. The latter means that the employee identifies him/herself, but is afforded the opportunity to have his/her name disassociated with the complaint during the resolution phase. For example, if an employee complains to an HR representative because his/her supervisor is violating the policy on overtime work, the problem would be investigated without the supervisor knowing the identity of the complaining employee. An effective grievance mechanism for resolving HR problems should comprise a formal process for recording, addressing, and following up on complaints. It tracks the number of complaints submitted as well as the details of their resolution. Targeting “zero complaints” would be a sign that employees do not know about the mechanism or do not feel comfortable using it. Providers should thus aim to respond quickly and fairly to HR problems that arise.</w:t>
      </w:r>
    </w:p>
    <w:p w14:paraId="0BF3388C" w14:textId="77777777" w:rsidR="00D94B3C" w:rsidRPr="00A608EE" w:rsidRDefault="00D94B3C" w:rsidP="00EE208A">
      <w:pPr>
        <w:jc w:val="both"/>
        <w:rPr>
          <w:rFonts w:asciiTheme="majorHAnsi" w:hAnsiTheme="majorHAnsi"/>
          <w:sz w:val="20"/>
          <w:szCs w:val="20"/>
        </w:rPr>
      </w:pPr>
    </w:p>
    <w:p w14:paraId="5C05F751" w14:textId="0CCCF781" w:rsidR="00D94B3C" w:rsidRPr="00A608EE" w:rsidRDefault="00D94B3C" w:rsidP="00EE208A">
      <w:pPr>
        <w:jc w:val="both"/>
        <w:rPr>
          <w:rFonts w:asciiTheme="majorHAnsi" w:hAnsiTheme="majorHAnsi"/>
          <w:b/>
          <w:bCs/>
          <w:sz w:val="20"/>
          <w:szCs w:val="20"/>
        </w:rPr>
      </w:pPr>
      <w:r w:rsidRPr="00A608EE">
        <w:rPr>
          <w:rFonts w:asciiTheme="majorHAnsi" w:hAnsiTheme="majorHAnsi"/>
          <w:b/>
          <w:bCs/>
          <w:sz w:val="20"/>
          <w:szCs w:val="20"/>
        </w:rPr>
        <w:t>Monitor Employee Satisfaction</w:t>
      </w:r>
    </w:p>
    <w:p w14:paraId="61E6B4B2" w14:textId="669ACF0C" w:rsidR="00D94B3C" w:rsidRPr="00A608EE" w:rsidRDefault="00D94B3C" w:rsidP="00EE208A">
      <w:pPr>
        <w:jc w:val="both"/>
        <w:rPr>
          <w:rFonts w:asciiTheme="majorHAnsi" w:hAnsiTheme="majorHAnsi"/>
          <w:sz w:val="20"/>
          <w:szCs w:val="20"/>
        </w:rPr>
      </w:pPr>
      <w:r w:rsidRPr="00A608EE">
        <w:rPr>
          <w:rFonts w:asciiTheme="majorHAnsi" w:hAnsiTheme="majorHAnsi"/>
          <w:sz w:val="20"/>
          <w:szCs w:val="20"/>
        </w:rPr>
        <w:t>Providers should regularly analyze employee satisfaction by choosing either to conduct time-bound employee satisfaction research (e.g., a two-week review each year) or to collect satisfaction information on a continual basis. Important is to collect satisfaction data on at least a representative sample of employees (covering all types of employees) at least annually by using a formal method, such as interviews, written surveys, and/or focus groups, ask employees to comment on satisfaction with factors such as:</w:t>
      </w:r>
    </w:p>
    <w:p w14:paraId="6AAEF07F"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Employment terms, including contract duration and remuneration</w:t>
      </w:r>
    </w:p>
    <w:p w14:paraId="544D1E30"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Workload</w:t>
      </w:r>
    </w:p>
    <w:p w14:paraId="2D8C006A"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Employee training</w:t>
      </w:r>
    </w:p>
    <w:p w14:paraId="6EF8A857"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Career advancement opportunities</w:t>
      </w:r>
    </w:p>
    <w:p w14:paraId="545EF688"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Physical resources/infrastructure/equipment</w:t>
      </w:r>
    </w:p>
    <w:p w14:paraId="5A24B305"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Communication, participation, and leadership from supervisors</w:t>
      </w:r>
    </w:p>
    <w:p w14:paraId="4CF4AB12"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Communication and teamwork with peers</w:t>
      </w:r>
    </w:p>
    <w:p w14:paraId="6153ACBA"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Conflict resolution practices</w:t>
      </w:r>
    </w:p>
    <w:p w14:paraId="62163795" w14:textId="77777777" w:rsidR="00D94B3C" w:rsidRPr="00A608EE" w:rsidRDefault="00D94B3C" w:rsidP="00A27AAA">
      <w:pPr>
        <w:numPr>
          <w:ilvl w:val="0"/>
          <w:numId w:val="325"/>
        </w:numPr>
        <w:jc w:val="both"/>
        <w:rPr>
          <w:rFonts w:asciiTheme="majorHAnsi" w:hAnsiTheme="majorHAnsi"/>
          <w:sz w:val="20"/>
          <w:szCs w:val="20"/>
        </w:rPr>
      </w:pPr>
      <w:r w:rsidRPr="00A608EE">
        <w:rPr>
          <w:rFonts w:asciiTheme="majorHAnsi" w:hAnsiTheme="majorHAnsi"/>
          <w:sz w:val="20"/>
          <w:szCs w:val="20"/>
        </w:rPr>
        <w:t>Human Resources support services</w:t>
      </w:r>
    </w:p>
    <w:p w14:paraId="2F642412" w14:textId="77777777" w:rsidR="00D94B3C" w:rsidRPr="00A608EE" w:rsidRDefault="00D94B3C" w:rsidP="00EE208A">
      <w:pPr>
        <w:jc w:val="both"/>
        <w:rPr>
          <w:rFonts w:asciiTheme="majorHAnsi" w:hAnsiTheme="majorHAnsi"/>
          <w:sz w:val="20"/>
          <w:szCs w:val="20"/>
        </w:rPr>
      </w:pPr>
    </w:p>
    <w:p w14:paraId="095F2B12" w14:textId="66CF079E" w:rsidR="00D94B3C" w:rsidRPr="00A608EE" w:rsidRDefault="00D94B3C" w:rsidP="00EE208A">
      <w:pPr>
        <w:jc w:val="both"/>
        <w:rPr>
          <w:rFonts w:asciiTheme="majorHAnsi" w:hAnsiTheme="majorHAnsi"/>
          <w:sz w:val="20"/>
          <w:szCs w:val="20"/>
        </w:rPr>
      </w:pPr>
      <w:r w:rsidRPr="00A608EE">
        <w:rPr>
          <w:rFonts w:asciiTheme="majorHAnsi" w:hAnsiTheme="majorHAnsi"/>
          <w:sz w:val="20"/>
          <w:szCs w:val="20"/>
        </w:rPr>
        <w:t>Employees should have the option to respond anonymously to the satisfaction survey. Results should be analyzed and reported by segmenting data by employee characteristics, including gender, level (management/staff), and location (HQ/branch). Reporting should be not only to management, but also to all employees at all levels.</w:t>
      </w:r>
    </w:p>
    <w:p w14:paraId="3ED759BF" w14:textId="77777777" w:rsidR="00D94B3C" w:rsidRPr="00A608EE" w:rsidRDefault="00D94B3C" w:rsidP="00EE208A">
      <w:pPr>
        <w:jc w:val="both"/>
        <w:rPr>
          <w:rFonts w:asciiTheme="majorHAnsi" w:hAnsiTheme="majorHAnsi"/>
          <w:sz w:val="20"/>
          <w:szCs w:val="20"/>
        </w:rPr>
      </w:pPr>
    </w:p>
    <w:p w14:paraId="23040026" w14:textId="2FC8A10E" w:rsidR="00D94B3C" w:rsidRPr="00A608EE" w:rsidRDefault="00D94B3C" w:rsidP="00EE208A">
      <w:pPr>
        <w:jc w:val="both"/>
        <w:rPr>
          <w:rFonts w:asciiTheme="majorHAnsi" w:hAnsiTheme="majorHAnsi"/>
          <w:b/>
          <w:bCs/>
          <w:sz w:val="20"/>
          <w:szCs w:val="20"/>
        </w:rPr>
      </w:pPr>
      <w:r w:rsidRPr="00A608EE">
        <w:rPr>
          <w:rFonts w:asciiTheme="majorHAnsi" w:hAnsiTheme="majorHAnsi"/>
          <w:b/>
          <w:bCs/>
          <w:sz w:val="20"/>
          <w:szCs w:val="20"/>
        </w:rPr>
        <w:t>Resources for 5.B.2</w:t>
      </w:r>
    </w:p>
    <w:p w14:paraId="6B866487" w14:textId="77777777" w:rsidR="00D94B3C" w:rsidRPr="00A608EE" w:rsidRDefault="00D94B3C" w:rsidP="00A27AAA">
      <w:pPr>
        <w:numPr>
          <w:ilvl w:val="0"/>
          <w:numId w:val="326"/>
        </w:numPr>
        <w:jc w:val="both"/>
        <w:rPr>
          <w:rFonts w:asciiTheme="majorHAnsi" w:hAnsiTheme="majorHAnsi"/>
          <w:sz w:val="20"/>
          <w:szCs w:val="20"/>
        </w:rPr>
      </w:pPr>
      <w:hyperlink r:id="rId270" w:tgtFrame="_blank" w:history="1">
        <w:r w:rsidRPr="00A608EE">
          <w:rPr>
            <w:rStyle w:val="Hyperlink"/>
            <w:rFonts w:asciiTheme="majorHAnsi" w:hAnsiTheme="majorHAnsi"/>
            <w:sz w:val="20"/>
            <w:szCs w:val="20"/>
          </w:rPr>
          <w:t>FINCA Peru Grievance Mechanism</w:t>
        </w:r>
      </w:hyperlink>
    </w:p>
    <w:p w14:paraId="1DCB8E20" w14:textId="77777777" w:rsidR="00D94B3C" w:rsidRPr="00A608EE" w:rsidRDefault="00D94B3C" w:rsidP="00A27AAA">
      <w:pPr>
        <w:numPr>
          <w:ilvl w:val="0"/>
          <w:numId w:val="326"/>
        </w:numPr>
        <w:jc w:val="both"/>
        <w:rPr>
          <w:rFonts w:asciiTheme="majorHAnsi" w:hAnsiTheme="majorHAnsi"/>
          <w:sz w:val="20"/>
          <w:szCs w:val="20"/>
        </w:rPr>
      </w:pPr>
      <w:hyperlink r:id="rId271" w:tgtFrame="_blank" w:history="1">
        <w:r w:rsidRPr="00A608EE">
          <w:rPr>
            <w:rStyle w:val="Hyperlink"/>
            <w:rFonts w:asciiTheme="majorHAnsi" w:hAnsiTheme="majorHAnsi"/>
            <w:sz w:val="20"/>
            <w:szCs w:val="20"/>
          </w:rPr>
          <w:t>NRSP in Pakistan Responds to Employee Grievance</w:t>
        </w:r>
      </w:hyperlink>
    </w:p>
    <w:p w14:paraId="25181780" w14:textId="77777777" w:rsidR="00D94B3C" w:rsidRPr="00A608EE" w:rsidRDefault="00D94B3C" w:rsidP="00A27AAA">
      <w:pPr>
        <w:numPr>
          <w:ilvl w:val="0"/>
          <w:numId w:val="326"/>
        </w:numPr>
        <w:jc w:val="both"/>
        <w:rPr>
          <w:rFonts w:asciiTheme="majorHAnsi" w:hAnsiTheme="majorHAnsi"/>
          <w:sz w:val="20"/>
          <w:szCs w:val="20"/>
        </w:rPr>
      </w:pPr>
      <w:hyperlink r:id="rId272" w:tgtFrame="_blank" w:history="1">
        <w:r w:rsidRPr="00A608EE">
          <w:rPr>
            <w:rStyle w:val="Hyperlink"/>
            <w:rFonts w:asciiTheme="majorHAnsi" w:hAnsiTheme="majorHAnsi"/>
            <w:sz w:val="20"/>
            <w:szCs w:val="20"/>
          </w:rPr>
          <w:t>VisionFund and ESAF Monitor Employee Satisfaction and Understand Reasons for Staff Exit</w:t>
        </w:r>
      </w:hyperlink>
    </w:p>
    <w:p w14:paraId="284A53FB" w14:textId="77777777" w:rsidR="00D94B3C" w:rsidRPr="00A608EE" w:rsidRDefault="00D94B3C" w:rsidP="00A27AAA">
      <w:pPr>
        <w:numPr>
          <w:ilvl w:val="0"/>
          <w:numId w:val="326"/>
        </w:numPr>
        <w:jc w:val="both"/>
        <w:rPr>
          <w:rFonts w:asciiTheme="majorHAnsi" w:hAnsiTheme="majorHAnsi"/>
          <w:sz w:val="20"/>
          <w:szCs w:val="20"/>
        </w:rPr>
      </w:pPr>
      <w:hyperlink r:id="rId273" w:tgtFrame="_blank" w:history="1">
        <w:r w:rsidRPr="00A608EE">
          <w:rPr>
            <w:rStyle w:val="Hyperlink"/>
            <w:rFonts w:asciiTheme="majorHAnsi" w:hAnsiTheme="majorHAnsi"/>
            <w:sz w:val="20"/>
            <w:szCs w:val="20"/>
          </w:rPr>
          <w:t>SPM Essentials #5: Listening to Employees as a Business Strategy</w:t>
        </w:r>
      </w:hyperlink>
    </w:p>
    <w:p w14:paraId="46848CCA" w14:textId="77777777" w:rsidR="00D94B3C" w:rsidRPr="00A608EE" w:rsidRDefault="00D94B3C" w:rsidP="00A27AAA">
      <w:pPr>
        <w:numPr>
          <w:ilvl w:val="0"/>
          <w:numId w:val="326"/>
        </w:numPr>
        <w:jc w:val="both"/>
        <w:rPr>
          <w:rFonts w:asciiTheme="majorHAnsi" w:hAnsiTheme="majorHAnsi"/>
          <w:sz w:val="20"/>
          <w:szCs w:val="20"/>
          <w:lang w:val="es-ES"/>
        </w:rPr>
      </w:pPr>
      <w:hyperlink r:id="rId274" w:tgtFrame="_blank" w:history="1">
        <w:r w:rsidRPr="00A608EE">
          <w:rPr>
            <w:rStyle w:val="Hyperlink"/>
            <w:rFonts w:asciiTheme="majorHAnsi" w:hAnsiTheme="majorHAnsi"/>
            <w:sz w:val="20"/>
            <w:szCs w:val="20"/>
            <w:lang w:val="es-ES"/>
          </w:rPr>
          <w:t>Encuesta confidencial sobre satisfacción y compromiso laboral Promujer</w:t>
        </w:r>
      </w:hyperlink>
    </w:p>
    <w:p w14:paraId="6619FB98" w14:textId="77777777" w:rsidR="00D94B3C" w:rsidRPr="00A608EE" w:rsidRDefault="00D94B3C" w:rsidP="00A27AAA">
      <w:pPr>
        <w:numPr>
          <w:ilvl w:val="0"/>
          <w:numId w:val="326"/>
        </w:numPr>
        <w:jc w:val="both"/>
        <w:rPr>
          <w:rFonts w:asciiTheme="majorHAnsi" w:hAnsiTheme="majorHAnsi"/>
          <w:sz w:val="20"/>
          <w:szCs w:val="20"/>
          <w:lang w:val="es-ES"/>
        </w:rPr>
      </w:pPr>
      <w:hyperlink r:id="rId275" w:tgtFrame="_blank" w:history="1">
        <w:r w:rsidRPr="00A608EE">
          <w:rPr>
            <w:rStyle w:val="Hyperlink"/>
            <w:rFonts w:asciiTheme="majorHAnsi" w:hAnsiTheme="majorHAnsi"/>
            <w:sz w:val="20"/>
            <w:szCs w:val="20"/>
            <w:lang w:val="es-ES"/>
          </w:rPr>
          <w:t>Medición del Clima Laboral para IMFs</w:t>
        </w:r>
      </w:hyperlink>
    </w:p>
    <w:p w14:paraId="0DD5EABC" w14:textId="77777777" w:rsidR="00D94B3C" w:rsidRPr="00A608EE" w:rsidRDefault="00D94B3C" w:rsidP="00A27AAA">
      <w:pPr>
        <w:numPr>
          <w:ilvl w:val="0"/>
          <w:numId w:val="326"/>
        </w:numPr>
        <w:jc w:val="both"/>
        <w:rPr>
          <w:rFonts w:asciiTheme="majorHAnsi" w:hAnsiTheme="majorHAnsi"/>
          <w:sz w:val="20"/>
          <w:szCs w:val="20"/>
        </w:rPr>
      </w:pPr>
      <w:hyperlink r:id="rId276" w:tgtFrame="_blank" w:history="1">
        <w:r w:rsidRPr="00A608EE">
          <w:rPr>
            <w:rStyle w:val="Hyperlink"/>
            <w:rFonts w:asciiTheme="majorHAnsi" w:hAnsiTheme="majorHAnsi"/>
            <w:sz w:val="20"/>
            <w:szCs w:val="20"/>
          </w:rPr>
          <w:t>Medición del Clima Laboral</w:t>
        </w:r>
      </w:hyperlink>
    </w:p>
    <w:p w14:paraId="07FA222B" w14:textId="77777777" w:rsidR="001B507E" w:rsidRPr="00A608EE" w:rsidRDefault="001B507E" w:rsidP="00EE208A">
      <w:pPr>
        <w:pStyle w:val="NormalWeb"/>
        <w:spacing w:before="0" w:beforeAutospacing="0" w:after="0" w:afterAutospacing="0"/>
        <w:jc w:val="both"/>
        <w:rPr>
          <w:rFonts w:asciiTheme="majorHAnsi" w:hAnsiTheme="majorHAnsi"/>
          <w:sz w:val="20"/>
          <w:szCs w:val="20"/>
        </w:rPr>
      </w:pPr>
    </w:p>
    <w:p w14:paraId="0DED7AAD" w14:textId="77777777" w:rsidR="004136BB" w:rsidRPr="00A608EE" w:rsidRDefault="004136BB" w:rsidP="00EE208A">
      <w:pPr>
        <w:pStyle w:val="NormalWeb"/>
        <w:spacing w:before="0" w:beforeAutospacing="0" w:after="0" w:afterAutospacing="0"/>
        <w:jc w:val="both"/>
        <w:rPr>
          <w:rFonts w:asciiTheme="majorHAnsi" w:hAnsiTheme="majorHAnsi"/>
          <w:sz w:val="20"/>
          <w:szCs w:val="20"/>
        </w:rPr>
      </w:pPr>
    </w:p>
    <w:p w14:paraId="7CA1A93C" w14:textId="6993E2BF" w:rsidR="004136BB" w:rsidRPr="00A608EE" w:rsidRDefault="008868F1" w:rsidP="00EE208A">
      <w:pPr>
        <w:pStyle w:val="Heading4"/>
        <w:spacing w:before="0" w:line="240" w:lineRule="auto"/>
        <w:jc w:val="both"/>
      </w:pPr>
      <w:r w:rsidRPr="00A608EE">
        <w:rPr>
          <w:rStyle w:val="text-primary"/>
        </w:rPr>
        <w:lastRenderedPageBreak/>
        <w:t>5.B.2.2</w:t>
      </w:r>
      <w:r w:rsidRPr="00A608EE">
        <w:t xml:space="preserve"> </w:t>
      </w:r>
      <w:r w:rsidR="00D552DD" w:rsidRPr="00A608EE">
        <w:t>The provider has formal grievance mechanism that allows employees to raise workplace concerns in a confidential manner</w:t>
      </w:r>
      <w:r w:rsidR="00F24C99" w:rsidRPr="00A608EE">
        <w:t>.</w:t>
      </w:r>
    </w:p>
    <w:p w14:paraId="590BBB09" w14:textId="77777777" w:rsidR="007B23B6" w:rsidRPr="00A608EE" w:rsidRDefault="007B23B6" w:rsidP="00EE208A">
      <w:pPr>
        <w:pStyle w:val="NormalWeb"/>
        <w:spacing w:before="0" w:beforeAutospacing="0" w:after="0" w:afterAutospacing="0"/>
        <w:jc w:val="both"/>
        <w:rPr>
          <w:rFonts w:ascii="Segoe UI Emoji" w:hAnsi="Segoe UI Emoji" w:cs="Segoe UI Emoji"/>
          <w:b/>
          <w:bCs/>
          <w:sz w:val="20"/>
          <w:szCs w:val="20"/>
        </w:rPr>
      </w:pPr>
    </w:p>
    <w:p w14:paraId="165E9199" w14:textId="3B12F79A" w:rsidR="007B23B6"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7B23B6" w:rsidRPr="00A608EE">
        <w:rPr>
          <w:rFonts w:asciiTheme="majorHAnsi" w:hAnsiTheme="majorHAnsi" w:cstheme="majorHAnsi"/>
          <w:b/>
          <w:bCs/>
          <w:color w:val="2145CC" w:themeColor="accent5" w:themeShade="BF"/>
          <w:sz w:val="20"/>
          <w:szCs w:val="20"/>
        </w:rPr>
        <w:t xml:space="preserve">ESG Risk | ALINUS </w:t>
      </w:r>
      <w:r w:rsidR="007B23B6" w:rsidRPr="00A608EE">
        <w:rPr>
          <w:rFonts w:asciiTheme="majorHAnsi" w:hAnsiTheme="majorHAnsi" w:cstheme="majorHAnsi"/>
          <w:b/>
          <w:bCs/>
          <w:color w:val="2145CC" w:themeColor="accent5" w:themeShade="BF"/>
          <w:sz w:val="20"/>
          <w:szCs w:val="20"/>
        </w:rPr>
        <w:softHyphen/>
        <w:t>| SPI5 Entry |</w:t>
      </w:r>
      <w:r w:rsidR="007B23B6" w:rsidRPr="00A608EE">
        <w:rPr>
          <w:rFonts w:asciiTheme="majorHAnsi" w:hAnsiTheme="majorHAnsi" w:cstheme="majorHAnsi"/>
          <w:b/>
          <w:bCs/>
          <w:color w:val="2145CC" w:themeColor="accent5" w:themeShade="BF"/>
          <w:szCs w:val="20"/>
        </w:rPr>
        <w:t xml:space="preserve"> </w:t>
      </w:r>
      <w:r w:rsidR="007B23B6" w:rsidRPr="00A608EE">
        <w:rPr>
          <w:rFonts w:asciiTheme="majorHAnsi" w:hAnsiTheme="majorHAnsi" w:cstheme="majorHAnsi"/>
          <w:b/>
          <w:bCs/>
          <w:color w:val="2145CC" w:themeColor="accent5" w:themeShade="BF"/>
          <w:sz w:val="20"/>
          <w:szCs w:val="20"/>
        </w:rPr>
        <w:t>SPI5 Full</w:t>
      </w:r>
      <w:r w:rsidR="0083332E" w:rsidRPr="00A608EE">
        <w:rPr>
          <w:rFonts w:asciiTheme="majorHAnsi" w:hAnsiTheme="majorHAnsi" w:cstheme="majorHAnsi"/>
          <w:b/>
          <w:bCs/>
          <w:color w:val="2145CC" w:themeColor="accent5" w:themeShade="BF"/>
          <w:sz w:val="20"/>
          <w:szCs w:val="20"/>
        </w:rPr>
        <w:t xml:space="preserve"> </w:t>
      </w:r>
      <w:r w:rsidR="0083332E" w:rsidRPr="00A608EE">
        <w:rPr>
          <w:rFonts w:ascii="Work Sans" w:hAnsi="Work Sans"/>
          <w:b/>
          <w:bCs/>
          <w:color w:val="2145CC" w:themeColor="accent5" w:themeShade="BF"/>
          <w:sz w:val="20"/>
          <w:szCs w:val="20"/>
        </w:rPr>
        <w:t>| DI Focus</w:t>
      </w:r>
    </w:p>
    <w:p w14:paraId="343CDD25" w14:textId="77777777" w:rsidR="0083332E" w:rsidRPr="00A608EE" w:rsidRDefault="0083332E" w:rsidP="00EE208A">
      <w:pPr>
        <w:pStyle w:val="NormalWeb"/>
        <w:spacing w:before="0" w:beforeAutospacing="0" w:after="0" w:afterAutospacing="0"/>
        <w:jc w:val="both"/>
        <w:rPr>
          <w:rFonts w:asciiTheme="majorHAnsi" w:hAnsiTheme="majorHAnsi"/>
          <w:sz w:val="20"/>
          <w:szCs w:val="20"/>
        </w:rPr>
      </w:pPr>
    </w:p>
    <w:p w14:paraId="55B969F3" w14:textId="20428D8B" w:rsidR="00D552DD" w:rsidRPr="00A608EE" w:rsidRDefault="00D552DD"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To ensure that any breach in ‘decent work conditions’ is quickly identified, employees should have a formal channel to voice grievances, ensuring a confidential treatment of the information shared.</w:t>
      </w:r>
    </w:p>
    <w:p w14:paraId="526FD508"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E77EE0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01952" behindDoc="1" locked="0" layoutInCell="1" allowOverlap="1" wp14:anchorId="49F36141" wp14:editId="094F3821">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24307150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3A99845E"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404D44F3" w14:textId="3193BC18" w:rsidR="00F97F91" w:rsidRPr="00A608EE" w:rsidRDefault="00386AB6"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97F91" w:rsidRPr="00A608EE">
        <w:rPr>
          <w:rFonts w:asciiTheme="majorHAnsi" w:hAnsiTheme="majorHAnsi"/>
          <w:sz w:val="20"/>
          <w:szCs w:val="20"/>
        </w:rPr>
        <w:t xml:space="preserve">Grievance mechanisms include channels that are accessible to allow employees with different types of impairments to raise workplace concerns in a confidential </w:t>
      </w:r>
      <w:r w:rsidR="00571480" w:rsidRPr="00A608EE">
        <w:rPr>
          <w:rFonts w:asciiTheme="majorHAnsi" w:hAnsiTheme="majorHAnsi"/>
          <w:sz w:val="20"/>
          <w:szCs w:val="20"/>
        </w:rPr>
        <w:t>manner. (e.g.,</w:t>
      </w:r>
      <w:r w:rsidR="00F97F91" w:rsidRPr="00A608EE">
        <w:rPr>
          <w:rFonts w:asciiTheme="majorHAnsi" w:hAnsiTheme="majorHAnsi"/>
          <w:sz w:val="20"/>
          <w:szCs w:val="20"/>
        </w:rPr>
        <w:t xml:space="preserve"> audio formats, accessible digital channels).</w:t>
      </w:r>
    </w:p>
    <w:p w14:paraId="40E7FDF6" w14:textId="77777777" w:rsidR="00F97F91" w:rsidRPr="00A608EE" w:rsidRDefault="00F97F91" w:rsidP="00EE208A">
      <w:pPr>
        <w:pStyle w:val="NormalWeb"/>
        <w:spacing w:before="0" w:beforeAutospacing="0" w:after="0" w:afterAutospacing="0"/>
        <w:jc w:val="both"/>
        <w:rPr>
          <w:rFonts w:asciiTheme="majorHAnsi" w:hAnsiTheme="majorHAnsi"/>
          <w:sz w:val="20"/>
          <w:szCs w:val="20"/>
        </w:rPr>
      </w:pPr>
    </w:p>
    <w:p w14:paraId="0E079E6E" w14:textId="0D0A099B" w:rsidR="00F97F91" w:rsidRPr="00A608EE" w:rsidRDefault="00F97F91" w:rsidP="00EE208A">
      <w:pPr>
        <w:pStyle w:val="NormalWeb"/>
        <w:spacing w:before="0" w:beforeAutospacing="0" w:after="0" w:afterAutospacing="0"/>
        <w:jc w:val="both"/>
        <w:rPr>
          <w:rFonts w:asciiTheme="majorHAnsi" w:hAnsiTheme="majorHAnsi"/>
          <w:sz w:val="20"/>
          <w:szCs w:val="20"/>
        </w:rPr>
      </w:pPr>
      <w:r w:rsidRPr="00A608EE">
        <w:rPr>
          <w:noProof/>
        </w:rPr>
        <mc:AlternateContent>
          <mc:Choice Requires="wps">
            <w:drawing>
              <wp:anchor distT="0" distB="0" distL="114300" distR="114300" simplePos="0" relativeHeight="251732992" behindDoc="0" locked="0" layoutInCell="1" allowOverlap="1" wp14:anchorId="551F3DCC" wp14:editId="2A92A7AF">
                <wp:simplePos x="0" y="0"/>
                <wp:positionH relativeFrom="column">
                  <wp:posOffset>0</wp:posOffset>
                </wp:positionH>
                <wp:positionV relativeFrom="paragraph">
                  <wp:posOffset>0</wp:posOffset>
                </wp:positionV>
                <wp:extent cx="1828800" cy="1828800"/>
                <wp:effectExtent l="0" t="0" r="0" b="0"/>
                <wp:wrapSquare wrapText="bothSides"/>
                <wp:docPr id="28579276"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1A6729B" w14:textId="737E7304" w:rsidR="00F97F91" w:rsidRPr="00820B09" w:rsidRDefault="00EB123D" w:rsidP="00EE208A">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F97F91" w:rsidRPr="00820B09">
                              <w:rPr>
                                <w:rFonts w:asciiTheme="majorHAnsi" w:hAnsiTheme="majorHAnsi"/>
                                <w:b/>
                                <w:bCs/>
                                <w:sz w:val="20"/>
                                <w:szCs w:val="20"/>
                              </w:rPr>
                              <w:t>5.B.2.2</w:t>
                            </w:r>
                          </w:p>
                          <w:p w14:paraId="1C0B5562" w14:textId="7A016C96" w:rsidR="00741AB2" w:rsidRPr="00820B09" w:rsidRDefault="00741AB2" w:rsidP="00C830BD">
                            <w:pPr>
                              <w:pStyle w:val="NormalWeb"/>
                              <w:jc w:val="both"/>
                              <w:rPr>
                                <w:rFonts w:asciiTheme="majorHAnsi" w:hAnsiTheme="majorHAnsi"/>
                                <w:sz w:val="20"/>
                                <w:szCs w:val="20"/>
                              </w:rPr>
                            </w:pPr>
                            <w:r w:rsidRPr="00820B09">
                              <w:rPr>
                                <w:rFonts w:asciiTheme="majorHAnsi" w:hAnsiTheme="majorHAnsi"/>
                                <w:sz w:val="20"/>
                                <w:szCs w:val="20"/>
                              </w:rPr>
                              <w:t xml:space="preserve">The provider should establish confidential and accessible procedures and channels to enable persons with disabilities to raise grievances or report harassment in the workplace, including sexual harassment. These may include </w:t>
                            </w:r>
                            <w:r w:rsidR="00F97F91" w:rsidRPr="00820B09">
                              <w:rPr>
                                <w:rFonts w:asciiTheme="majorHAnsi" w:hAnsiTheme="majorHAnsi"/>
                                <w:sz w:val="20"/>
                                <w:szCs w:val="20"/>
                              </w:rPr>
                              <w:t xml:space="preserve">accessible digital channels, </w:t>
                            </w:r>
                            <w:r w:rsidRPr="00820B09">
                              <w:rPr>
                                <w:rFonts w:asciiTheme="majorHAnsi" w:hAnsiTheme="majorHAnsi"/>
                                <w:sz w:val="20"/>
                                <w:szCs w:val="20"/>
                              </w:rPr>
                              <w:t xml:space="preserve">and </w:t>
                            </w:r>
                            <w:r w:rsidR="00F97F91" w:rsidRPr="00820B09">
                              <w:rPr>
                                <w:rFonts w:asciiTheme="majorHAnsi" w:hAnsiTheme="majorHAnsi"/>
                                <w:sz w:val="20"/>
                                <w:szCs w:val="20"/>
                              </w:rPr>
                              <w:t>options to submi</w:t>
                            </w:r>
                            <w:r w:rsidRPr="00820B09">
                              <w:rPr>
                                <w:rFonts w:asciiTheme="majorHAnsi" w:hAnsiTheme="majorHAnsi"/>
                                <w:sz w:val="20"/>
                                <w:szCs w:val="20"/>
                              </w:rPr>
                              <w:t xml:space="preserve">t </w:t>
                            </w:r>
                            <w:r w:rsidR="00F97F91" w:rsidRPr="00820B09">
                              <w:rPr>
                                <w:rFonts w:asciiTheme="majorHAnsi" w:hAnsiTheme="majorHAnsi"/>
                                <w:sz w:val="20"/>
                                <w:szCs w:val="20"/>
                              </w:rPr>
                              <w:t>audio recording</w:t>
                            </w:r>
                            <w:r w:rsidRPr="00820B09">
                              <w:rPr>
                                <w:rFonts w:asciiTheme="majorHAnsi" w:hAnsiTheme="majorHAnsi"/>
                                <w:sz w:val="20"/>
                                <w:szCs w:val="20"/>
                              </w:rPr>
                              <w:t>s as well as text</w:t>
                            </w:r>
                            <w:r w:rsidR="00F97F91" w:rsidRPr="00820B09">
                              <w:rPr>
                                <w:rFonts w:asciiTheme="majorHAnsi" w:hAnsiTheme="majorHAnsi"/>
                                <w:sz w:val="20"/>
                                <w:szCs w:val="20"/>
                              </w:rPr>
                              <w:t>)</w:t>
                            </w:r>
                            <w:r w:rsidRPr="00820B09">
                              <w:rPr>
                                <w:rFonts w:asciiTheme="majorHAnsi" w:hAnsiTheme="majorHAnsi"/>
                                <w:sz w:val="20"/>
                                <w:szCs w:val="2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51F3DCC" id="_x0000_s1066" type="#_x0000_t202" style="position:absolute;left:0;text-align:left;margin-left:0;margin-top:0;width:2in;height:2in;z-index:2517329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" filled="f" strokeweight=".5pt">
                <v:textbox style="mso-fit-shape-to-text:t">
                  <w:txbxContent>
                    <w:p w14:paraId="01A6729B" w14:textId="737E7304" w:rsidR="00F97F91" w:rsidRPr="00820B09" w:rsidRDefault="00EB123D" w:rsidP="00EE208A">
                      <w:pPr>
                        <w:pStyle w:val="NormalWeb"/>
                        <w:spacing w:before="0" w:beforeAutospacing="0" w:after="0" w:afterAutospacing="0"/>
                        <w:jc w:val="both"/>
                        <w:rPr>
                          <w:rFonts w:asciiTheme="majorHAnsi" w:hAnsiTheme="majorHAnsi"/>
                          <w:b/>
                          <w:bCs/>
                          <w:sz w:val="20"/>
                          <w:szCs w:val="20"/>
                        </w:rPr>
                      </w:pPr>
                      <w:r w:rsidRPr="00820B09">
                        <w:rPr>
                          <w:rFonts w:asciiTheme="majorHAnsi" w:hAnsiTheme="majorHAnsi"/>
                          <w:b/>
                          <w:bCs/>
                          <w:sz w:val="20"/>
                          <w:szCs w:val="20"/>
                        </w:rPr>
                        <w:t xml:space="preserve">Disability Inclusion - Info Box </w:t>
                      </w:r>
                      <w:r w:rsidR="00F97F91" w:rsidRPr="00820B09">
                        <w:rPr>
                          <w:rFonts w:asciiTheme="majorHAnsi" w:hAnsiTheme="majorHAnsi"/>
                          <w:b/>
                          <w:bCs/>
                          <w:sz w:val="20"/>
                          <w:szCs w:val="20"/>
                        </w:rPr>
                        <w:t>5.B.2.2</w:t>
                      </w:r>
                    </w:p>
                    <w:p w14:paraId="1C0B5562" w14:textId="7A016C96" w:rsidR="00741AB2" w:rsidRPr="00820B09" w:rsidRDefault="00741AB2" w:rsidP="00C830BD">
                      <w:pPr>
                        <w:pStyle w:val="NormalWeb"/>
                        <w:jc w:val="both"/>
                        <w:rPr>
                          <w:rFonts w:asciiTheme="majorHAnsi" w:hAnsiTheme="majorHAnsi"/>
                          <w:sz w:val="20"/>
                          <w:szCs w:val="20"/>
                        </w:rPr>
                      </w:pPr>
                      <w:r w:rsidRPr="00820B09">
                        <w:rPr>
                          <w:rFonts w:asciiTheme="majorHAnsi" w:hAnsiTheme="majorHAnsi"/>
                          <w:sz w:val="20"/>
                          <w:szCs w:val="20"/>
                        </w:rPr>
                        <w:t xml:space="preserve">The provider should establish confidential and accessible procedures and channels to enable persons with disabilities to raise grievances or report harassment in the workplace, including sexual harassment. These may include </w:t>
                      </w:r>
                      <w:r w:rsidR="00F97F91" w:rsidRPr="00820B09">
                        <w:rPr>
                          <w:rFonts w:asciiTheme="majorHAnsi" w:hAnsiTheme="majorHAnsi"/>
                          <w:sz w:val="20"/>
                          <w:szCs w:val="20"/>
                        </w:rPr>
                        <w:t xml:space="preserve">accessible digital channels, </w:t>
                      </w:r>
                      <w:r w:rsidRPr="00820B09">
                        <w:rPr>
                          <w:rFonts w:asciiTheme="majorHAnsi" w:hAnsiTheme="majorHAnsi"/>
                          <w:sz w:val="20"/>
                          <w:szCs w:val="20"/>
                        </w:rPr>
                        <w:t xml:space="preserve">and </w:t>
                      </w:r>
                      <w:r w:rsidR="00F97F91" w:rsidRPr="00820B09">
                        <w:rPr>
                          <w:rFonts w:asciiTheme="majorHAnsi" w:hAnsiTheme="majorHAnsi"/>
                          <w:sz w:val="20"/>
                          <w:szCs w:val="20"/>
                        </w:rPr>
                        <w:t>options to submi</w:t>
                      </w:r>
                      <w:r w:rsidRPr="00820B09">
                        <w:rPr>
                          <w:rFonts w:asciiTheme="majorHAnsi" w:hAnsiTheme="majorHAnsi"/>
                          <w:sz w:val="20"/>
                          <w:szCs w:val="20"/>
                        </w:rPr>
                        <w:t xml:space="preserve">t </w:t>
                      </w:r>
                      <w:r w:rsidR="00F97F91" w:rsidRPr="00820B09">
                        <w:rPr>
                          <w:rFonts w:asciiTheme="majorHAnsi" w:hAnsiTheme="majorHAnsi"/>
                          <w:sz w:val="20"/>
                          <w:szCs w:val="20"/>
                        </w:rPr>
                        <w:t>audio recording</w:t>
                      </w:r>
                      <w:r w:rsidRPr="00820B09">
                        <w:rPr>
                          <w:rFonts w:asciiTheme="majorHAnsi" w:hAnsiTheme="majorHAnsi"/>
                          <w:sz w:val="20"/>
                          <w:szCs w:val="20"/>
                        </w:rPr>
                        <w:t>s as well as text</w:t>
                      </w:r>
                      <w:r w:rsidR="00F97F91" w:rsidRPr="00820B09">
                        <w:rPr>
                          <w:rFonts w:asciiTheme="majorHAnsi" w:hAnsiTheme="majorHAnsi"/>
                          <w:sz w:val="20"/>
                          <w:szCs w:val="20"/>
                        </w:rPr>
                        <w:t>)</w:t>
                      </w:r>
                      <w:r w:rsidRPr="00820B09">
                        <w:rPr>
                          <w:rFonts w:asciiTheme="majorHAnsi" w:hAnsiTheme="majorHAnsi"/>
                          <w:sz w:val="20"/>
                          <w:szCs w:val="20"/>
                        </w:rPr>
                        <w:t>.</w:t>
                      </w:r>
                    </w:p>
                  </w:txbxContent>
                </v:textbox>
                <w10:wrap type="square"/>
              </v:shape>
            </w:pict>
          </mc:Fallback>
        </mc:AlternateContent>
      </w:r>
    </w:p>
    <w:p w14:paraId="45226705" w14:textId="4C0B91D8" w:rsidR="00D552DD" w:rsidRPr="00A608EE" w:rsidRDefault="00D552DD"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53D6F931" w14:textId="77777777" w:rsidR="00D552DD" w:rsidRPr="00A608EE" w:rsidRDefault="00D552DD" w:rsidP="00A27AAA">
      <w:pPr>
        <w:pStyle w:val="NormalWeb"/>
        <w:numPr>
          <w:ilvl w:val="0"/>
          <w:numId w:val="32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has a systemic process of conducting employee satisfaction surveys in place</w:t>
      </w:r>
    </w:p>
    <w:p w14:paraId="7922A67D" w14:textId="77777777" w:rsidR="00D552DD" w:rsidRPr="00A608EE" w:rsidRDefault="00D552DD" w:rsidP="00A27AAA">
      <w:pPr>
        <w:pStyle w:val="NormalWeb"/>
        <w:numPr>
          <w:ilvl w:val="1"/>
          <w:numId w:val="32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at least annually</w:t>
      </w:r>
    </w:p>
    <w:p w14:paraId="4159F382" w14:textId="77777777" w:rsidR="00D552DD" w:rsidRPr="00A608EE" w:rsidRDefault="00D552DD" w:rsidP="00A27AAA">
      <w:pPr>
        <w:pStyle w:val="NormalWeb"/>
        <w:numPr>
          <w:ilvl w:val="1"/>
          <w:numId w:val="32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with relevant samples covering all categories of employees</w:t>
      </w:r>
    </w:p>
    <w:p w14:paraId="32DFA3DC" w14:textId="77777777" w:rsidR="00D552DD" w:rsidRPr="00A608EE" w:rsidRDefault="00D552DD" w:rsidP="00A27AAA">
      <w:pPr>
        <w:pStyle w:val="NormalWeb"/>
        <w:numPr>
          <w:ilvl w:val="1"/>
          <w:numId w:val="32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where the results are analyzed by gender and other categories of employees, and</w:t>
      </w:r>
    </w:p>
    <w:p w14:paraId="489DFC66" w14:textId="77777777" w:rsidR="00D552DD" w:rsidRPr="00A608EE" w:rsidRDefault="00D552DD" w:rsidP="00A27AAA">
      <w:pPr>
        <w:pStyle w:val="NormalWeb"/>
        <w:numPr>
          <w:ilvl w:val="1"/>
          <w:numId w:val="32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shared with all employees.</w:t>
      </w:r>
    </w:p>
    <w:p w14:paraId="6FE8A7D9" w14:textId="77777777" w:rsidR="00D552DD" w:rsidRPr="00A608EE" w:rsidRDefault="00D552DD" w:rsidP="00A27AAA">
      <w:pPr>
        <w:pStyle w:val="NormalWeb"/>
        <w:numPr>
          <w:ilvl w:val="0"/>
          <w:numId w:val="32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one of the four requirements is largely not met. For instance, (i) the last employee satisfaction survey was conducted between 12 to 24 months ago or (ii) the survey sample was too limited or did not well represent the different categories of employees or (iii) the results were analyzed by gender only, but not by other employee categories or (iv) the results were shared with a few employees only.</w:t>
      </w:r>
    </w:p>
    <w:p w14:paraId="4B7C2505" w14:textId="77777777" w:rsidR="00D552DD" w:rsidRPr="00A608EE" w:rsidRDefault="00D552DD" w:rsidP="00A27AAA">
      <w:pPr>
        <w:pStyle w:val="NormalWeb"/>
        <w:numPr>
          <w:ilvl w:val="0"/>
          <w:numId w:val="32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there is no process in place to conduct employee satisfaction surveys or if three of the four requirements are largely not met.  </w:t>
      </w:r>
    </w:p>
    <w:p w14:paraId="75D4B625" w14:textId="77777777" w:rsidR="00D552DD" w:rsidRPr="00A608EE" w:rsidRDefault="00D552DD" w:rsidP="00EE208A">
      <w:pPr>
        <w:pStyle w:val="NormalWeb"/>
        <w:spacing w:before="0" w:beforeAutospacing="0" w:after="0" w:afterAutospacing="0"/>
        <w:jc w:val="both"/>
        <w:rPr>
          <w:rFonts w:asciiTheme="majorHAnsi" w:hAnsiTheme="majorHAnsi"/>
          <w:sz w:val="20"/>
          <w:szCs w:val="20"/>
        </w:rPr>
      </w:pPr>
    </w:p>
    <w:p w14:paraId="74A50DF3" w14:textId="209456DA" w:rsidR="00D552DD" w:rsidRPr="00A608EE" w:rsidRDefault="00D552DD"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7B151B02" w14:textId="77777777" w:rsidR="00D552DD" w:rsidRPr="00A608EE" w:rsidRDefault="00D552DD" w:rsidP="00A27AAA">
      <w:pPr>
        <w:pStyle w:val="NormalWeb"/>
        <w:numPr>
          <w:ilvl w:val="0"/>
          <w:numId w:val="32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w:t>
      </w:r>
    </w:p>
    <w:p w14:paraId="73BA261E" w14:textId="77777777" w:rsidR="00D552DD" w:rsidRPr="00A608EE" w:rsidRDefault="00D552DD" w:rsidP="00A27AAA">
      <w:pPr>
        <w:pStyle w:val="NormalWeb"/>
        <w:numPr>
          <w:ilvl w:val="0"/>
          <w:numId w:val="32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Methodology of the last employee satisfaction survey, including the sampling method.</w:t>
      </w:r>
    </w:p>
    <w:p w14:paraId="4755399F" w14:textId="77777777" w:rsidR="00D552DD" w:rsidRPr="00A608EE" w:rsidRDefault="00D552DD" w:rsidP="00A27AAA">
      <w:pPr>
        <w:pStyle w:val="NormalWeb"/>
        <w:numPr>
          <w:ilvl w:val="0"/>
          <w:numId w:val="32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Last two employee satisfaction survey reports.</w:t>
      </w:r>
    </w:p>
    <w:p w14:paraId="2B9051D2" w14:textId="77777777" w:rsidR="00D552DD" w:rsidRPr="00A608EE" w:rsidRDefault="00D552DD" w:rsidP="00A27AAA">
      <w:pPr>
        <w:pStyle w:val="NormalWeb"/>
        <w:numPr>
          <w:ilvl w:val="0"/>
          <w:numId w:val="32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the HR manager, the employee representatives (if existing), and different employees (women and men with office and field functions) and at different levels.</w:t>
      </w:r>
    </w:p>
    <w:p w14:paraId="07472EE6" w14:textId="77777777" w:rsidR="00D552DD" w:rsidRPr="00A608EE" w:rsidRDefault="00D552DD" w:rsidP="00EE208A">
      <w:pPr>
        <w:pStyle w:val="NormalWeb"/>
        <w:spacing w:before="0" w:beforeAutospacing="0" w:after="0" w:afterAutospacing="0"/>
        <w:jc w:val="both"/>
        <w:rPr>
          <w:rFonts w:asciiTheme="majorHAnsi" w:hAnsiTheme="majorHAnsi"/>
          <w:sz w:val="20"/>
          <w:szCs w:val="20"/>
        </w:rPr>
      </w:pPr>
    </w:p>
    <w:p w14:paraId="5A9F9C96" w14:textId="7C5C982F" w:rsidR="00D552DD" w:rsidRPr="00A608EE" w:rsidRDefault="00D552DD"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38470248" w14:textId="77777777" w:rsidR="00D552DD" w:rsidRPr="00A608EE" w:rsidRDefault="00D552DD" w:rsidP="00A27AAA">
      <w:pPr>
        <w:pStyle w:val="NormalWeb"/>
        <w:numPr>
          <w:ilvl w:val="0"/>
          <w:numId w:val="32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Description of how the formal grievance mechanism is functioning.</w:t>
      </w:r>
    </w:p>
    <w:p w14:paraId="172F4B31" w14:textId="77777777" w:rsidR="00D552DD" w:rsidRPr="00A608EE" w:rsidRDefault="00D552DD" w:rsidP="00A27AAA">
      <w:pPr>
        <w:pStyle w:val="NormalWeb"/>
        <w:numPr>
          <w:ilvl w:val="0"/>
          <w:numId w:val="32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Explain the channels available to employees to express grievances, and the level of understanding/knowledge about them.</w:t>
      </w:r>
    </w:p>
    <w:p w14:paraId="139F283C" w14:textId="77777777" w:rsidR="00D552DD" w:rsidRPr="00A608EE" w:rsidRDefault="00D552DD" w:rsidP="00EE208A">
      <w:pPr>
        <w:pStyle w:val="NormalWeb"/>
        <w:spacing w:before="0" w:beforeAutospacing="0" w:after="0" w:afterAutospacing="0"/>
        <w:jc w:val="both"/>
        <w:rPr>
          <w:rFonts w:asciiTheme="majorHAnsi" w:hAnsiTheme="majorHAnsi"/>
          <w:sz w:val="20"/>
          <w:szCs w:val="20"/>
        </w:rPr>
      </w:pPr>
    </w:p>
    <w:p w14:paraId="0C6451C6" w14:textId="50DEEFB7" w:rsidR="00D552DD" w:rsidRPr="00A608EE" w:rsidRDefault="00D552DD"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 / Guidance for implementation</w:t>
      </w:r>
    </w:p>
    <w:p w14:paraId="7FA1CA87" w14:textId="77777777" w:rsidR="00D552DD" w:rsidRPr="00A608EE" w:rsidRDefault="00D552DD" w:rsidP="00A27AAA">
      <w:pPr>
        <w:pStyle w:val="NormalWeb"/>
        <w:numPr>
          <w:ilvl w:val="0"/>
          <w:numId w:val="330"/>
        </w:numPr>
        <w:spacing w:before="0" w:beforeAutospacing="0" w:after="0" w:afterAutospacing="0"/>
        <w:jc w:val="both"/>
        <w:rPr>
          <w:rFonts w:asciiTheme="majorHAnsi" w:hAnsiTheme="majorHAnsi"/>
          <w:sz w:val="20"/>
          <w:szCs w:val="20"/>
        </w:rPr>
      </w:pPr>
      <w:hyperlink r:id="rId277" w:history="1">
        <w:r w:rsidRPr="00A608EE">
          <w:rPr>
            <w:rStyle w:val="Hyperlink"/>
            <w:rFonts w:asciiTheme="majorHAnsi" w:hAnsiTheme="majorHAnsi"/>
            <w:sz w:val="20"/>
            <w:szCs w:val="20"/>
          </w:rPr>
          <w:t>Guidance for Grievance Mechanisms</w:t>
        </w:r>
      </w:hyperlink>
    </w:p>
    <w:p w14:paraId="6A5B487F" w14:textId="77777777" w:rsidR="00D552DD" w:rsidRPr="00A608EE" w:rsidRDefault="00D552DD" w:rsidP="00EE208A">
      <w:pPr>
        <w:pStyle w:val="NormalWeb"/>
        <w:spacing w:before="0" w:beforeAutospacing="0" w:after="0" w:afterAutospacing="0"/>
        <w:jc w:val="both"/>
        <w:rPr>
          <w:rFonts w:asciiTheme="majorHAnsi" w:hAnsiTheme="majorHAnsi"/>
          <w:sz w:val="20"/>
          <w:szCs w:val="20"/>
        </w:rPr>
      </w:pPr>
    </w:p>
    <w:p w14:paraId="7CE3A6AF" w14:textId="5BD736B9" w:rsidR="00D552DD" w:rsidRPr="00A608EE" w:rsidRDefault="00D552DD"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5.B.2.2</w:t>
      </w:r>
    </w:p>
    <w:p w14:paraId="71EC34E7" w14:textId="0EED5B67" w:rsidR="488500BF" w:rsidRPr="00A608EE" w:rsidRDefault="488500BF" w:rsidP="00A27AAA">
      <w:pPr>
        <w:numPr>
          <w:ilvl w:val="0"/>
          <w:numId w:val="33"/>
        </w:numPr>
        <w:jc w:val="both"/>
        <w:rPr>
          <w:szCs w:val="20"/>
        </w:rPr>
      </w:pPr>
      <w:hyperlink r:id="rId278">
        <w:r w:rsidRPr="00A608EE">
          <w:rPr>
            <w:rStyle w:val="Hyperlink"/>
            <w:rFonts w:ascii="Work Sans" w:eastAsia="Work Sans" w:hAnsi="Work Sans" w:cs="Work Sans"/>
            <w:szCs w:val="20"/>
          </w:rPr>
          <w:t>FINCA Peru Grievance Mechanism</w:t>
        </w:r>
      </w:hyperlink>
    </w:p>
    <w:p w14:paraId="1F20527E" w14:textId="77777777" w:rsidR="00B23185" w:rsidRPr="00A608EE" w:rsidRDefault="00B23185" w:rsidP="00EE208A">
      <w:pPr>
        <w:jc w:val="both"/>
        <w:rPr>
          <w:rFonts w:asciiTheme="majorHAnsi" w:hAnsiTheme="majorHAnsi"/>
          <w:szCs w:val="20"/>
        </w:rPr>
      </w:pPr>
    </w:p>
    <w:p w14:paraId="48349FDC" w14:textId="77777777" w:rsidR="00171447" w:rsidRPr="00A608EE" w:rsidRDefault="00171447" w:rsidP="00EE208A">
      <w:pPr>
        <w:jc w:val="both"/>
        <w:rPr>
          <w:rFonts w:asciiTheme="majorHAnsi" w:hAnsiTheme="majorHAnsi"/>
          <w:szCs w:val="20"/>
        </w:rPr>
      </w:pPr>
    </w:p>
    <w:p w14:paraId="12F63A02" w14:textId="6DF99989" w:rsidR="008868F1" w:rsidRPr="00A608EE" w:rsidRDefault="008868F1" w:rsidP="00EE208A">
      <w:pPr>
        <w:pStyle w:val="Heading4"/>
        <w:spacing w:before="0" w:line="240" w:lineRule="auto"/>
        <w:jc w:val="both"/>
      </w:pPr>
      <w:r w:rsidRPr="00A608EE">
        <w:rPr>
          <w:rStyle w:val="text-primary"/>
        </w:rPr>
        <w:t>5.B.2.3</w:t>
      </w:r>
      <w:r w:rsidRPr="00A608EE">
        <w:t xml:space="preserve"> </w:t>
      </w:r>
      <w:r w:rsidR="00D552DD" w:rsidRPr="00A608EE">
        <w:t>The provider surveys employees on satisfaction and concerns with employment conditions. Minimum frequency: annually.</w:t>
      </w:r>
    </w:p>
    <w:p w14:paraId="49F2227A" w14:textId="77777777" w:rsidR="004136BB" w:rsidRPr="00A608EE" w:rsidRDefault="004136BB" w:rsidP="00EE208A">
      <w:pPr>
        <w:jc w:val="both"/>
        <w:rPr>
          <w:rFonts w:asciiTheme="majorHAnsi" w:hAnsiTheme="majorHAnsi"/>
          <w:szCs w:val="20"/>
        </w:rPr>
      </w:pPr>
    </w:p>
    <w:p w14:paraId="78F86800" w14:textId="77777777" w:rsidR="00571480" w:rsidRPr="00A608EE" w:rsidRDefault="00571480" w:rsidP="00EE208A">
      <w:pPr>
        <w:pStyle w:val="NormalWeb"/>
        <w:spacing w:before="0" w:beforeAutospacing="0" w:after="0" w:afterAutospacing="0"/>
        <w:jc w:val="both"/>
        <w:rPr>
          <w:rFonts w:ascii="Segoe UI Emoji" w:hAnsi="Segoe UI Emoji" w:cs="Segoe UI Emoji"/>
          <w:b/>
          <w:bCs/>
          <w:sz w:val="20"/>
          <w:szCs w:val="20"/>
        </w:rPr>
      </w:pPr>
    </w:p>
    <w:p w14:paraId="76770CC1" w14:textId="0CCEEA1F" w:rsidR="00171447"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171447"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0D68407C" w14:textId="7699ACB9" w:rsidR="00171447" w:rsidRPr="00A608EE" w:rsidRDefault="00171447" w:rsidP="00D402B3">
      <w:pPr>
        <w:pStyle w:val="NormalWeb"/>
        <w:spacing w:before="120" w:beforeAutospacing="0" w:after="120" w:afterAutospacing="0"/>
        <w:jc w:val="both"/>
        <w:rPr>
          <w:rFonts w:asciiTheme="majorHAnsi" w:hAnsiTheme="majorHAnsi"/>
          <w:sz w:val="20"/>
          <w:szCs w:val="20"/>
        </w:rPr>
      </w:pPr>
    </w:p>
    <w:p w14:paraId="75B1F816" w14:textId="77777777" w:rsidR="00D552DD" w:rsidRPr="00A608EE" w:rsidRDefault="00D552DD" w:rsidP="00EE208A">
      <w:pPr>
        <w:jc w:val="both"/>
        <w:rPr>
          <w:rFonts w:asciiTheme="majorHAnsi" w:hAnsiTheme="majorHAnsi"/>
          <w:sz w:val="20"/>
          <w:szCs w:val="20"/>
          <w:lang w:eastAsia="fr-FR"/>
        </w:rPr>
      </w:pPr>
      <w:r w:rsidRPr="00A608EE">
        <w:rPr>
          <w:rFonts w:asciiTheme="majorHAnsi" w:hAnsiTheme="majorHAnsi"/>
          <w:sz w:val="20"/>
          <w:szCs w:val="20"/>
          <w:lang w:eastAsia="fr-FR"/>
        </w:rPr>
        <w:t>The level of employees’ satisfaction can be a proxy for “decent work conditions”. Monitoring employee satisfaction can help ensure the smooth functioning of a team and sends a message that senior management values employee feedback. Providers should conduct employee satisfaction surveys regularly, at least annually, on at least a representative sample of employees (i.e., the survey should cover all types of employees) and the results should be broken down by gender, office/field functions, seniority/age, etc.</w:t>
      </w:r>
    </w:p>
    <w:p w14:paraId="688CF96D" w14:textId="77777777" w:rsidR="00672763" w:rsidRPr="00A608EE" w:rsidRDefault="00672763" w:rsidP="00EE208A">
      <w:pPr>
        <w:jc w:val="both"/>
        <w:rPr>
          <w:rFonts w:asciiTheme="majorHAnsi" w:hAnsiTheme="majorHAnsi"/>
          <w:sz w:val="20"/>
          <w:szCs w:val="20"/>
          <w:lang w:eastAsia="fr-FR"/>
        </w:rPr>
      </w:pPr>
    </w:p>
    <w:p w14:paraId="6A9DE329"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04000" behindDoc="1" locked="0" layoutInCell="1" allowOverlap="1" wp14:anchorId="46208000" wp14:editId="7FAC1FDC">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02327393"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0ED4C88" w14:textId="77777777" w:rsidR="00672763" w:rsidRPr="00A608EE" w:rsidRDefault="00672763" w:rsidP="00EE208A">
      <w:pPr>
        <w:jc w:val="both"/>
        <w:rPr>
          <w:rFonts w:asciiTheme="majorHAnsi" w:hAnsiTheme="majorHAnsi"/>
          <w:sz w:val="20"/>
          <w:szCs w:val="20"/>
          <w:lang w:eastAsia="fr-FR"/>
        </w:rPr>
      </w:pPr>
    </w:p>
    <w:p w14:paraId="722CD76B" w14:textId="49B451B6" w:rsidR="00F97F91" w:rsidRPr="00A608EE" w:rsidRDefault="00F26FB9" w:rsidP="00EE208A">
      <w:pPr>
        <w:jc w:val="both"/>
        <w:rPr>
          <w:rFonts w:asciiTheme="majorHAnsi" w:hAnsiTheme="majorHAnsi"/>
          <w:sz w:val="20"/>
          <w:szCs w:val="20"/>
          <w:lang w:eastAsia="fr-FR"/>
        </w:rPr>
      </w:pPr>
      <w:r w:rsidRPr="00A608EE">
        <w:rPr>
          <w:noProof/>
        </w:rPr>
        <mc:AlternateContent>
          <mc:Choice Requires="wps">
            <w:drawing>
              <wp:anchor distT="0" distB="0" distL="114300" distR="114300" simplePos="0" relativeHeight="251735040" behindDoc="0" locked="0" layoutInCell="1" allowOverlap="1" wp14:anchorId="0CCB2120" wp14:editId="743ABC19">
                <wp:simplePos x="0" y="0"/>
                <wp:positionH relativeFrom="column">
                  <wp:posOffset>-23495</wp:posOffset>
                </wp:positionH>
                <wp:positionV relativeFrom="paragraph">
                  <wp:posOffset>445770</wp:posOffset>
                </wp:positionV>
                <wp:extent cx="1828800" cy="4032250"/>
                <wp:effectExtent l="0" t="0" r="24130" b="25400"/>
                <wp:wrapSquare wrapText="bothSides"/>
                <wp:docPr id="468060881" name="Cuadro de texto 1"/>
                <wp:cNvGraphicFramePr/>
                <a:graphic xmlns:a="http://schemas.openxmlformats.org/drawingml/2006/main">
                  <a:graphicData uri="http://schemas.microsoft.com/office/word/2010/wordprocessingShape">
                    <wps:wsp>
                      <wps:cNvSpPr txBox="1"/>
                      <wps:spPr>
                        <a:xfrm>
                          <a:off x="0" y="0"/>
                          <a:ext cx="1828800" cy="4032250"/>
                        </a:xfrm>
                        <a:prstGeom prst="rect">
                          <a:avLst/>
                        </a:prstGeom>
                        <a:noFill/>
                        <a:ln w="6350">
                          <a:solidFill>
                            <a:prstClr val="black"/>
                          </a:solidFill>
                        </a:ln>
                      </wps:spPr>
                      <wps:txbx>
                        <w:txbxContent>
                          <w:p w14:paraId="7CEA2018" w14:textId="23AFB400" w:rsidR="00F97F91" w:rsidRPr="00820B09" w:rsidRDefault="0084416A" w:rsidP="00EE208A">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F97F91" w:rsidRPr="00820B09">
                              <w:rPr>
                                <w:rFonts w:asciiTheme="majorHAnsi" w:hAnsiTheme="majorHAnsi"/>
                                <w:b/>
                                <w:bCs/>
                                <w:sz w:val="20"/>
                                <w:szCs w:val="15"/>
                                <w:lang w:eastAsia="fr-FR"/>
                              </w:rPr>
                              <w:t>5.B.2.3</w:t>
                            </w:r>
                          </w:p>
                          <w:p w14:paraId="7C6E122D" w14:textId="77777777" w:rsidR="00F97F91" w:rsidRPr="00820B09" w:rsidRDefault="00F97F91" w:rsidP="00EE208A">
                            <w:pPr>
                              <w:jc w:val="both"/>
                              <w:rPr>
                                <w:rFonts w:asciiTheme="majorHAnsi" w:hAnsiTheme="majorHAnsi"/>
                                <w:sz w:val="20"/>
                                <w:szCs w:val="15"/>
                                <w:lang w:eastAsia="fr-FR"/>
                              </w:rPr>
                            </w:pPr>
                          </w:p>
                          <w:p w14:paraId="39B57B46" w14:textId="69381AEF" w:rsidR="006030B1" w:rsidRPr="00820B09" w:rsidRDefault="006030B1" w:rsidP="006030B1">
                            <w:pPr>
                              <w:jc w:val="both"/>
                              <w:rPr>
                                <w:rFonts w:asciiTheme="majorHAnsi" w:hAnsiTheme="majorHAnsi"/>
                                <w:sz w:val="20"/>
                                <w:szCs w:val="15"/>
                                <w:lang w:eastAsia="fr-FR"/>
                              </w:rPr>
                            </w:pPr>
                            <w:r w:rsidRPr="00820B09">
                              <w:rPr>
                                <w:rFonts w:asciiTheme="majorHAnsi" w:hAnsiTheme="majorHAnsi"/>
                                <w:sz w:val="20"/>
                                <w:szCs w:val="15"/>
                                <w:lang w:eastAsia="fr-FR"/>
                              </w:rPr>
                              <w:t xml:space="preserve">Disaggregation of reporting from employee satisfaction surveys by disability status provides valuable data for the providers to make the organization more inclusive, to identify specific areas of concern to employees with disabilities, and address areas of potential inequalities. </w:t>
                            </w:r>
                          </w:p>
                          <w:p w14:paraId="447B0870" w14:textId="77777777" w:rsidR="006030B1" w:rsidRPr="00820B09" w:rsidRDefault="006030B1" w:rsidP="006030B1">
                            <w:pPr>
                              <w:jc w:val="both"/>
                              <w:rPr>
                                <w:rFonts w:asciiTheme="majorHAnsi" w:hAnsiTheme="majorHAnsi"/>
                                <w:sz w:val="20"/>
                                <w:szCs w:val="15"/>
                                <w:lang w:eastAsia="fr-FR"/>
                              </w:rPr>
                            </w:pPr>
                          </w:p>
                          <w:p w14:paraId="0510BBBD" w14:textId="432098CD" w:rsidR="006030B1" w:rsidRPr="00820B09" w:rsidRDefault="006030B1" w:rsidP="006030B1">
                            <w:pPr>
                              <w:jc w:val="both"/>
                              <w:rPr>
                                <w:rFonts w:asciiTheme="majorHAnsi" w:hAnsiTheme="majorHAnsi"/>
                                <w:sz w:val="20"/>
                                <w:szCs w:val="15"/>
                                <w:lang w:eastAsia="fr-FR"/>
                              </w:rPr>
                            </w:pPr>
                            <w:r w:rsidRPr="00820B09">
                              <w:rPr>
                                <w:rFonts w:asciiTheme="majorHAnsi" w:hAnsiTheme="majorHAnsi"/>
                                <w:sz w:val="20"/>
                                <w:szCs w:val="15"/>
                                <w:lang w:eastAsia="fr-FR"/>
                              </w:rPr>
                              <w:t xml:space="preserve">Include questions in surveys to identify satisfaction or concerns about non-discrimination, equality and inclusion in the organization, accessibility of the workplace, and the provision of reasonable accommodation for employees. These questions should be asked for all employees. </w:t>
                            </w:r>
                          </w:p>
                          <w:p w14:paraId="2CB75E58" w14:textId="77777777" w:rsidR="006030B1" w:rsidRPr="00820B09" w:rsidRDefault="006030B1" w:rsidP="00F97F91">
                            <w:pPr>
                              <w:jc w:val="both"/>
                              <w:rPr>
                                <w:rFonts w:asciiTheme="majorHAnsi" w:hAnsiTheme="majorHAnsi"/>
                                <w:sz w:val="20"/>
                                <w:szCs w:val="15"/>
                                <w:lang w:eastAsia="fr-FR"/>
                              </w:rPr>
                            </w:pPr>
                          </w:p>
                          <w:p w14:paraId="18B6922A" w14:textId="2059B667" w:rsidR="006030B1" w:rsidRPr="00820B09" w:rsidRDefault="00741AB2" w:rsidP="00F97F91">
                            <w:pPr>
                              <w:jc w:val="both"/>
                              <w:rPr>
                                <w:rFonts w:asciiTheme="majorHAnsi" w:hAnsiTheme="majorHAnsi"/>
                                <w:sz w:val="20"/>
                                <w:szCs w:val="15"/>
                                <w:lang w:eastAsia="fr-FR"/>
                              </w:rPr>
                            </w:pPr>
                            <w:r w:rsidRPr="00820B09">
                              <w:rPr>
                                <w:rFonts w:asciiTheme="majorHAnsi" w:hAnsiTheme="majorHAnsi"/>
                                <w:sz w:val="20"/>
                                <w:szCs w:val="15"/>
                                <w:lang w:eastAsia="fr-FR"/>
                              </w:rPr>
                              <w:t xml:space="preserve">Employee satisfaction </w:t>
                            </w:r>
                            <w:r w:rsidR="006030B1" w:rsidRPr="00820B09">
                              <w:rPr>
                                <w:rFonts w:asciiTheme="majorHAnsi" w:hAnsiTheme="majorHAnsi"/>
                                <w:sz w:val="20"/>
                                <w:szCs w:val="15"/>
                                <w:lang w:eastAsia="fr-FR"/>
                              </w:rPr>
                              <w:t xml:space="preserve">surveys should allow employees to identify their disability status on a voluntary basis (including "prefer not to say" as a response option). Survey results reported to management should be disaggregated by disability status and gender where possible while preserving anonymity of individual responses (in general, it requires the number of employees in a sub-group to be greater than ten to disaggregate that sub-group for reporting, in order to preserve the anonymity of respondents). </w:t>
                            </w:r>
                          </w:p>
                          <w:p w14:paraId="4E61F20E" w14:textId="77777777" w:rsidR="006030B1" w:rsidRPr="00820B09" w:rsidRDefault="006030B1" w:rsidP="00F97F91">
                            <w:pPr>
                              <w:jc w:val="both"/>
                              <w:rPr>
                                <w:rFonts w:asciiTheme="majorHAnsi" w:hAnsiTheme="majorHAnsi"/>
                                <w:sz w:val="20"/>
                                <w:szCs w:val="15"/>
                                <w:lang w:eastAsia="fr-FR"/>
                              </w:rPr>
                            </w:pPr>
                          </w:p>
                          <w:p w14:paraId="47EA7220" w14:textId="696F539D" w:rsidR="006030B1" w:rsidRPr="00820B09" w:rsidRDefault="006030B1" w:rsidP="00F97F91">
                            <w:pPr>
                              <w:jc w:val="both"/>
                              <w:rPr>
                                <w:rFonts w:asciiTheme="majorHAnsi" w:hAnsiTheme="majorHAnsi"/>
                                <w:sz w:val="20"/>
                                <w:szCs w:val="15"/>
                                <w:lang w:eastAsia="fr-FR"/>
                              </w:rPr>
                            </w:pPr>
                            <w:r w:rsidRPr="00820B09">
                              <w:rPr>
                                <w:rFonts w:asciiTheme="majorHAnsi" w:hAnsiTheme="majorHAnsi"/>
                                <w:sz w:val="20"/>
                                <w:szCs w:val="15"/>
                                <w:lang w:eastAsia="fr-FR"/>
                              </w:rPr>
                              <w:t xml:space="preserve">Where this is not possible (e.g. for smaller FSPs with fewer employees), or to provide further feedback, the provider should consider alternative feedback channels for employees with disabilities to raise feedback and concerns anonymously. For </w:t>
                            </w:r>
                            <w:r w:rsidR="00C830BD" w:rsidRPr="00820B09">
                              <w:rPr>
                                <w:rFonts w:asciiTheme="majorHAnsi" w:hAnsiTheme="majorHAnsi"/>
                                <w:sz w:val="20"/>
                                <w:szCs w:val="15"/>
                                <w:lang w:eastAsia="fr-FR"/>
                              </w:rPr>
                              <w:t>example, consider nominating disability inclusion focal point(s), to provide a point of contact and confidential support for employees with disabilities, and for staff with questions on inclusive practices.</w:t>
                            </w:r>
                          </w:p>
                          <w:p w14:paraId="3D042D33" w14:textId="77777777" w:rsidR="006030B1" w:rsidRPr="00820B09" w:rsidRDefault="006030B1" w:rsidP="00F97F91">
                            <w:pPr>
                              <w:jc w:val="both"/>
                              <w:rPr>
                                <w:rFonts w:asciiTheme="majorHAnsi" w:hAnsiTheme="majorHAnsi"/>
                                <w:sz w:val="20"/>
                                <w:szCs w:val="15"/>
                                <w:lang w:eastAsia="fr-FR"/>
                              </w:rPr>
                            </w:pPr>
                          </w:p>
                          <w:p w14:paraId="34151151" w14:textId="77777777" w:rsidR="00F97F91" w:rsidRPr="00820B09" w:rsidRDefault="00F97F91" w:rsidP="00F97F91">
                            <w:pPr>
                              <w:jc w:val="both"/>
                              <w:rPr>
                                <w:rFonts w:asciiTheme="majorHAnsi" w:hAnsiTheme="majorHAnsi"/>
                                <w:sz w:val="20"/>
                                <w:szCs w:val="15"/>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CB2120" id="_x0000_s1067" type="#_x0000_t202" style="position:absolute;left:0;text-align:left;margin-left:-1.85pt;margin-top:35.1pt;width:2in;height:317.5pt;z-index:2517350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" filled="f" strokeweight=".5pt">
                <v:textbox>
                  <w:txbxContent>
                    <w:p w14:paraId="7CEA2018" w14:textId="23AFB400" w:rsidR="00F97F91" w:rsidRPr="00820B09" w:rsidRDefault="0084416A" w:rsidP="00EE208A">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F97F91" w:rsidRPr="00820B09">
                        <w:rPr>
                          <w:rFonts w:asciiTheme="majorHAnsi" w:hAnsiTheme="majorHAnsi"/>
                          <w:b/>
                          <w:bCs/>
                          <w:sz w:val="20"/>
                          <w:szCs w:val="15"/>
                          <w:lang w:eastAsia="fr-FR"/>
                        </w:rPr>
                        <w:t>5.B.2.3</w:t>
                      </w:r>
                    </w:p>
                    <w:p w14:paraId="7C6E122D" w14:textId="77777777" w:rsidR="00F97F91" w:rsidRPr="00820B09" w:rsidRDefault="00F97F91" w:rsidP="00EE208A">
                      <w:pPr>
                        <w:jc w:val="both"/>
                        <w:rPr>
                          <w:rFonts w:asciiTheme="majorHAnsi" w:hAnsiTheme="majorHAnsi"/>
                          <w:sz w:val="20"/>
                          <w:szCs w:val="15"/>
                          <w:lang w:eastAsia="fr-FR"/>
                        </w:rPr>
                      </w:pPr>
                    </w:p>
                    <w:p w14:paraId="39B57B46" w14:textId="69381AEF" w:rsidR="006030B1" w:rsidRPr="00820B09" w:rsidRDefault="006030B1" w:rsidP="006030B1">
                      <w:pPr>
                        <w:jc w:val="both"/>
                        <w:rPr>
                          <w:rFonts w:asciiTheme="majorHAnsi" w:hAnsiTheme="majorHAnsi"/>
                          <w:sz w:val="20"/>
                          <w:szCs w:val="15"/>
                          <w:lang w:eastAsia="fr-FR"/>
                        </w:rPr>
                      </w:pPr>
                      <w:r w:rsidRPr="00820B09">
                        <w:rPr>
                          <w:rFonts w:asciiTheme="majorHAnsi" w:hAnsiTheme="majorHAnsi"/>
                          <w:sz w:val="20"/>
                          <w:szCs w:val="15"/>
                          <w:lang w:eastAsia="fr-FR"/>
                        </w:rPr>
                        <w:t xml:space="preserve">Disaggregation of reporting from employee satisfaction surveys by disability status provides valuable data for the providers to make the organization more inclusive, to identify specific areas of concern to employees with disabilities, and address areas of potential inequalities. </w:t>
                      </w:r>
                    </w:p>
                    <w:p w14:paraId="447B0870" w14:textId="77777777" w:rsidR="006030B1" w:rsidRPr="00820B09" w:rsidRDefault="006030B1" w:rsidP="006030B1">
                      <w:pPr>
                        <w:jc w:val="both"/>
                        <w:rPr>
                          <w:rFonts w:asciiTheme="majorHAnsi" w:hAnsiTheme="majorHAnsi"/>
                          <w:sz w:val="20"/>
                          <w:szCs w:val="15"/>
                          <w:lang w:eastAsia="fr-FR"/>
                        </w:rPr>
                      </w:pPr>
                    </w:p>
                    <w:p w14:paraId="0510BBBD" w14:textId="432098CD" w:rsidR="006030B1" w:rsidRPr="00820B09" w:rsidRDefault="006030B1" w:rsidP="006030B1">
                      <w:pPr>
                        <w:jc w:val="both"/>
                        <w:rPr>
                          <w:rFonts w:asciiTheme="majorHAnsi" w:hAnsiTheme="majorHAnsi"/>
                          <w:sz w:val="20"/>
                          <w:szCs w:val="15"/>
                          <w:lang w:eastAsia="fr-FR"/>
                        </w:rPr>
                      </w:pPr>
                      <w:r w:rsidRPr="00820B09">
                        <w:rPr>
                          <w:rFonts w:asciiTheme="majorHAnsi" w:hAnsiTheme="majorHAnsi"/>
                          <w:sz w:val="20"/>
                          <w:szCs w:val="15"/>
                          <w:lang w:eastAsia="fr-FR"/>
                        </w:rPr>
                        <w:t xml:space="preserve">Include questions in surveys to identify satisfaction or concerns about non-discrimination, equality and inclusion in the organization, accessibility of the workplace, and the provision of reasonable accommodation for employees. These questions should be asked for all employees. </w:t>
                      </w:r>
                    </w:p>
                    <w:p w14:paraId="2CB75E58" w14:textId="77777777" w:rsidR="006030B1" w:rsidRPr="00820B09" w:rsidRDefault="006030B1" w:rsidP="00F97F91">
                      <w:pPr>
                        <w:jc w:val="both"/>
                        <w:rPr>
                          <w:rFonts w:asciiTheme="majorHAnsi" w:hAnsiTheme="majorHAnsi"/>
                          <w:sz w:val="20"/>
                          <w:szCs w:val="15"/>
                          <w:lang w:eastAsia="fr-FR"/>
                        </w:rPr>
                      </w:pPr>
                    </w:p>
                    <w:p w14:paraId="18B6922A" w14:textId="2059B667" w:rsidR="006030B1" w:rsidRPr="00820B09" w:rsidRDefault="00741AB2" w:rsidP="00F97F91">
                      <w:pPr>
                        <w:jc w:val="both"/>
                        <w:rPr>
                          <w:rFonts w:asciiTheme="majorHAnsi" w:hAnsiTheme="majorHAnsi"/>
                          <w:sz w:val="20"/>
                          <w:szCs w:val="15"/>
                          <w:lang w:eastAsia="fr-FR"/>
                        </w:rPr>
                      </w:pPr>
                      <w:r w:rsidRPr="00820B09">
                        <w:rPr>
                          <w:rFonts w:asciiTheme="majorHAnsi" w:hAnsiTheme="majorHAnsi"/>
                          <w:sz w:val="20"/>
                          <w:szCs w:val="15"/>
                          <w:lang w:eastAsia="fr-FR"/>
                        </w:rPr>
                        <w:t xml:space="preserve">Employee satisfaction </w:t>
                      </w:r>
                      <w:r w:rsidR="006030B1" w:rsidRPr="00820B09">
                        <w:rPr>
                          <w:rFonts w:asciiTheme="majorHAnsi" w:hAnsiTheme="majorHAnsi"/>
                          <w:sz w:val="20"/>
                          <w:szCs w:val="15"/>
                          <w:lang w:eastAsia="fr-FR"/>
                        </w:rPr>
                        <w:t xml:space="preserve">surveys should allow employees to identify their disability status on a voluntary basis (including "prefer not to say" as a response option). Survey results reported to management should be disaggregated by disability status and gender where possible while preserving anonymity of individual responses (in general, it requires the number of employees in a sub-group to be greater than ten to disaggregate that sub-group for reporting, in order to preserve the anonymity of respondents). </w:t>
                      </w:r>
                    </w:p>
                    <w:p w14:paraId="4E61F20E" w14:textId="77777777" w:rsidR="006030B1" w:rsidRPr="00820B09" w:rsidRDefault="006030B1" w:rsidP="00F97F91">
                      <w:pPr>
                        <w:jc w:val="both"/>
                        <w:rPr>
                          <w:rFonts w:asciiTheme="majorHAnsi" w:hAnsiTheme="majorHAnsi"/>
                          <w:sz w:val="20"/>
                          <w:szCs w:val="15"/>
                          <w:lang w:eastAsia="fr-FR"/>
                        </w:rPr>
                      </w:pPr>
                    </w:p>
                    <w:p w14:paraId="47EA7220" w14:textId="696F539D" w:rsidR="006030B1" w:rsidRPr="00820B09" w:rsidRDefault="006030B1" w:rsidP="00F97F91">
                      <w:pPr>
                        <w:jc w:val="both"/>
                        <w:rPr>
                          <w:rFonts w:asciiTheme="majorHAnsi" w:hAnsiTheme="majorHAnsi"/>
                          <w:sz w:val="20"/>
                          <w:szCs w:val="15"/>
                          <w:lang w:eastAsia="fr-FR"/>
                        </w:rPr>
                      </w:pPr>
                      <w:r w:rsidRPr="00820B09">
                        <w:rPr>
                          <w:rFonts w:asciiTheme="majorHAnsi" w:hAnsiTheme="majorHAnsi"/>
                          <w:sz w:val="20"/>
                          <w:szCs w:val="15"/>
                          <w:lang w:eastAsia="fr-FR"/>
                        </w:rPr>
                        <w:t xml:space="preserve">Where this is not possible (e.g. for smaller FSPs with fewer employees), or to provide further feedback, the provider should consider alternative feedback channels for employees with disabilities to raise feedback and concerns anonymously. For </w:t>
                      </w:r>
                      <w:r w:rsidR="00C830BD" w:rsidRPr="00820B09">
                        <w:rPr>
                          <w:rFonts w:asciiTheme="majorHAnsi" w:hAnsiTheme="majorHAnsi"/>
                          <w:sz w:val="20"/>
                          <w:szCs w:val="15"/>
                          <w:lang w:eastAsia="fr-FR"/>
                        </w:rPr>
                        <w:t>example, consider nominating disability inclusion focal point(s), to provide a point of contact and confidential support for employees with disabilities, and for staff with questions on inclusive practices.</w:t>
                      </w:r>
                    </w:p>
                    <w:p w14:paraId="3D042D33" w14:textId="77777777" w:rsidR="006030B1" w:rsidRPr="00820B09" w:rsidRDefault="006030B1" w:rsidP="00F97F91">
                      <w:pPr>
                        <w:jc w:val="both"/>
                        <w:rPr>
                          <w:rFonts w:asciiTheme="majorHAnsi" w:hAnsiTheme="majorHAnsi"/>
                          <w:sz w:val="20"/>
                          <w:szCs w:val="15"/>
                          <w:lang w:eastAsia="fr-FR"/>
                        </w:rPr>
                      </w:pPr>
                    </w:p>
                    <w:p w14:paraId="34151151" w14:textId="77777777" w:rsidR="00F97F91" w:rsidRPr="00820B09" w:rsidRDefault="00F97F91" w:rsidP="00F97F91">
                      <w:pPr>
                        <w:jc w:val="both"/>
                        <w:rPr>
                          <w:rFonts w:asciiTheme="majorHAnsi" w:hAnsiTheme="majorHAnsi"/>
                          <w:sz w:val="20"/>
                          <w:szCs w:val="15"/>
                          <w:lang w:eastAsia="fr-FR"/>
                        </w:rPr>
                      </w:pPr>
                    </w:p>
                  </w:txbxContent>
                </v:textbox>
                <w10:wrap type="square"/>
              </v:shape>
            </w:pict>
          </mc:Fallback>
        </mc:AlternateContent>
      </w:r>
      <w:r w:rsidR="00386AB6" w:rsidRPr="00A608EE">
        <w:rPr>
          <w:rFonts w:ascii="Work Sans" w:hAnsi="Work Sans"/>
          <w:b/>
          <w:bCs/>
          <w:sz w:val="20"/>
          <w:szCs w:val="20"/>
          <w:lang w:eastAsia="fr-FR"/>
        </w:rPr>
        <w:t>DI Indicator:</w:t>
      </w:r>
      <w:r w:rsidR="00386AB6" w:rsidRPr="00A608EE">
        <w:rPr>
          <w:rFonts w:ascii="Work Sans" w:hAnsi="Work Sans"/>
          <w:sz w:val="20"/>
          <w:szCs w:val="20"/>
          <w:lang w:eastAsia="fr-FR"/>
        </w:rPr>
        <w:t xml:space="preserve"> </w:t>
      </w:r>
      <w:r w:rsidR="00F97F91" w:rsidRPr="00A608EE">
        <w:rPr>
          <w:rFonts w:asciiTheme="majorHAnsi" w:hAnsiTheme="majorHAnsi"/>
          <w:sz w:val="20"/>
          <w:szCs w:val="20"/>
          <w:lang w:eastAsia="fr-FR"/>
        </w:rPr>
        <w:t>The provider measure satisfaction and concerns of employees with disabilities with employment conditions, both in general and related to their specific needs.</w:t>
      </w:r>
    </w:p>
    <w:p w14:paraId="1943A8CD" w14:textId="04A3B713" w:rsidR="00F97F91" w:rsidRPr="00A608EE" w:rsidRDefault="00F97F91" w:rsidP="00EE208A">
      <w:pPr>
        <w:jc w:val="both"/>
        <w:rPr>
          <w:rFonts w:asciiTheme="majorHAnsi" w:hAnsiTheme="majorHAnsi"/>
          <w:sz w:val="20"/>
          <w:szCs w:val="20"/>
          <w:lang w:eastAsia="fr-FR"/>
        </w:rPr>
      </w:pPr>
    </w:p>
    <w:p w14:paraId="6C99E1F4" w14:textId="4150B9DA" w:rsidR="00F97F91" w:rsidRPr="00A608EE" w:rsidRDefault="00F97F91" w:rsidP="00EE208A">
      <w:pPr>
        <w:jc w:val="both"/>
        <w:rPr>
          <w:rFonts w:asciiTheme="majorHAnsi" w:hAnsiTheme="majorHAnsi"/>
          <w:szCs w:val="20"/>
          <w:lang w:eastAsia="fr-FR"/>
        </w:rPr>
      </w:pPr>
    </w:p>
    <w:p w14:paraId="47875090" w14:textId="550E3A75" w:rsidR="00D552DD" w:rsidRPr="00A608EE" w:rsidRDefault="00D552DD"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2D2A85CC" w14:textId="77777777" w:rsidR="00D552DD" w:rsidRPr="00A608EE" w:rsidRDefault="00D552DD" w:rsidP="00A27AAA">
      <w:pPr>
        <w:numPr>
          <w:ilvl w:val="0"/>
          <w:numId w:val="331"/>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has a systemic process of conducting employee satisfaction surveys in place</w:t>
      </w:r>
    </w:p>
    <w:p w14:paraId="535BA2A6" w14:textId="77777777" w:rsidR="00D552DD" w:rsidRPr="00A608EE" w:rsidRDefault="00D552DD" w:rsidP="00A27AAA">
      <w:pPr>
        <w:numPr>
          <w:ilvl w:val="1"/>
          <w:numId w:val="331"/>
        </w:numPr>
        <w:jc w:val="both"/>
        <w:rPr>
          <w:rFonts w:asciiTheme="majorHAnsi" w:hAnsiTheme="majorHAnsi"/>
          <w:sz w:val="20"/>
          <w:szCs w:val="20"/>
          <w:lang w:eastAsia="fr-FR"/>
        </w:rPr>
      </w:pPr>
      <w:r w:rsidRPr="00A608EE">
        <w:rPr>
          <w:rFonts w:asciiTheme="majorHAnsi" w:hAnsiTheme="majorHAnsi"/>
          <w:sz w:val="20"/>
          <w:szCs w:val="20"/>
          <w:lang w:eastAsia="fr-FR"/>
        </w:rPr>
        <w:t>at least annually</w:t>
      </w:r>
    </w:p>
    <w:p w14:paraId="7D7B9557" w14:textId="77777777" w:rsidR="00D552DD" w:rsidRPr="00A608EE" w:rsidRDefault="00D552DD" w:rsidP="00A27AAA">
      <w:pPr>
        <w:numPr>
          <w:ilvl w:val="1"/>
          <w:numId w:val="331"/>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with relevant samples covering all categories of employees (3) where the results are analyzed by gender and other categories of employees, and</w:t>
      </w:r>
    </w:p>
    <w:p w14:paraId="091D1F0C" w14:textId="77777777" w:rsidR="00D552DD" w:rsidRPr="00A608EE" w:rsidRDefault="00D552DD" w:rsidP="00A27AAA">
      <w:pPr>
        <w:numPr>
          <w:ilvl w:val="1"/>
          <w:numId w:val="331"/>
        </w:numPr>
        <w:jc w:val="both"/>
        <w:rPr>
          <w:rFonts w:asciiTheme="majorHAnsi" w:hAnsiTheme="majorHAnsi"/>
          <w:sz w:val="20"/>
          <w:szCs w:val="20"/>
          <w:lang w:eastAsia="fr-FR"/>
        </w:rPr>
      </w:pPr>
      <w:r w:rsidRPr="00A608EE">
        <w:rPr>
          <w:rFonts w:asciiTheme="majorHAnsi" w:hAnsiTheme="majorHAnsi"/>
          <w:sz w:val="20"/>
          <w:szCs w:val="20"/>
          <w:lang w:eastAsia="fr-FR"/>
        </w:rPr>
        <w:t>shared with all employees.</w:t>
      </w:r>
    </w:p>
    <w:p w14:paraId="3D3CCD53" w14:textId="77777777" w:rsidR="00D552DD" w:rsidRPr="00A608EE" w:rsidRDefault="00D552DD" w:rsidP="00A27AAA">
      <w:pPr>
        <w:numPr>
          <w:ilvl w:val="0"/>
          <w:numId w:val="331"/>
        </w:numPr>
        <w:jc w:val="both"/>
        <w:rPr>
          <w:rFonts w:asciiTheme="majorHAnsi" w:hAnsiTheme="majorHAnsi"/>
          <w:sz w:val="20"/>
          <w:szCs w:val="20"/>
          <w:lang w:eastAsia="fr-FR"/>
        </w:rPr>
      </w:pPr>
      <w:r w:rsidRPr="00A608EE">
        <w:rPr>
          <w:rFonts w:asciiTheme="majorHAnsi" w:hAnsiTheme="majorHAnsi"/>
          <w:sz w:val="20"/>
          <w:szCs w:val="20"/>
          <w:lang w:eastAsia="fr-FR"/>
        </w:rPr>
        <w:t>Score ‘partially’, if one of the four requirements is largely not met. For instance, (i) the last employee satisfaction survey was conducted between 12 to 24 months ago or (ii) the survey sample was too limited or did not well represent the different categories of employees or (iii) the results were analyzed by gender only, but not by other employee categories or (iv) the results were shared with a few employees only.</w:t>
      </w:r>
    </w:p>
    <w:p w14:paraId="609DCB4F" w14:textId="77777777" w:rsidR="00D552DD" w:rsidRPr="00A608EE" w:rsidRDefault="00D552DD" w:rsidP="00A27AAA">
      <w:pPr>
        <w:numPr>
          <w:ilvl w:val="0"/>
          <w:numId w:val="331"/>
        </w:numPr>
        <w:jc w:val="both"/>
        <w:rPr>
          <w:rFonts w:asciiTheme="majorHAnsi" w:hAnsiTheme="majorHAnsi"/>
          <w:sz w:val="20"/>
          <w:szCs w:val="20"/>
          <w:lang w:eastAsia="fr-FR"/>
        </w:rPr>
      </w:pPr>
      <w:r w:rsidRPr="00A608EE">
        <w:rPr>
          <w:rFonts w:asciiTheme="majorHAnsi" w:hAnsiTheme="majorHAnsi"/>
          <w:sz w:val="20"/>
          <w:szCs w:val="20"/>
          <w:lang w:eastAsia="fr-FR"/>
        </w:rPr>
        <w:t>Score ‘no’, if there is no process in place to conduct employee satisfaction surveys or if three of the four requirements are largely not met.  </w:t>
      </w:r>
    </w:p>
    <w:p w14:paraId="5897DD36" w14:textId="77777777" w:rsidR="00D552DD" w:rsidRPr="00A608EE" w:rsidRDefault="00D552DD" w:rsidP="00EE208A">
      <w:pPr>
        <w:jc w:val="both"/>
        <w:rPr>
          <w:rFonts w:asciiTheme="majorHAnsi" w:hAnsiTheme="majorHAnsi"/>
          <w:sz w:val="20"/>
          <w:szCs w:val="20"/>
          <w:lang w:eastAsia="fr-FR"/>
        </w:rPr>
      </w:pPr>
    </w:p>
    <w:p w14:paraId="208D6D98" w14:textId="244DD2AC" w:rsidR="00D552DD" w:rsidRPr="00A608EE" w:rsidRDefault="00D552DD"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6CB2162A" w14:textId="77777777" w:rsidR="00D552DD" w:rsidRPr="00A608EE" w:rsidRDefault="00D552DD" w:rsidP="00A27AAA">
      <w:pPr>
        <w:numPr>
          <w:ilvl w:val="0"/>
          <w:numId w:val="332"/>
        </w:numPr>
        <w:jc w:val="both"/>
        <w:rPr>
          <w:rFonts w:asciiTheme="majorHAnsi" w:hAnsiTheme="majorHAnsi"/>
          <w:sz w:val="20"/>
          <w:szCs w:val="20"/>
          <w:lang w:eastAsia="fr-FR"/>
        </w:rPr>
      </w:pPr>
      <w:r w:rsidRPr="00A608EE">
        <w:rPr>
          <w:rFonts w:asciiTheme="majorHAnsi" w:hAnsiTheme="majorHAnsi"/>
          <w:sz w:val="20"/>
          <w:szCs w:val="20"/>
          <w:lang w:eastAsia="fr-FR"/>
        </w:rPr>
        <w:t>HR Policy &amp; Procedures Manual.</w:t>
      </w:r>
    </w:p>
    <w:p w14:paraId="07094112" w14:textId="77777777" w:rsidR="00D552DD" w:rsidRPr="00A608EE" w:rsidRDefault="00D552DD" w:rsidP="00A27AAA">
      <w:pPr>
        <w:numPr>
          <w:ilvl w:val="0"/>
          <w:numId w:val="332"/>
        </w:numPr>
        <w:jc w:val="both"/>
        <w:rPr>
          <w:rFonts w:asciiTheme="majorHAnsi" w:hAnsiTheme="majorHAnsi"/>
          <w:sz w:val="20"/>
          <w:szCs w:val="20"/>
          <w:lang w:eastAsia="fr-FR"/>
        </w:rPr>
      </w:pPr>
      <w:r w:rsidRPr="00A608EE">
        <w:rPr>
          <w:rFonts w:asciiTheme="majorHAnsi" w:hAnsiTheme="majorHAnsi"/>
          <w:sz w:val="20"/>
          <w:szCs w:val="20"/>
          <w:lang w:eastAsia="fr-FR"/>
        </w:rPr>
        <w:t>Methodology of the last employee satisfaction survey, including the sampling method.</w:t>
      </w:r>
    </w:p>
    <w:p w14:paraId="0912141A" w14:textId="77777777" w:rsidR="00D552DD" w:rsidRPr="00A608EE" w:rsidRDefault="00D552DD" w:rsidP="00A27AAA">
      <w:pPr>
        <w:numPr>
          <w:ilvl w:val="0"/>
          <w:numId w:val="332"/>
        </w:numPr>
        <w:jc w:val="both"/>
        <w:rPr>
          <w:rFonts w:asciiTheme="majorHAnsi" w:hAnsiTheme="majorHAnsi"/>
          <w:sz w:val="20"/>
          <w:szCs w:val="20"/>
          <w:lang w:eastAsia="fr-FR"/>
        </w:rPr>
      </w:pPr>
      <w:r w:rsidRPr="00A608EE">
        <w:rPr>
          <w:rFonts w:asciiTheme="majorHAnsi" w:hAnsiTheme="majorHAnsi"/>
          <w:sz w:val="20"/>
          <w:szCs w:val="20"/>
          <w:lang w:eastAsia="fr-FR"/>
        </w:rPr>
        <w:t>Last two employee satisfaction survey reports.</w:t>
      </w:r>
    </w:p>
    <w:p w14:paraId="1599E4A4" w14:textId="77777777" w:rsidR="00D552DD" w:rsidRPr="00A608EE" w:rsidRDefault="00D552DD" w:rsidP="00A27AAA">
      <w:pPr>
        <w:numPr>
          <w:ilvl w:val="0"/>
          <w:numId w:val="332"/>
        </w:numPr>
        <w:jc w:val="both"/>
        <w:rPr>
          <w:rFonts w:asciiTheme="majorHAnsi" w:hAnsiTheme="majorHAnsi"/>
          <w:sz w:val="20"/>
          <w:szCs w:val="20"/>
          <w:lang w:eastAsia="fr-FR"/>
        </w:rPr>
      </w:pPr>
      <w:r w:rsidRPr="00A608EE">
        <w:rPr>
          <w:rFonts w:asciiTheme="majorHAnsi" w:hAnsiTheme="majorHAnsi"/>
          <w:sz w:val="20"/>
          <w:szCs w:val="20"/>
          <w:lang w:eastAsia="fr-FR"/>
        </w:rPr>
        <w:t>Interviews with the HR manager, the employee representatives (if existing), and different employees (women and men with office and field functions) and at different levels.</w:t>
      </w:r>
    </w:p>
    <w:p w14:paraId="2362E73D" w14:textId="77777777" w:rsidR="00D552DD" w:rsidRPr="00A608EE" w:rsidRDefault="00D552DD" w:rsidP="00EE208A">
      <w:pPr>
        <w:jc w:val="both"/>
        <w:rPr>
          <w:rFonts w:asciiTheme="majorHAnsi" w:hAnsiTheme="majorHAnsi"/>
          <w:sz w:val="20"/>
          <w:szCs w:val="20"/>
          <w:lang w:eastAsia="fr-FR"/>
        </w:rPr>
      </w:pPr>
    </w:p>
    <w:p w14:paraId="4BE52E16" w14:textId="269B0030" w:rsidR="00D552DD" w:rsidRPr="00A608EE" w:rsidRDefault="00D552DD"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3225D8E9" w14:textId="77777777" w:rsidR="00D552DD" w:rsidRPr="00A608EE" w:rsidRDefault="00D552DD" w:rsidP="00A27AAA">
      <w:pPr>
        <w:numPr>
          <w:ilvl w:val="0"/>
          <w:numId w:val="333"/>
        </w:numPr>
        <w:jc w:val="both"/>
        <w:rPr>
          <w:rFonts w:asciiTheme="majorHAnsi" w:hAnsiTheme="majorHAnsi"/>
          <w:sz w:val="20"/>
          <w:szCs w:val="20"/>
          <w:lang w:eastAsia="fr-FR"/>
        </w:rPr>
      </w:pPr>
      <w:r w:rsidRPr="00A608EE">
        <w:rPr>
          <w:rFonts w:asciiTheme="majorHAnsi" w:hAnsiTheme="majorHAnsi"/>
          <w:sz w:val="20"/>
          <w:szCs w:val="20"/>
          <w:lang w:eastAsia="fr-FR"/>
        </w:rPr>
        <w:t>Specify when the last employee satisfaction survey was conducted and with which sampling method.</w:t>
      </w:r>
    </w:p>
    <w:p w14:paraId="70FF3117" w14:textId="77777777" w:rsidR="00D552DD" w:rsidRPr="00A608EE" w:rsidRDefault="00D552DD" w:rsidP="00A27AAA">
      <w:pPr>
        <w:numPr>
          <w:ilvl w:val="0"/>
          <w:numId w:val="333"/>
        </w:numPr>
        <w:jc w:val="both"/>
        <w:rPr>
          <w:rFonts w:asciiTheme="majorHAnsi" w:hAnsiTheme="majorHAnsi"/>
          <w:sz w:val="20"/>
          <w:szCs w:val="20"/>
          <w:lang w:eastAsia="fr-FR"/>
        </w:rPr>
      </w:pPr>
      <w:r w:rsidRPr="00A608EE">
        <w:rPr>
          <w:rFonts w:asciiTheme="majorHAnsi" w:hAnsiTheme="majorHAnsi"/>
          <w:sz w:val="20"/>
          <w:szCs w:val="20"/>
          <w:lang w:eastAsia="fr-FR"/>
        </w:rPr>
        <w:t>Describe whether the results were analyzed per gender and other key categories of employees and how they were disseminated to the employees.</w:t>
      </w:r>
    </w:p>
    <w:p w14:paraId="3C6C6CE9" w14:textId="77777777" w:rsidR="00D552DD" w:rsidRPr="00A608EE" w:rsidRDefault="00D552DD" w:rsidP="00EE208A">
      <w:pPr>
        <w:jc w:val="both"/>
        <w:rPr>
          <w:rFonts w:asciiTheme="majorHAnsi" w:hAnsiTheme="majorHAnsi"/>
          <w:sz w:val="20"/>
          <w:szCs w:val="20"/>
          <w:lang w:eastAsia="fr-FR"/>
        </w:rPr>
      </w:pPr>
    </w:p>
    <w:p w14:paraId="090B4661" w14:textId="77741C3E" w:rsidR="00D552DD" w:rsidRPr="00A608EE" w:rsidRDefault="00D552DD"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Field examples / Guidance for implementation</w:t>
      </w:r>
    </w:p>
    <w:p w14:paraId="1097B701" w14:textId="77777777" w:rsidR="00D552DD" w:rsidRPr="00A608EE" w:rsidRDefault="00D552DD" w:rsidP="00A27AAA">
      <w:pPr>
        <w:numPr>
          <w:ilvl w:val="0"/>
          <w:numId w:val="334"/>
        </w:numPr>
        <w:jc w:val="both"/>
        <w:rPr>
          <w:rFonts w:asciiTheme="majorHAnsi" w:hAnsiTheme="majorHAnsi"/>
          <w:sz w:val="20"/>
          <w:szCs w:val="20"/>
          <w:lang w:eastAsia="fr-FR"/>
        </w:rPr>
      </w:pPr>
      <w:hyperlink r:id="rId279" w:history="1">
        <w:r w:rsidRPr="00A608EE">
          <w:rPr>
            <w:rStyle w:val="Hyperlink"/>
            <w:rFonts w:asciiTheme="majorHAnsi" w:hAnsiTheme="majorHAnsi"/>
            <w:sz w:val="20"/>
            <w:szCs w:val="20"/>
            <w:lang w:eastAsia="fr-FR"/>
          </w:rPr>
          <w:t>Guidance for Disaggregated Employee Satisfaction Survey and Results-Sharing</w:t>
        </w:r>
      </w:hyperlink>
    </w:p>
    <w:p w14:paraId="27546AF2" w14:textId="77777777" w:rsidR="00D552DD" w:rsidRPr="00A608EE" w:rsidRDefault="00D552DD" w:rsidP="00A27AAA">
      <w:pPr>
        <w:numPr>
          <w:ilvl w:val="0"/>
          <w:numId w:val="334"/>
        </w:numPr>
        <w:jc w:val="both"/>
        <w:rPr>
          <w:rFonts w:asciiTheme="majorHAnsi" w:hAnsiTheme="majorHAnsi"/>
          <w:sz w:val="20"/>
          <w:szCs w:val="20"/>
          <w:lang w:val="es-ES" w:eastAsia="fr-FR"/>
        </w:rPr>
      </w:pPr>
      <w:hyperlink r:id="rId280" w:tgtFrame="_blank" w:history="1">
        <w:r w:rsidRPr="00A608EE">
          <w:rPr>
            <w:rStyle w:val="Hyperlink"/>
            <w:rFonts w:asciiTheme="majorHAnsi" w:hAnsiTheme="majorHAnsi"/>
            <w:sz w:val="20"/>
            <w:szCs w:val="20"/>
            <w:lang w:val="es-ES" w:eastAsia="fr-FR"/>
          </w:rPr>
          <w:t>Encuesta confidencial sobre satisfacción y compromiso laboral Promujer</w:t>
        </w:r>
      </w:hyperlink>
    </w:p>
    <w:p w14:paraId="6C9787A0" w14:textId="77777777" w:rsidR="00D552DD" w:rsidRPr="00A608EE" w:rsidRDefault="00D552DD" w:rsidP="00A27AAA">
      <w:pPr>
        <w:numPr>
          <w:ilvl w:val="0"/>
          <w:numId w:val="334"/>
        </w:numPr>
        <w:jc w:val="both"/>
        <w:rPr>
          <w:rFonts w:asciiTheme="majorHAnsi" w:hAnsiTheme="majorHAnsi"/>
          <w:sz w:val="20"/>
          <w:szCs w:val="20"/>
          <w:lang w:eastAsia="fr-FR"/>
        </w:rPr>
      </w:pPr>
      <w:hyperlink r:id="rId281" w:tgtFrame="_blank" w:history="1">
        <w:r w:rsidRPr="00A608EE">
          <w:rPr>
            <w:rStyle w:val="Hyperlink"/>
            <w:rFonts w:asciiTheme="majorHAnsi" w:hAnsiTheme="majorHAnsi"/>
            <w:sz w:val="20"/>
            <w:szCs w:val="20"/>
            <w:lang w:eastAsia="fr-FR"/>
          </w:rPr>
          <w:t>Medición del Clima Laboral</w:t>
        </w:r>
      </w:hyperlink>
    </w:p>
    <w:p w14:paraId="2E5E87C1" w14:textId="05915B8A" w:rsidR="004136BB" w:rsidRPr="00A608EE" w:rsidRDefault="004136BB" w:rsidP="00EE208A">
      <w:pPr>
        <w:jc w:val="both"/>
        <w:rPr>
          <w:rFonts w:asciiTheme="majorHAnsi" w:hAnsiTheme="majorHAnsi"/>
          <w:szCs w:val="20"/>
          <w:lang w:eastAsia="fr-FR"/>
        </w:rPr>
      </w:pPr>
    </w:p>
    <w:p w14:paraId="3471654C" w14:textId="77777777" w:rsidR="00914EDA" w:rsidRPr="00A608EE" w:rsidRDefault="00914EDA" w:rsidP="00EE208A">
      <w:pPr>
        <w:jc w:val="both"/>
        <w:rPr>
          <w:rFonts w:asciiTheme="majorHAnsi" w:hAnsiTheme="majorHAnsi"/>
          <w:szCs w:val="20"/>
          <w:lang w:eastAsia="fr-FR"/>
        </w:rPr>
      </w:pPr>
    </w:p>
    <w:p w14:paraId="7D7E9FD4" w14:textId="50DB9D65" w:rsidR="0033157A" w:rsidRPr="00A608EE" w:rsidRDefault="00D552DD" w:rsidP="00EE208A">
      <w:pPr>
        <w:pStyle w:val="Heading2"/>
        <w:spacing w:before="0" w:line="240" w:lineRule="auto"/>
        <w:jc w:val="both"/>
      </w:pPr>
      <w:bookmarkStart w:id="96" w:name="_Toc230938817"/>
      <w:r w:rsidRPr="00A608EE">
        <w:t>Standard 5C. The provider’s Human Resource Development system supports its social strategy</w:t>
      </w:r>
      <w:r w:rsidR="00A3605B" w:rsidRPr="00A608EE">
        <w:t>.</w:t>
      </w:r>
      <w:bookmarkEnd w:id="96"/>
    </w:p>
    <w:p w14:paraId="14A8D9DB" w14:textId="77777777" w:rsidR="002C1386" w:rsidRPr="00A608EE" w:rsidRDefault="002C1386" w:rsidP="00EE208A">
      <w:pPr>
        <w:jc w:val="both"/>
        <w:rPr>
          <w:rFonts w:asciiTheme="majorHAnsi" w:hAnsiTheme="majorHAnsi"/>
          <w:szCs w:val="20"/>
        </w:rPr>
      </w:pPr>
    </w:p>
    <w:p w14:paraId="1812C87E" w14:textId="6DEA8EC9" w:rsidR="00D552DD" w:rsidRPr="00A608EE" w:rsidRDefault="00D552DD" w:rsidP="00EE208A">
      <w:pPr>
        <w:jc w:val="both"/>
        <w:rPr>
          <w:sz w:val="20"/>
          <w:szCs w:val="20"/>
          <w:lang w:eastAsia="fr-FR"/>
        </w:rPr>
      </w:pPr>
      <w:r w:rsidRPr="00A608EE">
        <w:rPr>
          <w:rFonts w:asciiTheme="minorHAnsi" w:hAnsiTheme="minorHAnsi"/>
          <w:sz w:val="20"/>
          <w:szCs w:val="20"/>
          <w:lang w:eastAsia="fr-FR"/>
        </w:rPr>
        <w:t>The effective implementation of the social strategy (refer to 1A) requires the full commitment of the board (refer to 2A), senior management (refer to 2B), and all employees, notably the client-facing staff who are directly serving the target clientele. Therefore, providers should instill their values in new employees from the moment they are hired - and even before, during recruitment - and encourage these through regular training and balanced performance incentives.</w:t>
      </w:r>
      <w:r w:rsidRPr="00A608EE">
        <w:rPr>
          <w:sz w:val="20"/>
          <w:szCs w:val="20"/>
          <w:lang w:eastAsia="fr-FR"/>
        </w:rPr>
        <w:t> </w:t>
      </w:r>
    </w:p>
    <w:p w14:paraId="26925E32" w14:textId="77777777" w:rsidR="00D552DD" w:rsidRPr="00A608EE" w:rsidRDefault="00D552DD" w:rsidP="00EE208A">
      <w:pPr>
        <w:jc w:val="both"/>
        <w:rPr>
          <w:sz w:val="20"/>
          <w:szCs w:val="20"/>
          <w:lang w:eastAsia="fr-FR"/>
        </w:rPr>
      </w:pPr>
    </w:p>
    <w:p w14:paraId="6BFAA698" w14:textId="23A25B39" w:rsidR="00D552DD" w:rsidRPr="00A608EE" w:rsidRDefault="00D552DD" w:rsidP="00EE208A">
      <w:pPr>
        <w:jc w:val="both"/>
        <w:rPr>
          <w:rFonts w:asciiTheme="minorHAnsi" w:hAnsiTheme="minorHAnsi"/>
          <w:sz w:val="20"/>
          <w:szCs w:val="20"/>
          <w:lang w:eastAsia="fr-FR"/>
        </w:rPr>
      </w:pPr>
      <w:r w:rsidRPr="00A608EE">
        <w:rPr>
          <w:rFonts w:asciiTheme="minorHAnsi" w:hAnsiTheme="minorHAnsi"/>
          <w:sz w:val="20"/>
          <w:szCs w:val="20"/>
          <w:lang w:eastAsia="fr-FR"/>
        </w:rPr>
        <w:t>The HR development system has thus the three fundamental functions in supporting the social strategy:</w:t>
      </w:r>
    </w:p>
    <w:p w14:paraId="09D61487" w14:textId="77777777" w:rsidR="00D552DD" w:rsidRPr="00A608EE" w:rsidRDefault="00D552DD" w:rsidP="00A27AAA">
      <w:pPr>
        <w:numPr>
          <w:ilvl w:val="0"/>
          <w:numId w:val="335"/>
        </w:numPr>
        <w:jc w:val="both"/>
        <w:rPr>
          <w:rFonts w:asciiTheme="minorHAnsi" w:hAnsiTheme="minorHAnsi"/>
          <w:sz w:val="20"/>
          <w:szCs w:val="20"/>
          <w:lang w:eastAsia="fr-FR"/>
        </w:rPr>
      </w:pPr>
      <w:r w:rsidRPr="00A608EE">
        <w:rPr>
          <w:rFonts w:asciiTheme="minorHAnsi" w:hAnsiTheme="minorHAnsi"/>
          <w:sz w:val="20"/>
          <w:szCs w:val="20"/>
          <w:lang w:eastAsia="fr-FR"/>
        </w:rPr>
        <w:t>recruitment of people who are inclined/motivated to serve the target clientele;</w:t>
      </w:r>
    </w:p>
    <w:p w14:paraId="74DE2388" w14:textId="77777777" w:rsidR="00D552DD" w:rsidRPr="00A608EE" w:rsidRDefault="00D552DD" w:rsidP="00A27AAA">
      <w:pPr>
        <w:numPr>
          <w:ilvl w:val="0"/>
          <w:numId w:val="335"/>
        </w:numPr>
        <w:jc w:val="both"/>
        <w:rPr>
          <w:rFonts w:asciiTheme="minorHAnsi" w:hAnsiTheme="minorHAnsi"/>
          <w:sz w:val="20"/>
          <w:szCs w:val="20"/>
          <w:lang w:eastAsia="fr-FR"/>
        </w:rPr>
      </w:pPr>
      <w:r w:rsidRPr="00A608EE">
        <w:rPr>
          <w:rFonts w:asciiTheme="minorHAnsi" w:hAnsiTheme="minorHAnsi"/>
          <w:sz w:val="20"/>
          <w:szCs w:val="20"/>
          <w:lang w:eastAsia="fr-FR"/>
        </w:rPr>
        <w:t>their regular practical training on how to achieve their social targets and to adopt ‘good’ client protection practices and avoid ‘bad’ ones; and</w:t>
      </w:r>
    </w:p>
    <w:p w14:paraId="090603DB" w14:textId="77777777" w:rsidR="00D552DD" w:rsidRPr="00A608EE" w:rsidRDefault="00D552DD" w:rsidP="00A27AAA">
      <w:pPr>
        <w:numPr>
          <w:ilvl w:val="0"/>
          <w:numId w:val="335"/>
        </w:numPr>
        <w:jc w:val="both"/>
        <w:rPr>
          <w:rFonts w:asciiTheme="minorHAnsi" w:hAnsiTheme="minorHAnsi"/>
          <w:sz w:val="20"/>
          <w:szCs w:val="20"/>
          <w:lang w:eastAsia="fr-FR"/>
        </w:rPr>
      </w:pPr>
      <w:r w:rsidRPr="00A608EE">
        <w:rPr>
          <w:rFonts w:asciiTheme="minorHAnsi" w:hAnsiTheme="minorHAnsi"/>
          <w:sz w:val="20"/>
          <w:szCs w:val="20"/>
          <w:lang w:eastAsia="fr-FR"/>
        </w:rPr>
        <w:t>offering them ‘balanced’ performance incentives where next to quantitative business targets also the compliance with  good client protection practices and the Code of Conduct are rewarded (and the non-compliance sanctioned).</w:t>
      </w:r>
    </w:p>
    <w:p w14:paraId="2724988A" w14:textId="77777777" w:rsidR="00D552DD" w:rsidRPr="00A608EE" w:rsidRDefault="00D552DD" w:rsidP="00EE208A">
      <w:pPr>
        <w:jc w:val="both"/>
        <w:rPr>
          <w:rFonts w:asciiTheme="minorHAnsi" w:hAnsiTheme="minorHAnsi"/>
          <w:sz w:val="20"/>
          <w:szCs w:val="20"/>
          <w:lang w:eastAsia="fr-FR"/>
        </w:rPr>
      </w:pPr>
    </w:p>
    <w:p w14:paraId="46CEAE51" w14:textId="7A1C34DA" w:rsidR="00D552DD" w:rsidRPr="00A608EE" w:rsidRDefault="00D552DD" w:rsidP="00EE208A">
      <w:pPr>
        <w:jc w:val="both"/>
        <w:rPr>
          <w:rFonts w:asciiTheme="minorHAnsi" w:hAnsiTheme="minorHAnsi"/>
          <w:sz w:val="20"/>
          <w:szCs w:val="20"/>
          <w:lang w:eastAsia="fr-FR"/>
        </w:rPr>
      </w:pPr>
      <w:r w:rsidRPr="00A608EE">
        <w:rPr>
          <w:rFonts w:asciiTheme="minorHAnsi" w:hAnsiTheme="minorHAnsi"/>
          <w:sz w:val="20"/>
          <w:szCs w:val="20"/>
          <w:lang w:eastAsia="fr-FR"/>
        </w:rPr>
        <w:t>This standard has 3 essential practices:</w:t>
      </w:r>
    </w:p>
    <w:p w14:paraId="02023764" w14:textId="65765B85" w:rsidR="00D552DD" w:rsidRPr="00A608EE" w:rsidRDefault="00D552DD" w:rsidP="00A27AAA">
      <w:pPr>
        <w:numPr>
          <w:ilvl w:val="0"/>
          <w:numId w:val="336"/>
        </w:numPr>
        <w:jc w:val="both"/>
        <w:rPr>
          <w:rFonts w:asciiTheme="minorHAnsi" w:hAnsiTheme="minorHAnsi"/>
          <w:sz w:val="20"/>
          <w:szCs w:val="20"/>
          <w:lang w:eastAsia="fr-FR"/>
        </w:rPr>
      </w:pPr>
      <w:r w:rsidRPr="00A608EE">
        <w:rPr>
          <w:rFonts w:asciiTheme="minorHAnsi" w:hAnsiTheme="minorHAnsi"/>
          <w:sz w:val="20"/>
          <w:szCs w:val="20"/>
          <w:lang w:eastAsia="fr-FR"/>
        </w:rPr>
        <w:t>Essential Practice 5.C.1: During the recruitment and hiring process, the provider assesses each candidate’s commitment to achieving the provider’s social goals and serving its target clients.</w:t>
      </w:r>
    </w:p>
    <w:p w14:paraId="2A13A244" w14:textId="46D00849" w:rsidR="00D552DD" w:rsidRPr="00A608EE" w:rsidRDefault="00D552DD" w:rsidP="00A27AAA">
      <w:pPr>
        <w:numPr>
          <w:ilvl w:val="0"/>
          <w:numId w:val="336"/>
        </w:numPr>
        <w:jc w:val="both"/>
        <w:rPr>
          <w:rFonts w:asciiTheme="minorHAnsi" w:hAnsiTheme="minorHAnsi"/>
          <w:sz w:val="20"/>
          <w:szCs w:val="20"/>
          <w:lang w:eastAsia="fr-FR"/>
        </w:rPr>
      </w:pPr>
      <w:r w:rsidRPr="00A608EE">
        <w:rPr>
          <w:rFonts w:asciiTheme="minorHAnsi" w:hAnsiTheme="minorHAnsi"/>
          <w:sz w:val="20"/>
          <w:szCs w:val="20"/>
          <w:lang w:eastAsia="fr-FR"/>
        </w:rPr>
        <w:t>Essential Practice 5.C.2: The provider trains all employees on its social goals and on client protection.</w:t>
      </w:r>
    </w:p>
    <w:p w14:paraId="4E44C141" w14:textId="21E24621" w:rsidR="00D552DD" w:rsidRPr="00A608EE" w:rsidRDefault="00D552DD" w:rsidP="00A27AAA">
      <w:pPr>
        <w:numPr>
          <w:ilvl w:val="0"/>
          <w:numId w:val="336"/>
        </w:numPr>
        <w:jc w:val="both"/>
        <w:rPr>
          <w:rFonts w:asciiTheme="minorHAnsi" w:hAnsiTheme="minorHAnsi"/>
          <w:sz w:val="20"/>
          <w:szCs w:val="20"/>
          <w:lang w:eastAsia="fr-FR"/>
        </w:rPr>
      </w:pPr>
      <w:r w:rsidRPr="00A608EE">
        <w:rPr>
          <w:rFonts w:asciiTheme="minorHAnsi" w:hAnsiTheme="minorHAnsi"/>
          <w:sz w:val="20"/>
          <w:szCs w:val="20"/>
          <w:lang w:eastAsia="fr-FR"/>
        </w:rPr>
        <w:lastRenderedPageBreak/>
        <w:t>Essential Practice 5.C.3: The provider evaluates and incentivizes employees based on social and financial criteria.</w:t>
      </w:r>
    </w:p>
    <w:p w14:paraId="763C15C6" w14:textId="77777777" w:rsidR="00D552DD" w:rsidRPr="00A608EE" w:rsidRDefault="00D552DD" w:rsidP="00EE208A">
      <w:pPr>
        <w:jc w:val="both"/>
        <w:rPr>
          <w:rFonts w:asciiTheme="minorHAnsi" w:hAnsiTheme="minorHAnsi"/>
          <w:sz w:val="20"/>
          <w:szCs w:val="20"/>
          <w:lang w:eastAsia="fr-FR"/>
        </w:rPr>
      </w:pPr>
    </w:p>
    <w:p w14:paraId="3EB6AE15" w14:textId="00A933FD" w:rsidR="00D552DD" w:rsidRPr="00A608EE" w:rsidRDefault="00D552DD" w:rsidP="00EE208A">
      <w:pPr>
        <w:jc w:val="both"/>
        <w:rPr>
          <w:rFonts w:asciiTheme="minorHAnsi" w:hAnsiTheme="minorHAnsi"/>
          <w:b/>
          <w:bCs/>
          <w:sz w:val="20"/>
          <w:szCs w:val="20"/>
          <w:lang w:eastAsia="fr-FR"/>
        </w:rPr>
      </w:pPr>
      <w:r w:rsidRPr="00A608EE">
        <w:rPr>
          <w:rFonts w:asciiTheme="minorHAnsi" w:hAnsiTheme="minorHAnsi"/>
          <w:b/>
          <w:bCs/>
          <w:sz w:val="20"/>
          <w:szCs w:val="20"/>
          <w:lang w:eastAsia="fr-FR"/>
        </w:rPr>
        <w:t>Resources for Standard 5C</w:t>
      </w:r>
    </w:p>
    <w:p w14:paraId="3F8E59EC" w14:textId="77777777" w:rsidR="00F25BDD" w:rsidRPr="00A608EE" w:rsidRDefault="00F25BDD" w:rsidP="00A27AAA">
      <w:pPr>
        <w:numPr>
          <w:ilvl w:val="0"/>
          <w:numId w:val="32"/>
        </w:numPr>
        <w:jc w:val="both"/>
        <w:rPr>
          <w:rFonts w:ascii="Work Sans" w:hAnsi="Work Sans"/>
          <w:color w:val="2A3049"/>
          <w:sz w:val="20"/>
          <w:szCs w:val="20"/>
        </w:rPr>
      </w:pPr>
      <w:hyperlink r:id="rId282" w:history="1">
        <w:r w:rsidRPr="00A608EE">
          <w:rPr>
            <w:rStyle w:val="Hyperlink"/>
            <w:rFonts w:ascii="Work Sans" w:hAnsi="Work Sans"/>
            <w:sz w:val="20"/>
            <w:szCs w:val="20"/>
          </w:rPr>
          <w:t>SPM Essentials Webinar #5: Listening to Employees as a Business Strategy</w:t>
        </w:r>
      </w:hyperlink>
    </w:p>
    <w:p w14:paraId="28C8D4DD" w14:textId="77777777" w:rsidR="00F25BDD" w:rsidRPr="00A608EE" w:rsidRDefault="00F25BDD" w:rsidP="00EE208A">
      <w:pPr>
        <w:jc w:val="both"/>
        <w:rPr>
          <w:rFonts w:asciiTheme="majorHAnsi" w:hAnsiTheme="majorHAnsi"/>
          <w:szCs w:val="20"/>
        </w:rPr>
      </w:pPr>
    </w:p>
    <w:p w14:paraId="05E6FF53" w14:textId="77777777" w:rsidR="00F25BDD" w:rsidRPr="00A608EE" w:rsidRDefault="00F25BDD" w:rsidP="00EE208A">
      <w:pPr>
        <w:jc w:val="both"/>
        <w:rPr>
          <w:rFonts w:asciiTheme="majorHAnsi" w:hAnsiTheme="majorHAnsi"/>
          <w:szCs w:val="20"/>
        </w:rPr>
      </w:pPr>
    </w:p>
    <w:p w14:paraId="58662703" w14:textId="4B938111" w:rsidR="0033157A" w:rsidRPr="00A608EE" w:rsidRDefault="0033157A" w:rsidP="00EE208A">
      <w:pPr>
        <w:pStyle w:val="Heading3"/>
        <w:spacing w:before="0" w:line="240" w:lineRule="auto"/>
        <w:jc w:val="both"/>
      </w:pPr>
      <w:bookmarkStart w:id="97" w:name="_Toc230938818"/>
      <w:r w:rsidRPr="00A608EE">
        <w:rPr>
          <w:rStyle w:val="text-primary"/>
        </w:rPr>
        <w:t xml:space="preserve">5.C.1 </w:t>
      </w:r>
      <w:r w:rsidR="00C95130" w:rsidRPr="00A608EE">
        <w:t>During the recruitment and hiring process, the provider assesses each candidate’s commitment to achieving the provider’s social goals and serving its target clients</w:t>
      </w:r>
      <w:r w:rsidR="00270D28" w:rsidRPr="00A608EE">
        <w:t>.</w:t>
      </w:r>
      <w:bookmarkEnd w:id="97"/>
    </w:p>
    <w:p w14:paraId="6D2A4E3C" w14:textId="77777777" w:rsidR="002C1386" w:rsidRPr="00A608EE" w:rsidRDefault="002C1386" w:rsidP="00EE208A">
      <w:pPr>
        <w:jc w:val="both"/>
        <w:rPr>
          <w:rFonts w:asciiTheme="majorHAnsi" w:hAnsiTheme="majorHAnsi"/>
          <w:szCs w:val="20"/>
        </w:rPr>
      </w:pPr>
    </w:p>
    <w:p w14:paraId="562D660E" w14:textId="77777777" w:rsidR="00CB2F38" w:rsidRPr="00A608EE" w:rsidRDefault="00CB2F38" w:rsidP="00EE208A">
      <w:pPr>
        <w:pStyle w:val="NormalWeb"/>
        <w:spacing w:before="0" w:beforeAutospacing="0" w:after="0" w:afterAutospacing="0"/>
        <w:jc w:val="both"/>
        <w:rPr>
          <w:rFonts w:asciiTheme="majorHAnsi" w:hAnsiTheme="majorHAnsi"/>
          <w:b/>
          <w:bCs/>
          <w:sz w:val="20"/>
          <w:szCs w:val="20"/>
        </w:rPr>
      </w:pPr>
    </w:p>
    <w:p w14:paraId="674FAF98" w14:textId="1A916070"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Consider social performance when hiring employees</w:t>
      </w:r>
    </w:p>
    <w:p w14:paraId="771050FA"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Providers should prioritize recruitment of employees who fit your culture and values and are aligned with their mission and social goals. This requires identification of personal qualities, relevant work experience and educational background that suggests commitment to the social goals as well as the social performance-related responsibilities for each position (refer to this table with </w:t>
      </w:r>
      <w:hyperlink r:id="rId283" w:tgtFrame="_blank" w:history="1">
        <w:r w:rsidRPr="00A608EE">
          <w:rPr>
            <w:rStyle w:val="Hyperlink"/>
            <w:rFonts w:asciiTheme="majorHAnsi" w:hAnsiTheme="majorHAnsi"/>
            <w:sz w:val="20"/>
            <w:szCs w:val="20"/>
          </w:rPr>
          <w:t>examples of Employee Positions and Related SPM Duties</w:t>
        </w:r>
      </w:hyperlink>
      <w:r w:rsidRPr="00A608EE">
        <w:rPr>
          <w:rFonts w:asciiTheme="majorHAnsi" w:hAnsiTheme="majorHAnsi"/>
          <w:sz w:val="20"/>
          <w:szCs w:val="20"/>
        </w:rPr>
        <w:t>). For example, good field staff candidates might have a strong sense of responsibility for helping vulnerable people, problem solving abilities, good teamwork skills, and integrity. Candidates need to be screened for their ability to carry out their performance-related responsibilities. Relevant experience might include work in communities with similar target clients, customer service responsibilities, travel to rural areas, ability to speak the local language(s), etc. In the case of good candidates for accounting positions, they need to have strong financial literacy, diligence and affinity with numbers, computer skills, and integrity.</w:t>
      </w:r>
    </w:p>
    <w:p w14:paraId="5A2D7BEC"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p>
    <w:p w14:paraId="47FF8333" w14:textId="6E66007C" w:rsidR="00C95130" w:rsidRPr="00A608EE" w:rsidRDefault="00C9513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For example, VisionFund International (VF) hires local people, since loan officers who come from the clients’ own communities are best able to identify, recruit, and work with its target clients. Unlike many providers who place a lot of emphasis on an applicant’s formal education, VF has found that higher education is not among the top attributes that make a good loan officer. Instead, they value the following characteristics: numeracy and literacy sufficient to complete the loan assessment and application forms; knowledge and language of the local area; dedication, tenacity, and commitment to microfinance; interpersonal and sales skills; willingness and ability to work in the field; and commitment to VF values.</w:t>
      </w:r>
    </w:p>
    <w:p w14:paraId="30592973"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 addition to requiring employees to sign the Code of Conduct (Ethics), providers should develop a “commitment contract” which states that a job candidate will do his/her best to carry out their social goals.</w:t>
      </w:r>
    </w:p>
    <w:p w14:paraId="474648DC"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p>
    <w:p w14:paraId="2BCCC69A" w14:textId="10592753" w:rsidR="00B23185"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Field examples</w:t>
      </w:r>
    </w:p>
    <w:p w14:paraId="2492AABA" w14:textId="53AB90B1" w:rsidR="00BC3AB1" w:rsidRPr="00A608EE" w:rsidRDefault="0033157A" w:rsidP="00A27AAA">
      <w:pPr>
        <w:numPr>
          <w:ilvl w:val="0"/>
          <w:numId w:val="34"/>
        </w:numPr>
        <w:jc w:val="both"/>
        <w:rPr>
          <w:rFonts w:asciiTheme="majorHAnsi" w:hAnsiTheme="majorHAnsi"/>
          <w:sz w:val="20"/>
          <w:szCs w:val="20"/>
          <w:lang w:val="fr-FR"/>
        </w:rPr>
      </w:pPr>
      <w:hyperlink r:id="rId284" w:history="1">
        <w:r w:rsidRPr="00A608EE">
          <w:rPr>
            <w:rStyle w:val="Hyperlink"/>
            <w:rFonts w:asciiTheme="majorHAnsi" w:hAnsiTheme="majorHAnsi"/>
            <w:color w:val="auto"/>
            <w:sz w:val="20"/>
            <w:szCs w:val="20"/>
            <w:lang w:val="fr-FR"/>
          </w:rPr>
          <w:t>VisionFund International recrute des agents de crédit locaux à l'aide d'événements de sensibilisation</w:t>
        </w:r>
      </w:hyperlink>
    </w:p>
    <w:p w14:paraId="599AD400" w14:textId="77777777" w:rsidR="00594A5D" w:rsidRPr="00A608EE" w:rsidRDefault="00594A5D" w:rsidP="00EE208A">
      <w:pPr>
        <w:jc w:val="both"/>
        <w:rPr>
          <w:rFonts w:asciiTheme="majorHAnsi" w:hAnsiTheme="majorHAnsi"/>
          <w:szCs w:val="20"/>
          <w:lang w:val="fr-FR"/>
        </w:rPr>
      </w:pPr>
    </w:p>
    <w:p w14:paraId="1CE49796" w14:textId="10A47093" w:rsidR="00BC3AB1" w:rsidRPr="00A608EE" w:rsidRDefault="0033157A" w:rsidP="00EE208A">
      <w:pPr>
        <w:pStyle w:val="Heading4"/>
        <w:spacing w:before="0" w:line="240" w:lineRule="auto"/>
        <w:jc w:val="both"/>
      </w:pPr>
      <w:r w:rsidRPr="00A608EE">
        <w:rPr>
          <w:rStyle w:val="text-primary"/>
        </w:rPr>
        <w:t>5.C.1.3</w:t>
      </w:r>
      <w:r w:rsidRPr="00A608EE">
        <w:t xml:space="preserve"> </w:t>
      </w:r>
      <w:r w:rsidR="00C95130" w:rsidRPr="00A608EE">
        <w:t>The new employee training/probation period for client-facing employees includes an assessment of skills and commitment to serving the provider’s target clients</w:t>
      </w:r>
      <w:r w:rsidR="002B3EF2" w:rsidRPr="00A608EE">
        <w:t>.</w:t>
      </w:r>
    </w:p>
    <w:p w14:paraId="68F8BCF5" w14:textId="77777777" w:rsidR="002B3EF2" w:rsidRPr="00A608EE" w:rsidRDefault="002B3EF2" w:rsidP="00EE208A">
      <w:pPr>
        <w:jc w:val="both"/>
      </w:pPr>
    </w:p>
    <w:p w14:paraId="6322FF07" w14:textId="00A2686C" w:rsidR="003B59F1"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B59F1"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78F17BB0" w14:textId="00843EC8" w:rsidR="003B59F1" w:rsidRPr="00A608EE" w:rsidRDefault="00F97F91"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457A2CE9"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Building an institutional culture that is aligned with the social strategy is based on the capacity of the client-facing staff to serve well the target clients. Integration procedures and induction training for new client-facing staff should check and strengthen their capacities in:</w:t>
      </w:r>
    </w:p>
    <w:p w14:paraId="7B19B23E" w14:textId="77777777" w:rsidR="00C95130" w:rsidRPr="00A608EE" w:rsidRDefault="00C95130" w:rsidP="00A27AAA">
      <w:pPr>
        <w:pStyle w:val="NormalWeb"/>
        <w:numPr>
          <w:ilvl w:val="0"/>
          <w:numId w:val="33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understanding well client needs and priorities,</w:t>
      </w:r>
    </w:p>
    <w:p w14:paraId="23D7FF4B" w14:textId="77777777" w:rsidR="00C95130" w:rsidRPr="00A608EE" w:rsidRDefault="00C95130" w:rsidP="00A27AAA">
      <w:pPr>
        <w:pStyle w:val="NormalWeb"/>
        <w:numPr>
          <w:ilvl w:val="0"/>
          <w:numId w:val="33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communicating clearly and respectfully with all clients, and</w:t>
      </w:r>
    </w:p>
    <w:p w14:paraId="3069A302" w14:textId="77777777" w:rsidR="00C95130" w:rsidRPr="00A608EE" w:rsidRDefault="00C95130" w:rsidP="00A27AAA">
      <w:pPr>
        <w:pStyle w:val="NormalWeb"/>
        <w:numPr>
          <w:ilvl w:val="0"/>
          <w:numId w:val="33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be committed to excellent client service whereby complying fully with ‘good’ client protection practices and the Code of Conduct.</w:t>
      </w:r>
    </w:p>
    <w:p w14:paraId="191715CA" w14:textId="77777777" w:rsidR="00672763" w:rsidRPr="00A608EE" w:rsidRDefault="00672763" w:rsidP="00672763">
      <w:pPr>
        <w:pStyle w:val="NormalWeb"/>
        <w:spacing w:before="0" w:beforeAutospacing="0" w:after="0" w:afterAutospacing="0"/>
        <w:jc w:val="both"/>
        <w:rPr>
          <w:rFonts w:asciiTheme="majorHAnsi" w:hAnsiTheme="majorHAnsi"/>
          <w:sz w:val="20"/>
          <w:szCs w:val="20"/>
        </w:rPr>
      </w:pPr>
    </w:p>
    <w:p w14:paraId="6085A28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06048" behindDoc="1" locked="0" layoutInCell="1" allowOverlap="1" wp14:anchorId="01B910C1" wp14:editId="43752228">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61219589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370FC23" w14:textId="77777777" w:rsidR="00672763" w:rsidRPr="00A608EE" w:rsidRDefault="00672763" w:rsidP="00672763">
      <w:pPr>
        <w:pStyle w:val="NormalWeb"/>
        <w:spacing w:before="0" w:beforeAutospacing="0" w:after="0" w:afterAutospacing="0"/>
        <w:jc w:val="both"/>
        <w:rPr>
          <w:rFonts w:asciiTheme="majorHAnsi" w:hAnsiTheme="majorHAnsi"/>
          <w:sz w:val="20"/>
          <w:szCs w:val="20"/>
        </w:rPr>
      </w:pPr>
    </w:p>
    <w:p w14:paraId="30FCE99F" w14:textId="7D796E8E" w:rsidR="00F97F91" w:rsidRPr="00A608EE" w:rsidRDefault="00386AB6" w:rsidP="00F97F91">
      <w:pPr>
        <w:pStyle w:val="paragraph"/>
        <w:spacing w:before="0" w:beforeAutospacing="0" w:after="0" w:afterAutospacing="0"/>
        <w:jc w:val="both"/>
        <w:textAlignment w:val="baseline"/>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F97F91" w:rsidRPr="00A608EE">
        <w:rPr>
          <w:rFonts w:asciiTheme="majorHAnsi" w:hAnsiTheme="majorHAnsi"/>
          <w:sz w:val="20"/>
          <w:szCs w:val="20"/>
        </w:rPr>
        <w:t>New employee orientation and induction training for client-facing staff includes checking and strengthening capacities for:</w:t>
      </w:r>
    </w:p>
    <w:p w14:paraId="719B4A35" w14:textId="43038AA1" w:rsidR="00F97F91" w:rsidRPr="00A608EE" w:rsidRDefault="00D402B3" w:rsidP="00A27AAA">
      <w:pPr>
        <w:pStyle w:val="NormalWeb"/>
        <w:numPr>
          <w:ilvl w:val="0"/>
          <w:numId w:val="39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U</w:t>
      </w:r>
      <w:r w:rsidR="00F97F91" w:rsidRPr="00A608EE">
        <w:rPr>
          <w:rFonts w:asciiTheme="majorHAnsi" w:hAnsiTheme="majorHAnsi"/>
          <w:sz w:val="20"/>
          <w:szCs w:val="20"/>
        </w:rPr>
        <w:t>nderstanding and serving the needs and priorities of clients with disabilities within target segments</w:t>
      </w:r>
    </w:p>
    <w:p w14:paraId="6D7ABE19" w14:textId="57A6E2B2" w:rsidR="00F97F91" w:rsidRPr="00A608EE" w:rsidRDefault="00D402B3" w:rsidP="00A27AAA">
      <w:pPr>
        <w:pStyle w:val="NormalWeb"/>
        <w:numPr>
          <w:ilvl w:val="0"/>
          <w:numId w:val="39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w:t>
      </w:r>
      <w:r w:rsidR="00F97F91" w:rsidRPr="00A608EE">
        <w:rPr>
          <w:rFonts w:asciiTheme="majorHAnsi" w:hAnsiTheme="majorHAnsi"/>
          <w:sz w:val="20"/>
          <w:szCs w:val="20"/>
        </w:rPr>
        <w:t xml:space="preserve">ccessibility and inclusion, and </w:t>
      </w:r>
    </w:p>
    <w:p w14:paraId="563041CD" w14:textId="08F6989B" w:rsidR="00F97F91" w:rsidRPr="00A608EE" w:rsidRDefault="00D402B3" w:rsidP="00A27AAA">
      <w:pPr>
        <w:pStyle w:val="NormalWeb"/>
        <w:numPr>
          <w:ilvl w:val="0"/>
          <w:numId w:val="39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w:t>
      </w:r>
      <w:r w:rsidR="00F97F91" w:rsidRPr="00A608EE">
        <w:rPr>
          <w:rFonts w:asciiTheme="majorHAnsi" w:hAnsiTheme="majorHAnsi"/>
          <w:sz w:val="20"/>
          <w:szCs w:val="20"/>
        </w:rPr>
        <w:t>ommunicating clearly and respectfully with clients with different types of impairments (physical, mental, intellectual or sensory impairments)</w:t>
      </w:r>
      <w:r w:rsidR="005A35B7" w:rsidRPr="00A608EE">
        <w:rPr>
          <w:rFonts w:asciiTheme="majorHAnsi" w:hAnsiTheme="majorHAnsi"/>
          <w:sz w:val="20"/>
          <w:szCs w:val="20"/>
        </w:rPr>
        <w:t>.</w:t>
      </w:r>
    </w:p>
    <w:p w14:paraId="3FBD5C1A" w14:textId="77777777" w:rsidR="00F97F91" w:rsidRPr="00A608EE" w:rsidRDefault="00F97F91" w:rsidP="00EE208A">
      <w:pPr>
        <w:pStyle w:val="NormalWeb"/>
        <w:spacing w:before="0" w:beforeAutospacing="0" w:after="0" w:afterAutospacing="0"/>
        <w:jc w:val="both"/>
        <w:rPr>
          <w:rFonts w:asciiTheme="majorHAnsi" w:hAnsiTheme="majorHAnsi"/>
          <w:b/>
          <w:bCs/>
          <w:sz w:val="20"/>
          <w:szCs w:val="20"/>
        </w:rPr>
      </w:pPr>
    </w:p>
    <w:p w14:paraId="5CE6A337" w14:textId="25B4F04D" w:rsidR="005A35B7" w:rsidRPr="00A608EE" w:rsidRDefault="005A35B7" w:rsidP="00EE208A">
      <w:pPr>
        <w:pStyle w:val="NormalWeb"/>
        <w:spacing w:before="0" w:beforeAutospacing="0" w:after="0" w:afterAutospacing="0"/>
        <w:jc w:val="both"/>
        <w:rPr>
          <w:rFonts w:asciiTheme="majorHAnsi" w:hAnsiTheme="majorHAnsi"/>
          <w:b/>
          <w:bCs/>
          <w:sz w:val="20"/>
          <w:szCs w:val="20"/>
        </w:rPr>
      </w:pPr>
      <w:r w:rsidRPr="00A608EE">
        <w:rPr>
          <w:noProof/>
        </w:rPr>
        <mc:AlternateContent>
          <mc:Choice Requires="wps">
            <w:drawing>
              <wp:anchor distT="0" distB="0" distL="114300" distR="114300" simplePos="0" relativeHeight="251763712" behindDoc="0" locked="0" layoutInCell="1" allowOverlap="1" wp14:anchorId="29737C83" wp14:editId="2F49CC5B">
                <wp:simplePos x="0" y="0"/>
                <wp:positionH relativeFrom="margin">
                  <wp:align>left</wp:align>
                </wp:positionH>
                <wp:positionV relativeFrom="paragraph">
                  <wp:posOffset>147955</wp:posOffset>
                </wp:positionV>
                <wp:extent cx="1828800" cy="3003550"/>
                <wp:effectExtent l="0" t="0" r="24130" b="25400"/>
                <wp:wrapSquare wrapText="bothSides"/>
                <wp:docPr id="149859148" name="Cuadro de texto 1"/>
                <wp:cNvGraphicFramePr/>
                <a:graphic xmlns:a="http://schemas.openxmlformats.org/drawingml/2006/main">
                  <a:graphicData uri="http://schemas.microsoft.com/office/word/2010/wordprocessingShape">
                    <wps:wsp>
                      <wps:cNvSpPr txBox="1"/>
                      <wps:spPr>
                        <a:xfrm>
                          <a:off x="0" y="0"/>
                          <a:ext cx="1828800" cy="3003550"/>
                        </a:xfrm>
                        <a:prstGeom prst="rect">
                          <a:avLst/>
                        </a:prstGeom>
                        <a:noFill/>
                        <a:ln w="6350">
                          <a:solidFill>
                            <a:prstClr val="black"/>
                          </a:solidFill>
                        </a:ln>
                      </wps:spPr>
                      <wps:txbx>
                        <w:txbxContent>
                          <w:p w14:paraId="47877547" w14:textId="5E2C89EC" w:rsidR="005A35B7" w:rsidRPr="00820B09" w:rsidRDefault="0084416A" w:rsidP="005A35B7">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F26FB9" w:rsidRPr="00820B09">
                              <w:rPr>
                                <w:rFonts w:asciiTheme="majorHAnsi" w:hAnsiTheme="majorHAnsi"/>
                                <w:b/>
                                <w:bCs/>
                                <w:sz w:val="20"/>
                                <w:szCs w:val="15"/>
                                <w:lang w:eastAsia="fr-FR"/>
                              </w:rPr>
                              <w:t>5.C.1.3</w:t>
                            </w:r>
                          </w:p>
                          <w:p w14:paraId="32AAF485" w14:textId="77777777" w:rsidR="005A35B7" w:rsidRPr="00820B09" w:rsidRDefault="005A35B7" w:rsidP="005A35B7">
                            <w:pPr>
                              <w:jc w:val="both"/>
                              <w:rPr>
                                <w:rFonts w:asciiTheme="majorHAnsi" w:hAnsiTheme="majorHAnsi"/>
                                <w:sz w:val="20"/>
                                <w:szCs w:val="15"/>
                                <w:lang w:eastAsia="fr-FR"/>
                              </w:rPr>
                            </w:pPr>
                          </w:p>
                          <w:p w14:paraId="052F981A" w14:textId="3DCBDE69" w:rsidR="00F26FB9" w:rsidRPr="00820B09" w:rsidRDefault="00F26FB9" w:rsidP="00F26FB9">
                            <w:pPr>
                              <w:jc w:val="both"/>
                              <w:rPr>
                                <w:rFonts w:asciiTheme="majorHAnsi" w:hAnsiTheme="majorHAnsi"/>
                                <w:sz w:val="20"/>
                                <w:szCs w:val="15"/>
                                <w:lang w:eastAsia="fr-FR"/>
                              </w:rPr>
                            </w:pPr>
                            <w:r w:rsidRPr="00820B09">
                              <w:rPr>
                                <w:rFonts w:asciiTheme="majorHAnsi" w:hAnsiTheme="majorHAnsi"/>
                                <w:sz w:val="20"/>
                                <w:szCs w:val="15"/>
                                <w:lang w:eastAsia="fr-FR"/>
                              </w:rPr>
                              <w:t xml:space="preserve">Attitudinal barriers are amongst the greatest challenges to inclusion of persons with disabilities. As in society at large, FSP staff may hold misconceptions about the capabilities of persons with disabilities, including assumptions about their ability to work, manage their finances independently, or repay credit. These perceptions can directly influence decision-making and interactions, with negative impacts for clients and colleagues with disabilities. </w:t>
                            </w:r>
                            <w:r w:rsidR="00C23D0C" w:rsidRPr="00820B09">
                              <w:rPr>
                                <w:rFonts w:asciiTheme="majorHAnsi" w:hAnsiTheme="majorHAnsi"/>
                                <w:sz w:val="20"/>
                                <w:szCs w:val="15"/>
                                <w:lang w:eastAsia="fr-FR"/>
                              </w:rPr>
                              <w:t>Staff may also lack the skills and confidence to interact effectively and respectfully with clients with disabilities and serve their particular needs.</w:t>
                            </w:r>
                          </w:p>
                          <w:p w14:paraId="0090D140" w14:textId="77777777" w:rsidR="00DD1616" w:rsidRPr="00820B09" w:rsidRDefault="00DD1616" w:rsidP="00F26FB9">
                            <w:pPr>
                              <w:jc w:val="both"/>
                              <w:rPr>
                                <w:rFonts w:asciiTheme="majorHAnsi" w:hAnsiTheme="majorHAnsi"/>
                                <w:sz w:val="20"/>
                                <w:szCs w:val="15"/>
                                <w:lang w:eastAsia="fr-FR"/>
                              </w:rPr>
                            </w:pPr>
                          </w:p>
                          <w:p w14:paraId="62512DF9" w14:textId="77777777" w:rsidR="00C23D0C" w:rsidRPr="00820B09" w:rsidRDefault="00DD1616" w:rsidP="00F26FB9">
                            <w:pPr>
                              <w:jc w:val="both"/>
                              <w:rPr>
                                <w:rFonts w:asciiTheme="majorHAnsi" w:hAnsiTheme="majorHAnsi"/>
                                <w:sz w:val="20"/>
                                <w:szCs w:val="15"/>
                                <w:lang w:eastAsia="fr-FR"/>
                              </w:rPr>
                            </w:pPr>
                            <w:r w:rsidRPr="00820B09">
                              <w:rPr>
                                <w:rFonts w:asciiTheme="majorHAnsi" w:hAnsiTheme="majorHAnsi"/>
                                <w:sz w:val="20"/>
                                <w:szCs w:val="15"/>
                                <w:lang w:eastAsia="fr-FR"/>
                              </w:rPr>
                              <w:t xml:space="preserve">For client-facing staff, </w:t>
                            </w:r>
                            <w:r w:rsidR="00FD4831" w:rsidRPr="00820B09">
                              <w:rPr>
                                <w:rFonts w:asciiTheme="majorHAnsi" w:hAnsiTheme="majorHAnsi"/>
                                <w:sz w:val="20"/>
                                <w:szCs w:val="15"/>
                                <w:lang w:eastAsia="fr-FR"/>
                              </w:rPr>
                              <w:t>n</w:t>
                            </w:r>
                            <w:r w:rsidRPr="00820B09">
                              <w:rPr>
                                <w:rFonts w:asciiTheme="majorHAnsi" w:hAnsiTheme="majorHAnsi"/>
                                <w:sz w:val="20"/>
                                <w:szCs w:val="15"/>
                                <w:lang w:eastAsia="fr-FR"/>
                              </w:rPr>
                              <w:t xml:space="preserve">ew employee orientation and induction training should include checking and strengthening capacities for understanding and serving the needs and priorities of clients with disabilities within target client segments. </w:t>
                            </w:r>
                          </w:p>
                          <w:p w14:paraId="43C01308" w14:textId="77777777" w:rsidR="00C23D0C" w:rsidRPr="00820B09" w:rsidRDefault="00C23D0C" w:rsidP="00F26FB9">
                            <w:pPr>
                              <w:jc w:val="both"/>
                              <w:rPr>
                                <w:rFonts w:asciiTheme="majorHAnsi" w:hAnsiTheme="majorHAnsi"/>
                                <w:sz w:val="20"/>
                                <w:szCs w:val="15"/>
                                <w:lang w:eastAsia="fr-FR"/>
                              </w:rPr>
                            </w:pPr>
                          </w:p>
                          <w:p w14:paraId="0D42F0D4" w14:textId="03079718" w:rsidR="00DD1616" w:rsidRPr="00820B09" w:rsidRDefault="00DD1616" w:rsidP="00F26FB9">
                            <w:pPr>
                              <w:jc w:val="both"/>
                              <w:rPr>
                                <w:rFonts w:asciiTheme="majorHAnsi" w:hAnsiTheme="majorHAnsi"/>
                                <w:sz w:val="20"/>
                                <w:szCs w:val="15"/>
                                <w:lang w:eastAsia="fr-FR"/>
                              </w:rPr>
                            </w:pPr>
                            <w:r w:rsidRPr="00820B09">
                              <w:rPr>
                                <w:rFonts w:asciiTheme="majorHAnsi" w:hAnsiTheme="majorHAnsi"/>
                                <w:sz w:val="20"/>
                                <w:szCs w:val="15"/>
                                <w:lang w:eastAsia="fr-FR"/>
                              </w:rPr>
                              <w:t xml:space="preserve">Key topics include disability etiquette, communicating with and assisting clients with different types of impairments (see indicator 4.B.1.4), providing and communicating information in accessible formats (see indicator </w:t>
                            </w:r>
                            <w:r w:rsidRPr="00820B09">
                              <w:rPr>
                                <w:rFonts w:asciiTheme="minorHAnsi" w:hAnsiTheme="minorHAnsi"/>
                                <w:sz w:val="20"/>
                                <w:szCs w:val="20"/>
                              </w:rPr>
                              <w:t>4.B.1.4)</w:t>
                            </w:r>
                            <w:r w:rsidRPr="00820B09">
                              <w:rPr>
                                <w:rFonts w:asciiTheme="majorHAnsi" w:hAnsiTheme="majorHAnsi"/>
                                <w:sz w:val="20"/>
                                <w:szCs w:val="15"/>
                                <w:lang w:eastAsia="fr-FR"/>
                              </w:rPr>
                              <w:t>, responding appropriately to requests for support or accommodations</w:t>
                            </w:r>
                            <w:r w:rsidR="00C23D0C" w:rsidRPr="00820B09">
                              <w:rPr>
                                <w:rFonts w:asciiTheme="majorHAnsi" w:hAnsiTheme="majorHAnsi"/>
                                <w:sz w:val="20"/>
                                <w:szCs w:val="15"/>
                                <w:lang w:eastAsia="fr-FR"/>
                              </w:rPr>
                              <w:t>,</w:t>
                            </w:r>
                            <w:r w:rsidRPr="00820B09">
                              <w:rPr>
                                <w:rFonts w:asciiTheme="majorHAnsi" w:hAnsiTheme="majorHAnsi"/>
                                <w:sz w:val="20"/>
                                <w:szCs w:val="15"/>
                                <w:lang w:eastAsia="fr-FR"/>
                              </w:rPr>
                              <w:t xml:space="preserve"> and client protection and safeguarding consideration</w:t>
                            </w:r>
                            <w:r w:rsidR="00C23D0C" w:rsidRPr="00820B09">
                              <w:rPr>
                                <w:rFonts w:asciiTheme="majorHAnsi" w:hAnsiTheme="majorHAnsi"/>
                                <w:sz w:val="20"/>
                                <w:szCs w:val="15"/>
                                <w:lang w:eastAsia="fr-FR"/>
                              </w:rPr>
                              <w:t>s (see indicators for Dimension 4.</w:t>
                            </w:r>
                          </w:p>
                          <w:p w14:paraId="601EE686" w14:textId="77777777" w:rsidR="00DD1616" w:rsidRPr="00820B09" w:rsidRDefault="00DD1616" w:rsidP="00F26FB9">
                            <w:pPr>
                              <w:jc w:val="both"/>
                              <w:rPr>
                                <w:rFonts w:asciiTheme="majorHAnsi" w:hAnsiTheme="majorHAnsi"/>
                                <w:sz w:val="20"/>
                                <w:szCs w:val="15"/>
                                <w:lang w:eastAsia="fr-FR"/>
                              </w:rPr>
                            </w:pPr>
                          </w:p>
                          <w:p w14:paraId="62E5E04B" w14:textId="77777777" w:rsidR="00DD1616" w:rsidRPr="00820B09" w:rsidRDefault="00DD1616" w:rsidP="00F26FB9">
                            <w:pPr>
                              <w:jc w:val="both"/>
                              <w:rPr>
                                <w:rFonts w:asciiTheme="majorHAnsi" w:hAnsiTheme="majorHAnsi"/>
                                <w:sz w:val="20"/>
                                <w:szCs w:val="15"/>
                                <w:lang w:eastAsia="fr-FR"/>
                              </w:rPr>
                            </w:pPr>
                          </w:p>
                          <w:p w14:paraId="4452CCA1" w14:textId="77777777" w:rsidR="00DD1616" w:rsidRPr="00820B09" w:rsidRDefault="00DD1616" w:rsidP="00F26FB9">
                            <w:pPr>
                              <w:jc w:val="both"/>
                              <w:rPr>
                                <w:rFonts w:asciiTheme="majorHAnsi" w:hAnsiTheme="majorHAnsi"/>
                                <w:sz w:val="20"/>
                                <w:szCs w:val="15"/>
                                <w:lang w:eastAsia="fr-FR"/>
                              </w:rPr>
                            </w:pPr>
                          </w:p>
                          <w:p w14:paraId="271C8381" w14:textId="77777777" w:rsidR="00DD1616" w:rsidRPr="00820B09" w:rsidRDefault="00DD1616" w:rsidP="00F26FB9">
                            <w:pPr>
                              <w:jc w:val="both"/>
                              <w:rPr>
                                <w:rFonts w:asciiTheme="majorHAnsi" w:hAnsiTheme="majorHAnsi"/>
                                <w:sz w:val="20"/>
                                <w:szCs w:val="15"/>
                                <w:lang w:eastAsia="fr-FR"/>
                              </w:rPr>
                            </w:pPr>
                          </w:p>
                          <w:p w14:paraId="2488DE29" w14:textId="77777777" w:rsidR="00DD1616" w:rsidRPr="00820B09" w:rsidRDefault="00DD1616" w:rsidP="00F26FB9">
                            <w:pPr>
                              <w:jc w:val="both"/>
                              <w:rPr>
                                <w:rFonts w:asciiTheme="majorHAnsi" w:hAnsiTheme="majorHAnsi"/>
                                <w:sz w:val="20"/>
                                <w:szCs w:val="15"/>
                                <w:lang w:eastAsia="fr-FR"/>
                              </w:rPr>
                            </w:pPr>
                          </w:p>
                          <w:p w14:paraId="60A350EF" w14:textId="77777777" w:rsidR="00DD1616" w:rsidRPr="00820B09" w:rsidRDefault="00DD1616" w:rsidP="00F26FB9">
                            <w:pPr>
                              <w:jc w:val="both"/>
                              <w:rPr>
                                <w:rFonts w:asciiTheme="majorHAnsi" w:hAnsiTheme="majorHAnsi"/>
                                <w:sz w:val="20"/>
                                <w:szCs w:val="15"/>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737C83" id="_x0000_s1068" type="#_x0000_t202" style="position:absolute;left:0;text-align:left;margin-left:0;margin-top:11.65pt;width:2in;height:236.5pt;z-index:25176371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" filled="f" strokeweight=".5pt">
                <v:textbox>
                  <w:txbxContent>
                    <w:p w14:paraId="47877547" w14:textId="5E2C89EC" w:rsidR="005A35B7" w:rsidRPr="00820B09" w:rsidRDefault="0084416A" w:rsidP="005A35B7">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F26FB9" w:rsidRPr="00820B09">
                        <w:rPr>
                          <w:rFonts w:asciiTheme="majorHAnsi" w:hAnsiTheme="majorHAnsi"/>
                          <w:b/>
                          <w:bCs/>
                          <w:sz w:val="20"/>
                          <w:szCs w:val="15"/>
                          <w:lang w:eastAsia="fr-FR"/>
                        </w:rPr>
                        <w:t>5.C.1.3</w:t>
                      </w:r>
                    </w:p>
                    <w:p w14:paraId="32AAF485" w14:textId="77777777" w:rsidR="005A35B7" w:rsidRPr="00820B09" w:rsidRDefault="005A35B7" w:rsidP="005A35B7">
                      <w:pPr>
                        <w:jc w:val="both"/>
                        <w:rPr>
                          <w:rFonts w:asciiTheme="majorHAnsi" w:hAnsiTheme="majorHAnsi"/>
                          <w:sz w:val="20"/>
                          <w:szCs w:val="15"/>
                          <w:lang w:eastAsia="fr-FR"/>
                        </w:rPr>
                      </w:pPr>
                    </w:p>
                    <w:p w14:paraId="052F981A" w14:textId="3DCBDE69" w:rsidR="00F26FB9" w:rsidRPr="00820B09" w:rsidRDefault="00F26FB9" w:rsidP="00F26FB9">
                      <w:pPr>
                        <w:jc w:val="both"/>
                        <w:rPr>
                          <w:rFonts w:asciiTheme="majorHAnsi" w:hAnsiTheme="majorHAnsi"/>
                          <w:sz w:val="20"/>
                          <w:szCs w:val="15"/>
                          <w:lang w:eastAsia="fr-FR"/>
                        </w:rPr>
                      </w:pPr>
                      <w:r w:rsidRPr="00820B09">
                        <w:rPr>
                          <w:rFonts w:asciiTheme="majorHAnsi" w:hAnsiTheme="majorHAnsi"/>
                          <w:sz w:val="20"/>
                          <w:szCs w:val="15"/>
                          <w:lang w:eastAsia="fr-FR"/>
                        </w:rPr>
                        <w:t xml:space="preserve">Attitudinal barriers are amongst the greatest challenges to inclusion of persons with disabilities. As in society at large, FSP staff may hold misconceptions about the capabilities of persons with disabilities, including assumptions about their ability to work, manage their finances independently, or repay credit. These perceptions can directly influence decision-making and interactions, with negative impacts for clients and colleagues with disabilities. </w:t>
                      </w:r>
                      <w:r w:rsidR="00C23D0C" w:rsidRPr="00820B09">
                        <w:rPr>
                          <w:rFonts w:asciiTheme="majorHAnsi" w:hAnsiTheme="majorHAnsi"/>
                          <w:sz w:val="20"/>
                          <w:szCs w:val="15"/>
                          <w:lang w:eastAsia="fr-FR"/>
                        </w:rPr>
                        <w:t>Staff may also lack the skills and confidence to interact effectively and respectfully with clients with disabilities and serve their particular needs.</w:t>
                      </w:r>
                    </w:p>
                    <w:p w14:paraId="0090D140" w14:textId="77777777" w:rsidR="00DD1616" w:rsidRPr="00820B09" w:rsidRDefault="00DD1616" w:rsidP="00F26FB9">
                      <w:pPr>
                        <w:jc w:val="both"/>
                        <w:rPr>
                          <w:rFonts w:asciiTheme="majorHAnsi" w:hAnsiTheme="majorHAnsi"/>
                          <w:sz w:val="20"/>
                          <w:szCs w:val="15"/>
                          <w:lang w:eastAsia="fr-FR"/>
                        </w:rPr>
                      </w:pPr>
                    </w:p>
                    <w:p w14:paraId="62512DF9" w14:textId="77777777" w:rsidR="00C23D0C" w:rsidRPr="00820B09" w:rsidRDefault="00DD1616" w:rsidP="00F26FB9">
                      <w:pPr>
                        <w:jc w:val="both"/>
                        <w:rPr>
                          <w:rFonts w:asciiTheme="majorHAnsi" w:hAnsiTheme="majorHAnsi"/>
                          <w:sz w:val="20"/>
                          <w:szCs w:val="15"/>
                          <w:lang w:eastAsia="fr-FR"/>
                        </w:rPr>
                      </w:pPr>
                      <w:r w:rsidRPr="00820B09">
                        <w:rPr>
                          <w:rFonts w:asciiTheme="majorHAnsi" w:hAnsiTheme="majorHAnsi"/>
                          <w:sz w:val="20"/>
                          <w:szCs w:val="15"/>
                          <w:lang w:eastAsia="fr-FR"/>
                        </w:rPr>
                        <w:t xml:space="preserve">For client-facing staff, </w:t>
                      </w:r>
                      <w:r w:rsidR="00FD4831" w:rsidRPr="00820B09">
                        <w:rPr>
                          <w:rFonts w:asciiTheme="majorHAnsi" w:hAnsiTheme="majorHAnsi"/>
                          <w:sz w:val="20"/>
                          <w:szCs w:val="15"/>
                          <w:lang w:eastAsia="fr-FR"/>
                        </w:rPr>
                        <w:t>n</w:t>
                      </w:r>
                      <w:r w:rsidRPr="00820B09">
                        <w:rPr>
                          <w:rFonts w:asciiTheme="majorHAnsi" w:hAnsiTheme="majorHAnsi"/>
                          <w:sz w:val="20"/>
                          <w:szCs w:val="15"/>
                          <w:lang w:eastAsia="fr-FR"/>
                        </w:rPr>
                        <w:t xml:space="preserve">ew employee orientation and induction training should include checking and strengthening capacities for understanding and serving the needs and priorities of clients with disabilities within target client segments. </w:t>
                      </w:r>
                    </w:p>
                    <w:p w14:paraId="43C01308" w14:textId="77777777" w:rsidR="00C23D0C" w:rsidRPr="00820B09" w:rsidRDefault="00C23D0C" w:rsidP="00F26FB9">
                      <w:pPr>
                        <w:jc w:val="both"/>
                        <w:rPr>
                          <w:rFonts w:asciiTheme="majorHAnsi" w:hAnsiTheme="majorHAnsi"/>
                          <w:sz w:val="20"/>
                          <w:szCs w:val="15"/>
                          <w:lang w:eastAsia="fr-FR"/>
                        </w:rPr>
                      </w:pPr>
                    </w:p>
                    <w:p w14:paraId="0D42F0D4" w14:textId="03079718" w:rsidR="00DD1616" w:rsidRPr="00820B09" w:rsidRDefault="00DD1616" w:rsidP="00F26FB9">
                      <w:pPr>
                        <w:jc w:val="both"/>
                        <w:rPr>
                          <w:rFonts w:asciiTheme="majorHAnsi" w:hAnsiTheme="majorHAnsi"/>
                          <w:sz w:val="20"/>
                          <w:szCs w:val="15"/>
                          <w:lang w:eastAsia="fr-FR"/>
                        </w:rPr>
                      </w:pPr>
                      <w:r w:rsidRPr="00820B09">
                        <w:rPr>
                          <w:rFonts w:asciiTheme="majorHAnsi" w:hAnsiTheme="majorHAnsi"/>
                          <w:sz w:val="20"/>
                          <w:szCs w:val="15"/>
                          <w:lang w:eastAsia="fr-FR"/>
                        </w:rPr>
                        <w:t xml:space="preserve">Key topics include disability etiquette, communicating with and assisting clients with different types of impairments (see indicator 4.B.1.4), providing and communicating information in accessible formats (see indicator </w:t>
                      </w:r>
                      <w:r w:rsidRPr="00820B09">
                        <w:rPr>
                          <w:rFonts w:asciiTheme="minorHAnsi" w:hAnsiTheme="minorHAnsi"/>
                          <w:sz w:val="20"/>
                          <w:szCs w:val="20"/>
                        </w:rPr>
                        <w:t>4.B.1.4)</w:t>
                      </w:r>
                      <w:r w:rsidRPr="00820B09">
                        <w:rPr>
                          <w:rFonts w:asciiTheme="majorHAnsi" w:hAnsiTheme="majorHAnsi"/>
                          <w:sz w:val="20"/>
                          <w:szCs w:val="15"/>
                          <w:lang w:eastAsia="fr-FR"/>
                        </w:rPr>
                        <w:t>, responding appropriately to requests for support or accommodations</w:t>
                      </w:r>
                      <w:r w:rsidR="00C23D0C" w:rsidRPr="00820B09">
                        <w:rPr>
                          <w:rFonts w:asciiTheme="majorHAnsi" w:hAnsiTheme="majorHAnsi"/>
                          <w:sz w:val="20"/>
                          <w:szCs w:val="15"/>
                          <w:lang w:eastAsia="fr-FR"/>
                        </w:rPr>
                        <w:t>,</w:t>
                      </w:r>
                      <w:r w:rsidRPr="00820B09">
                        <w:rPr>
                          <w:rFonts w:asciiTheme="majorHAnsi" w:hAnsiTheme="majorHAnsi"/>
                          <w:sz w:val="20"/>
                          <w:szCs w:val="15"/>
                          <w:lang w:eastAsia="fr-FR"/>
                        </w:rPr>
                        <w:t xml:space="preserve"> and client protection and safeguarding consideration</w:t>
                      </w:r>
                      <w:r w:rsidR="00C23D0C" w:rsidRPr="00820B09">
                        <w:rPr>
                          <w:rFonts w:asciiTheme="majorHAnsi" w:hAnsiTheme="majorHAnsi"/>
                          <w:sz w:val="20"/>
                          <w:szCs w:val="15"/>
                          <w:lang w:eastAsia="fr-FR"/>
                        </w:rPr>
                        <w:t>s (see indicators for Dimension 4.</w:t>
                      </w:r>
                    </w:p>
                    <w:p w14:paraId="601EE686" w14:textId="77777777" w:rsidR="00DD1616" w:rsidRPr="00820B09" w:rsidRDefault="00DD1616" w:rsidP="00F26FB9">
                      <w:pPr>
                        <w:jc w:val="both"/>
                        <w:rPr>
                          <w:rFonts w:asciiTheme="majorHAnsi" w:hAnsiTheme="majorHAnsi"/>
                          <w:sz w:val="20"/>
                          <w:szCs w:val="15"/>
                          <w:lang w:eastAsia="fr-FR"/>
                        </w:rPr>
                      </w:pPr>
                    </w:p>
                    <w:p w14:paraId="62E5E04B" w14:textId="77777777" w:rsidR="00DD1616" w:rsidRPr="00820B09" w:rsidRDefault="00DD1616" w:rsidP="00F26FB9">
                      <w:pPr>
                        <w:jc w:val="both"/>
                        <w:rPr>
                          <w:rFonts w:asciiTheme="majorHAnsi" w:hAnsiTheme="majorHAnsi"/>
                          <w:sz w:val="20"/>
                          <w:szCs w:val="15"/>
                          <w:lang w:eastAsia="fr-FR"/>
                        </w:rPr>
                      </w:pPr>
                    </w:p>
                    <w:p w14:paraId="4452CCA1" w14:textId="77777777" w:rsidR="00DD1616" w:rsidRPr="00820B09" w:rsidRDefault="00DD1616" w:rsidP="00F26FB9">
                      <w:pPr>
                        <w:jc w:val="both"/>
                        <w:rPr>
                          <w:rFonts w:asciiTheme="majorHAnsi" w:hAnsiTheme="majorHAnsi"/>
                          <w:sz w:val="20"/>
                          <w:szCs w:val="15"/>
                          <w:lang w:eastAsia="fr-FR"/>
                        </w:rPr>
                      </w:pPr>
                    </w:p>
                    <w:p w14:paraId="271C8381" w14:textId="77777777" w:rsidR="00DD1616" w:rsidRPr="00820B09" w:rsidRDefault="00DD1616" w:rsidP="00F26FB9">
                      <w:pPr>
                        <w:jc w:val="both"/>
                        <w:rPr>
                          <w:rFonts w:asciiTheme="majorHAnsi" w:hAnsiTheme="majorHAnsi"/>
                          <w:sz w:val="20"/>
                          <w:szCs w:val="15"/>
                          <w:lang w:eastAsia="fr-FR"/>
                        </w:rPr>
                      </w:pPr>
                    </w:p>
                    <w:p w14:paraId="2488DE29" w14:textId="77777777" w:rsidR="00DD1616" w:rsidRPr="00820B09" w:rsidRDefault="00DD1616" w:rsidP="00F26FB9">
                      <w:pPr>
                        <w:jc w:val="both"/>
                        <w:rPr>
                          <w:rFonts w:asciiTheme="majorHAnsi" w:hAnsiTheme="majorHAnsi"/>
                          <w:sz w:val="20"/>
                          <w:szCs w:val="15"/>
                          <w:lang w:eastAsia="fr-FR"/>
                        </w:rPr>
                      </w:pPr>
                    </w:p>
                    <w:p w14:paraId="60A350EF" w14:textId="77777777" w:rsidR="00DD1616" w:rsidRPr="00820B09" w:rsidRDefault="00DD1616" w:rsidP="00F26FB9">
                      <w:pPr>
                        <w:jc w:val="both"/>
                        <w:rPr>
                          <w:rFonts w:asciiTheme="majorHAnsi" w:hAnsiTheme="majorHAnsi"/>
                          <w:sz w:val="20"/>
                          <w:szCs w:val="15"/>
                          <w:lang w:eastAsia="fr-FR"/>
                        </w:rPr>
                      </w:pPr>
                    </w:p>
                  </w:txbxContent>
                </v:textbox>
                <w10:wrap type="square" anchorx="margin"/>
              </v:shape>
            </w:pict>
          </mc:Fallback>
        </mc:AlternateContent>
      </w:r>
    </w:p>
    <w:p w14:paraId="5F9F577F" w14:textId="1C9EB811"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51F08F94" w14:textId="29057A9E" w:rsidR="00C95130" w:rsidRPr="00A608EE" w:rsidRDefault="00C95130" w:rsidP="00A27AAA">
      <w:pPr>
        <w:pStyle w:val="NormalWeb"/>
        <w:numPr>
          <w:ilvl w:val="0"/>
          <w:numId w:val="338"/>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has a systemic inception training process for client-facing employees in place that comprises:</w:t>
      </w:r>
    </w:p>
    <w:p w14:paraId="14C0F703" w14:textId="77777777" w:rsidR="00C95130" w:rsidRPr="00A608EE" w:rsidRDefault="00C95130" w:rsidP="00A27AAA">
      <w:pPr>
        <w:pStyle w:val="NormalWeb"/>
        <w:numPr>
          <w:ilvl w:val="1"/>
          <w:numId w:val="33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on-the-job learning in serving target clients,</w:t>
      </w:r>
    </w:p>
    <w:p w14:paraId="49D0E430" w14:textId="77777777" w:rsidR="00C95130" w:rsidRPr="00A608EE" w:rsidRDefault="00C95130" w:rsidP="00A27AAA">
      <w:pPr>
        <w:pStyle w:val="NormalWeb"/>
        <w:numPr>
          <w:ilvl w:val="1"/>
          <w:numId w:val="33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coaching support from a senior staff or manager, and</w:t>
      </w:r>
    </w:p>
    <w:p w14:paraId="6DCEE4D2" w14:textId="77777777" w:rsidR="00C95130" w:rsidRPr="00A608EE" w:rsidRDefault="00C95130" w:rsidP="00A27AAA">
      <w:pPr>
        <w:pStyle w:val="NormalWeb"/>
        <w:numPr>
          <w:ilvl w:val="1"/>
          <w:numId w:val="339"/>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 assessment of how the new employee is able to serve adequately the target clients.</w:t>
      </w:r>
    </w:p>
    <w:p w14:paraId="352D2EE5" w14:textId="77777777" w:rsidR="00C95130" w:rsidRPr="00A608EE" w:rsidRDefault="00C95130" w:rsidP="00A27AAA">
      <w:pPr>
        <w:pStyle w:val="NormalWeb"/>
        <w:numPr>
          <w:ilvl w:val="0"/>
          <w:numId w:val="34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three requirements are met only partly. For instance, (i) on-the-job learning is limited as the new recruits must assist senior staff rather than serving directly clients or (ii) senior staff or managers have limited time for coaching the new recruits or (iii) the assessment how the new recruits are able to serve adequately the target clients is mostly informal.</w:t>
      </w:r>
    </w:p>
    <w:p w14:paraId="216CE288" w14:textId="77777777" w:rsidR="00C95130" w:rsidRPr="00A608EE" w:rsidRDefault="00C95130" w:rsidP="00A27AAA">
      <w:pPr>
        <w:pStyle w:val="NormalWeb"/>
        <w:numPr>
          <w:ilvl w:val="0"/>
          <w:numId w:val="34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there is no inception training process for client-facing employees in place or two of the three requirements are largely not met.  </w:t>
      </w:r>
    </w:p>
    <w:p w14:paraId="409704AE"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p>
    <w:p w14:paraId="693B3EFD" w14:textId="72CD1477"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20EC69F8" w14:textId="77777777" w:rsidR="00C95130" w:rsidRPr="00A608EE" w:rsidRDefault="00C95130" w:rsidP="00A27AAA">
      <w:pPr>
        <w:pStyle w:val="NormalWeb"/>
        <w:numPr>
          <w:ilvl w:val="0"/>
          <w:numId w:val="34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w:t>
      </w:r>
    </w:p>
    <w:p w14:paraId="28AA24D0" w14:textId="77777777" w:rsidR="00C95130" w:rsidRPr="00A608EE" w:rsidRDefault="00C95130" w:rsidP="00A27AAA">
      <w:pPr>
        <w:pStyle w:val="NormalWeb"/>
        <w:numPr>
          <w:ilvl w:val="0"/>
          <w:numId w:val="34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Inception training guidelines for front-line employees.</w:t>
      </w:r>
    </w:p>
    <w:p w14:paraId="2253119C" w14:textId="77777777" w:rsidR="00C95130" w:rsidRPr="00A608EE" w:rsidRDefault="00C95130" w:rsidP="00A27AAA">
      <w:pPr>
        <w:pStyle w:val="NormalWeb"/>
        <w:numPr>
          <w:ilvl w:val="0"/>
          <w:numId w:val="34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HR manager, HR staff in charge of recruitment, and different newly recruited client-facing employees (women and men).</w:t>
      </w:r>
    </w:p>
    <w:p w14:paraId="25403ED3"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p>
    <w:p w14:paraId="67D7638A" w14:textId="523DBB1E"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57C8D307" w14:textId="74777E6C" w:rsidR="00666B00" w:rsidRPr="00A608EE" w:rsidRDefault="00C95130" w:rsidP="00A27AAA">
      <w:pPr>
        <w:pStyle w:val="NormalWeb"/>
        <w:numPr>
          <w:ilvl w:val="0"/>
          <w:numId w:val="34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Specify the elements in the integration procedure that allow to assess commitment and skills of client-facing employees to serve the target clients.</w:t>
      </w:r>
    </w:p>
    <w:p w14:paraId="769D52CA" w14:textId="77777777" w:rsidR="004340AA" w:rsidRPr="00A608EE" w:rsidRDefault="004340AA" w:rsidP="00EE208A">
      <w:pPr>
        <w:pStyle w:val="NormalWeb"/>
        <w:spacing w:before="0" w:beforeAutospacing="0" w:after="0" w:afterAutospacing="0"/>
        <w:jc w:val="both"/>
        <w:rPr>
          <w:rFonts w:asciiTheme="majorHAnsi" w:hAnsiTheme="majorHAnsi"/>
          <w:sz w:val="20"/>
          <w:szCs w:val="20"/>
        </w:rPr>
      </w:pPr>
    </w:p>
    <w:p w14:paraId="14462C5E" w14:textId="31EEC8E7" w:rsidR="0033157A" w:rsidRPr="00A608EE" w:rsidRDefault="0033157A" w:rsidP="00EE208A">
      <w:pPr>
        <w:pStyle w:val="Heading4"/>
        <w:spacing w:before="0" w:line="240" w:lineRule="auto"/>
        <w:jc w:val="both"/>
      </w:pPr>
      <w:r w:rsidRPr="00A608EE">
        <w:rPr>
          <w:rStyle w:val="text-primary"/>
        </w:rPr>
        <w:t>5.C.1.4</w:t>
      </w:r>
      <w:r w:rsidRPr="00A608EE">
        <w:t xml:space="preserve"> </w:t>
      </w:r>
      <w:r w:rsidR="00C95130" w:rsidRPr="00A608EE">
        <w:t>All employees sign a document acknowledging that they will abide by the Code of Conduct</w:t>
      </w:r>
      <w:r w:rsidR="002B3EF2" w:rsidRPr="00A608EE">
        <w:t>.</w:t>
      </w:r>
    </w:p>
    <w:p w14:paraId="1FDFD653" w14:textId="77777777" w:rsidR="00666B00" w:rsidRPr="00A608EE" w:rsidRDefault="00666B00" w:rsidP="00EE208A">
      <w:pPr>
        <w:jc w:val="both"/>
        <w:rPr>
          <w:rFonts w:asciiTheme="majorHAnsi" w:hAnsiTheme="majorHAnsi"/>
          <w:szCs w:val="20"/>
        </w:rPr>
      </w:pPr>
    </w:p>
    <w:p w14:paraId="799D910F" w14:textId="0BC59C00" w:rsidR="004340AA"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4340AA" w:rsidRPr="00A608EE">
        <w:rPr>
          <w:rFonts w:asciiTheme="majorHAnsi" w:hAnsiTheme="majorHAnsi" w:cstheme="majorHAnsi"/>
          <w:b/>
          <w:bCs/>
          <w:color w:val="2145CC" w:themeColor="accent5" w:themeShade="BF"/>
          <w:sz w:val="20"/>
          <w:szCs w:val="20"/>
        </w:rPr>
        <w:t xml:space="preserve">SPI5 Entry | SPI5 Full | CP Full </w:t>
      </w:r>
      <w:r w:rsidR="003452E4" w:rsidRPr="00A608EE">
        <w:rPr>
          <w:rFonts w:asciiTheme="majorHAnsi" w:hAnsiTheme="majorHAnsi" w:cstheme="majorHAnsi"/>
          <w:b/>
          <w:bCs/>
          <w:color w:val="2145CC" w:themeColor="accent5" w:themeShade="BF"/>
          <w:sz w:val="20"/>
          <w:szCs w:val="20"/>
        </w:rPr>
        <w:t xml:space="preserve">– </w:t>
      </w:r>
      <w:r w:rsidR="004340AA" w:rsidRPr="00A608EE">
        <w:rPr>
          <w:rFonts w:asciiTheme="majorHAnsi" w:hAnsiTheme="majorHAnsi" w:cstheme="majorHAnsi"/>
          <w:b/>
          <w:bCs/>
          <w:color w:val="2145CC" w:themeColor="accent5" w:themeShade="BF"/>
          <w:sz w:val="20"/>
          <w:szCs w:val="20"/>
        </w:rPr>
        <w:t>Progress CP</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1A5CEA84" w14:textId="226859D5" w:rsidR="004340AA" w:rsidRPr="00A608EE" w:rsidRDefault="00A56C89"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6AE1BB16" w14:textId="68F146EA" w:rsidR="00C95130" w:rsidRPr="00A608EE" w:rsidRDefault="00C9513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Having a Code of Conduct alone is not enough to make the values “come alive”. HR policies like recruitment, evaluation and training should reflect the standards laid out in the code. All employees should know the Code and declare their commitment to align with its rules by signing it.</w:t>
      </w:r>
    </w:p>
    <w:p w14:paraId="764217CF"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1874264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08096" behindDoc="1" locked="0" layoutInCell="1" allowOverlap="1" wp14:anchorId="3AED2B43" wp14:editId="0FD041B3">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12740153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15DD9AA"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8971848" w14:textId="5A615761" w:rsidR="00A56C89" w:rsidRPr="00A608EE" w:rsidRDefault="00386AB6"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A56C89" w:rsidRPr="00A608EE">
        <w:rPr>
          <w:rFonts w:asciiTheme="majorHAnsi" w:hAnsiTheme="majorHAnsi"/>
          <w:sz w:val="20"/>
          <w:szCs w:val="20"/>
        </w:rPr>
        <w:t>The provider provides the Code of Conduct in formats that are accessible for employees with different types of impairments (e.g., Easy-read, large print, braille, audio formats, oral information, sign language, accessible digital channels).</w:t>
      </w:r>
    </w:p>
    <w:p w14:paraId="4F7F16DF" w14:textId="77777777" w:rsidR="00741AB2" w:rsidRPr="00A608EE" w:rsidRDefault="00741AB2" w:rsidP="00EE208A">
      <w:pPr>
        <w:pStyle w:val="NormalWeb"/>
        <w:spacing w:before="0" w:beforeAutospacing="0" w:after="0" w:afterAutospacing="0"/>
        <w:jc w:val="both"/>
        <w:rPr>
          <w:rFonts w:asciiTheme="majorHAnsi" w:hAnsiTheme="majorHAnsi"/>
          <w:sz w:val="20"/>
          <w:szCs w:val="20"/>
        </w:rPr>
      </w:pPr>
    </w:p>
    <w:p w14:paraId="31332E1C" w14:textId="4967D88C" w:rsidR="00741AB2" w:rsidRPr="00A608EE" w:rsidRDefault="00741AB2" w:rsidP="00FD4831">
      <w:pPr>
        <w:jc w:val="both"/>
        <w:rPr>
          <w:rFonts w:asciiTheme="majorHAnsi" w:hAnsiTheme="majorHAnsi"/>
          <w:sz w:val="20"/>
          <w:szCs w:val="20"/>
          <w:lang w:eastAsia="fr-FR"/>
        </w:rPr>
      </w:pPr>
      <w:r w:rsidRPr="00A608EE">
        <w:rPr>
          <w:rFonts w:asciiTheme="majorHAnsi" w:hAnsiTheme="majorHAnsi"/>
          <w:sz w:val="20"/>
          <w:szCs w:val="20"/>
          <w:lang w:eastAsia="fr-FR"/>
        </w:rPr>
        <w:t>[</w:t>
      </w:r>
      <w:r w:rsidR="00A772A7" w:rsidRPr="00A608EE">
        <w:rPr>
          <w:rFonts w:asciiTheme="majorHAnsi" w:hAnsiTheme="majorHAnsi"/>
          <w:sz w:val="20"/>
          <w:szCs w:val="20"/>
          <w:lang w:eastAsia="fr-FR"/>
        </w:rPr>
        <w:t>See</w:t>
      </w:r>
      <w:r w:rsidR="00DD1616" w:rsidRPr="00A608EE">
        <w:rPr>
          <w:rFonts w:asciiTheme="majorHAnsi" w:hAnsiTheme="majorHAnsi"/>
          <w:sz w:val="20"/>
          <w:szCs w:val="20"/>
          <w:lang w:eastAsia="fr-FR"/>
        </w:rPr>
        <w:t xml:space="preserve"> indicator 4.B.1.4 for more information about accessible information formats]</w:t>
      </w:r>
    </w:p>
    <w:p w14:paraId="73526846" w14:textId="77777777" w:rsidR="00A56C89" w:rsidRPr="00A608EE" w:rsidRDefault="00A56C89" w:rsidP="00EE208A">
      <w:pPr>
        <w:pStyle w:val="NormalWeb"/>
        <w:spacing w:before="0" w:beforeAutospacing="0" w:after="0" w:afterAutospacing="0"/>
        <w:jc w:val="both"/>
        <w:rPr>
          <w:rFonts w:asciiTheme="majorHAnsi" w:hAnsiTheme="majorHAnsi"/>
          <w:sz w:val="20"/>
          <w:szCs w:val="20"/>
        </w:rPr>
      </w:pPr>
    </w:p>
    <w:p w14:paraId="3AABE28E" w14:textId="41D386A8"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6F1F2FCF" w14:textId="77777777" w:rsidR="00C95130" w:rsidRPr="00A608EE" w:rsidRDefault="00C95130" w:rsidP="00A27AAA">
      <w:pPr>
        <w:pStyle w:val="NormalWeb"/>
        <w:numPr>
          <w:ilvl w:val="0"/>
          <w:numId w:val="34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has a systemic process in place to ensure that all employees comply with its Code of Conduct by:</w:t>
      </w:r>
    </w:p>
    <w:p w14:paraId="1A7A0A51" w14:textId="77777777" w:rsidR="00C95130" w:rsidRPr="00A608EE" w:rsidRDefault="00C95130" w:rsidP="00A27AAA">
      <w:pPr>
        <w:pStyle w:val="NormalWeb"/>
        <w:numPr>
          <w:ilvl w:val="1"/>
          <w:numId w:val="34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having formulated it in a clear language that is comprehensible for all employees,</w:t>
      </w:r>
    </w:p>
    <w:p w14:paraId="56EA917A" w14:textId="77777777" w:rsidR="00C95130" w:rsidRPr="00A608EE" w:rsidRDefault="00C95130" w:rsidP="00A27AAA">
      <w:pPr>
        <w:pStyle w:val="NormalWeb"/>
        <w:numPr>
          <w:ilvl w:val="1"/>
          <w:numId w:val="34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offering practical training on how to follow it to all new employees and annual refresher trainings for all employees,</w:t>
      </w:r>
    </w:p>
    <w:p w14:paraId="7FDBDD2B" w14:textId="77777777" w:rsidR="00C95130" w:rsidRPr="00A608EE" w:rsidRDefault="00C95130" w:rsidP="00A27AAA">
      <w:pPr>
        <w:pStyle w:val="NormalWeb"/>
        <w:numPr>
          <w:ilvl w:val="1"/>
          <w:numId w:val="34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requesting all employee to sign it (best when also signing the employment contract), and</w:t>
      </w:r>
    </w:p>
    <w:p w14:paraId="30C0B162" w14:textId="77777777" w:rsidR="00C95130" w:rsidRPr="00A608EE" w:rsidRDefault="00C95130" w:rsidP="00A27AAA">
      <w:pPr>
        <w:pStyle w:val="NormalWeb"/>
        <w:numPr>
          <w:ilvl w:val="1"/>
          <w:numId w:val="34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controlling compliance regularly as part of employee performance evaluations and branch audits.</w:t>
      </w:r>
    </w:p>
    <w:p w14:paraId="6B61D2B1" w14:textId="77777777" w:rsidR="00C95130" w:rsidRPr="00A608EE" w:rsidRDefault="00C95130" w:rsidP="00A27AAA">
      <w:pPr>
        <w:pStyle w:val="NormalWeb"/>
        <w:numPr>
          <w:ilvl w:val="0"/>
          <w:numId w:val="34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one or two of the four requirements are met only partly. For instance, (i) the Code is vaguely or incompletely formulated or (ii) training on the Code is not practical enough to guide well the employees on how to comply with it or (iii) not all employees sign the Code or they sign their employment contract only where they declare to abide by the Code or (iv) the employee performance evaluations do not cover explicitly the compliance with the Code.</w:t>
      </w:r>
    </w:p>
    <w:p w14:paraId="22DCC531" w14:textId="77777777" w:rsidR="00C95130" w:rsidRPr="00A608EE" w:rsidRDefault="00C95130" w:rsidP="00A27AAA">
      <w:pPr>
        <w:pStyle w:val="NormalWeb"/>
        <w:numPr>
          <w:ilvl w:val="0"/>
          <w:numId w:val="34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there is no process in place to ensure compliance with the Code or most/all employees do not sign the Code or most employees do not understand well the Code or are not even aware of it.</w:t>
      </w:r>
    </w:p>
    <w:p w14:paraId="71C987F6"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p>
    <w:p w14:paraId="0A85AA11" w14:textId="70D335F2"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44DA09AB" w14:textId="77777777" w:rsidR="00C95130" w:rsidRPr="00A608EE" w:rsidRDefault="00C95130" w:rsidP="00A27AAA">
      <w:pPr>
        <w:pStyle w:val="NormalWeb"/>
        <w:numPr>
          <w:ilvl w:val="0"/>
          <w:numId w:val="34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HR Policy &amp; Procedures manual / Code of Conduct</w:t>
      </w:r>
    </w:p>
    <w:p w14:paraId="7BB1C780" w14:textId="77777777" w:rsidR="00C95130" w:rsidRPr="00A608EE" w:rsidRDefault="00C95130" w:rsidP="00A27AAA">
      <w:pPr>
        <w:pStyle w:val="NormalWeb"/>
        <w:numPr>
          <w:ilvl w:val="0"/>
          <w:numId w:val="34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Sample of employee files</w:t>
      </w:r>
    </w:p>
    <w:p w14:paraId="6E3F664B" w14:textId="77777777" w:rsidR="00C95130" w:rsidRPr="00A608EE" w:rsidRDefault="00C95130" w:rsidP="00A27AAA">
      <w:pPr>
        <w:pStyle w:val="NormalWeb"/>
        <w:numPr>
          <w:ilvl w:val="0"/>
          <w:numId w:val="34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HR manager and different employees (women and men with office and field functions) and at different levels.</w:t>
      </w:r>
    </w:p>
    <w:p w14:paraId="3A2DCF38"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p>
    <w:p w14:paraId="11444190" w14:textId="5B71DCBB"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0293DD99" w14:textId="77777777" w:rsidR="00C95130" w:rsidRPr="00A608EE" w:rsidRDefault="00C95130" w:rsidP="00A27AAA">
      <w:pPr>
        <w:pStyle w:val="NormalWeb"/>
        <w:numPr>
          <w:ilvl w:val="0"/>
          <w:numId w:val="34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Analyze the Code of Conduct whether it is clearly formulated and complete.</w:t>
      </w:r>
    </w:p>
    <w:p w14:paraId="7DA8F777" w14:textId="77777777" w:rsidR="00C95130" w:rsidRPr="00A608EE" w:rsidRDefault="00C95130" w:rsidP="00A27AAA">
      <w:pPr>
        <w:pStyle w:val="NormalWeb"/>
        <w:numPr>
          <w:ilvl w:val="0"/>
          <w:numId w:val="34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Check employee files (or employment contract) to verify if staff sign a document acknowledging that they have read, understood and agree to abide by the Code of Conduct.</w:t>
      </w:r>
    </w:p>
    <w:p w14:paraId="562A9BF9" w14:textId="77777777" w:rsidR="00C95130" w:rsidRPr="00A608EE" w:rsidRDefault="00C95130" w:rsidP="00A27AAA">
      <w:pPr>
        <w:pStyle w:val="NormalWeb"/>
        <w:numPr>
          <w:ilvl w:val="0"/>
          <w:numId w:val="34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Describe the training materials on the Code of Conduct and the frequency of training.</w:t>
      </w:r>
    </w:p>
    <w:p w14:paraId="0A9BC04F"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p>
    <w:p w14:paraId="3BAE8715" w14:textId="0A7376A8" w:rsidR="00C95130" w:rsidRPr="00A608EE" w:rsidRDefault="00C95130"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lastRenderedPageBreak/>
        <w:t>Field examples / Guidance for implementation</w:t>
      </w:r>
    </w:p>
    <w:p w14:paraId="3181127D" w14:textId="77777777" w:rsidR="00C95130" w:rsidRPr="00A608EE" w:rsidRDefault="00C95130"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The code of conduct should include confidentiality / privacy of client data</w:t>
      </w:r>
    </w:p>
    <w:p w14:paraId="18482B9B" w14:textId="77777777" w:rsidR="008E2BC6" w:rsidRPr="00A608EE" w:rsidRDefault="008E2BC6" w:rsidP="00EE208A">
      <w:pPr>
        <w:pStyle w:val="NormalWeb"/>
        <w:spacing w:before="0" w:beforeAutospacing="0" w:after="0" w:afterAutospacing="0"/>
        <w:jc w:val="both"/>
        <w:rPr>
          <w:rFonts w:asciiTheme="majorHAnsi" w:hAnsiTheme="majorHAnsi"/>
          <w:sz w:val="20"/>
          <w:szCs w:val="20"/>
        </w:rPr>
      </w:pPr>
    </w:p>
    <w:p w14:paraId="308D9470" w14:textId="77777777" w:rsidR="00571480" w:rsidRPr="00A608EE" w:rsidRDefault="00571480" w:rsidP="00EE208A">
      <w:pPr>
        <w:pStyle w:val="Heading3"/>
        <w:spacing w:before="0" w:line="240" w:lineRule="auto"/>
        <w:jc w:val="both"/>
        <w:rPr>
          <w:rStyle w:val="text-primary"/>
        </w:rPr>
      </w:pPr>
    </w:p>
    <w:p w14:paraId="3C9FADB4" w14:textId="77777777" w:rsidR="00571480" w:rsidRPr="00A608EE" w:rsidRDefault="00571480" w:rsidP="00571480">
      <w:pPr>
        <w:rPr>
          <w:lang w:eastAsia="en-US"/>
        </w:rPr>
      </w:pPr>
    </w:p>
    <w:p w14:paraId="41CE61B2" w14:textId="77777777" w:rsidR="00571480" w:rsidRPr="00A608EE" w:rsidRDefault="00571480" w:rsidP="00EE208A">
      <w:pPr>
        <w:pStyle w:val="Heading3"/>
        <w:spacing w:before="0" w:line="240" w:lineRule="auto"/>
        <w:jc w:val="both"/>
        <w:rPr>
          <w:rStyle w:val="text-primary"/>
        </w:rPr>
      </w:pPr>
    </w:p>
    <w:p w14:paraId="6A2B7431" w14:textId="5F5B04A7" w:rsidR="00AA3E95" w:rsidRPr="00A608EE" w:rsidRDefault="0033157A" w:rsidP="00EE208A">
      <w:pPr>
        <w:pStyle w:val="Heading3"/>
        <w:spacing w:before="0" w:line="240" w:lineRule="auto"/>
        <w:jc w:val="both"/>
      </w:pPr>
      <w:bookmarkStart w:id="98" w:name="_Toc230938819"/>
      <w:r w:rsidRPr="00A608EE">
        <w:rPr>
          <w:rStyle w:val="text-primary"/>
        </w:rPr>
        <w:t xml:space="preserve">5.C.2 </w:t>
      </w:r>
      <w:r w:rsidR="00C95130" w:rsidRPr="00A608EE">
        <w:t>The provider trains all employees on its social goals and on client protection</w:t>
      </w:r>
      <w:r w:rsidR="00DD1BC1" w:rsidRPr="00A608EE">
        <w:t>.</w:t>
      </w:r>
      <w:bookmarkEnd w:id="98"/>
    </w:p>
    <w:p w14:paraId="689DDC75" w14:textId="77777777" w:rsidR="004340AA" w:rsidRPr="00A608EE" w:rsidRDefault="004340AA" w:rsidP="00EE208A">
      <w:pPr>
        <w:jc w:val="both"/>
      </w:pPr>
    </w:p>
    <w:p w14:paraId="42805996" w14:textId="77777777" w:rsidR="00A211F0" w:rsidRPr="00A608EE" w:rsidRDefault="00A211F0" w:rsidP="00EE208A">
      <w:pPr>
        <w:jc w:val="both"/>
        <w:rPr>
          <w:rFonts w:asciiTheme="majorHAnsi" w:hAnsiTheme="majorHAnsi"/>
          <w:b/>
          <w:bCs/>
          <w:sz w:val="20"/>
          <w:szCs w:val="20"/>
        </w:rPr>
      </w:pPr>
      <w:r w:rsidRPr="00A608EE">
        <w:rPr>
          <w:rFonts w:asciiTheme="majorHAnsi" w:hAnsiTheme="majorHAnsi"/>
          <w:b/>
          <w:bCs/>
          <w:sz w:val="20"/>
          <w:szCs w:val="20"/>
        </w:rPr>
        <w:t>Train and evaluate employees on social performance and client protection</w:t>
      </w:r>
    </w:p>
    <w:p w14:paraId="50F9A728" w14:textId="77777777" w:rsidR="00A211F0" w:rsidRPr="00A608EE" w:rsidRDefault="00A211F0" w:rsidP="00EE208A">
      <w:pPr>
        <w:jc w:val="both"/>
        <w:rPr>
          <w:rFonts w:asciiTheme="majorHAnsi" w:hAnsiTheme="majorHAnsi"/>
          <w:sz w:val="20"/>
          <w:szCs w:val="20"/>
        </w:rPr>
      </w:pPr>
      <w:r w:rsidRPr="00A608EE">
        <w:rPr>
          <w:rFonts w:asciiTheme="majorHAnsi" w:hAnsiTheme="majorHAnsi"/>
          <w:sz w:val="20"/>
          <w:szCs w:val="20"/>
        </w:rPr>
        <w:t>Responsible providers must ensure that all their employees - and notably all client-facing employees – do not ‘harm’ any client by complying fully with the client protection standards. The providers with a social strategy must, in addition, ensure that all their employees achieve their social goals and targets so that clients do ‘benefit’ from using the products and services offered. This requires that the HR development system performs the following three essential functions:</w:t>
      </w:r>
    </w:p>
    <w:p w14:paraId="148E974E" w14:textId="77777777" w:rsidR="00A211F0" w:rsidRPr="00A608EE" w:rsidRDefault="00A211F0" w:rsidP="00A27AAA">
      <w:pPr>
        <w:numPr>
          <w:ilvl w:val="0"/>
          <w:numId w:val="346"/>
        </w:numPr>
        <w:jc w:val="both"/>
        <w:rPr>
          <w:rFonts w:asciiTheme="majorHAnsi" w:hAnsiTheme="majorHAnsi"/>
          <w:sz w:val="20"/>
          <w:szCs w:val="20"/>
        </w:rPr>
      </w:pPr>
      <w:r w:rsidRPr="00A608EE">
        <w:rPr>
          <w:rFonts w:asciiTheme="majorHAnsi" w:hAnsiTheme="majorHAnsi"/>
          <w:sz w:val="20"/>
          <w:szCs w:val="20"/>
        </w:rPr>
        <w:t>offer induction and subsequent regular practical training on how to (i) adopt ‘good’ client protection practices (and avoid ‘bad’ ones) and (ii) achieve the social goals and targets;</w:t>
      </w:r>
    </w:p>
    <w:p w14:paraId="3D4F42C9" w14:textId="77777777" w:rsidR="00A211F0" w:rsidRPr="00A608EE" w:rsidRDefault="2975F0E7" w:rsidP="00A27AAA">
      <w:pPr>
        <w:numPr>
          <w:ilvl w:val="0"/>
          <w:numId w:val="346"/>
        </w:numPr>
        <w:jc w:val="both"/>
        <w:rPr>
          <w:rFonts w:asciiTheme="majorHAnsi" w:hAnsiTheme="majorHAnsi"/>
          <w:sz w:val="20"/>
          <w:szCs w:val="20"/>
        </w:rPr>
      </w:pPr>
      <w:r w:rsidRPr="00A608EE">
        <w:rPr>
          <w:rFonts w:asciiTheme="majorHAnsi" w:hAnsiTheme="majorHAnsi"/>
          <w:sz w:val="20"/>
          <w:szCs w:val="20"/>
        </w:rPr>
        <w:t>evaluate all employees’ (notably all client-facing employees) (i) compliance with client protection and (ii) achievements of their social targets as part of their regular performance evaluation (jointly with their business/financial targets);</w:t>
      </w:r>
    </w:p>
    <w:p w14:paraId="24C1DC62" w14:textId="77777777" w:rsidR="00A211F0" w:rsidRPr="00A608EE" w:rsidRDefault="00A211F0" w:rsidP="00A27AAA">
      <w:pPr>
        <w:numPr>
          <w:ilvl w:val="0"/>
          <w:numId w:val="346"/>
        </w:numPr>
        <w:jc w:val="both"/>
        <w:rPr>
          <w:rFonts w:asciiTheme="majorHAnsi" w:hAnsiTheme="majorHAnsi"/>
          <w:sz w:val="20"/>
          <w:szCs w:val="20"/>
        </w:rPr>
      </w:pPr>
      <w:r w:rsidRPr="00A608EE">
        <w:rPr>
          <w:rFonts w:asciiTheme="majorHAnsi" w:hAnsiTheme="majorHAnsi"/>
          <w:sz w:val="20"/>
          <w:szCs w:val="20"/>
        </w:rPr>
        <w:t>reward high levels of (i) client protection compliance and meeting social targets as well as sanction (i) non-compliance with client protection and (ii) non-achievement of social targets (refer to EP 5.C.3).</w:t>
      </w:r>
    </w:p>
    <w:p w14:paraId="30FAE074" w14:textId="77777777" w:rsidR="00A211F0" w:rsidRPr="00A608EE" w:rsidRDefault="00A211F0" w:rsidP="00EE208A">
      <w:pPr>
        <w:jc w:val="both"/>
        <w:rPr>
          <w:rFonts w:asciiTheme="majorHAnsi" w:hAnsiTheme="majorHAnsi"/>
          <w:sz w:val="20"/>
          <w:szCs w:val="20"/>
        </w:rPr>
      </w:pPr>
    </w:p>
    <w:p w14:paraId="3C305A64" w14:textId="30D9DCDD" w:rsidR="00A211F0" w:rsidRPr="00A608EE" w:rsidRDefault="00A211F0" w:rsidP="00EE208A">
      <w:pPr>
        <w:jc w:val="both"/>
        <w:rPr>
          <w:rFonts w:asciiTheme="majorHAnsi" w:hAnsiTheme="majorHAnsi"/>
          <w:sz w:val="20"/>
          <w:szCs w:val="20"/>
        </w:rPr>
      </w:pPr>
      <w:r w:rsidRPr="00A608EE">
        <w:rPr>
          <w:rFonts w:asciiTheme="majorHAnsi" w:hAnsiTheme="majorHAnsi"/>
          <w:sz w:val="20"/>
          <w:szCs w:val="20"/>
        </w:rPr>
        <w:t>The above requires the identification of the expected staff behaviors regarding client protection and the specific social performance functions of each employee. The former should be defined in the Client Protection Policy spelling out ‘acceptable’ and ‘non-acceptable’ client protection practices and partly in the Code of Conduct. The specific social performance functions per type of position (e.g. loan officer, teller, branch manager, etc.) should be defined in the respective job descriptions. The identified (good and bad) client protection practices and the specific social performance functions together with the social goals form the contents for the practical induction and refresher trainings for all employees on client protection and social performance management. They should be the basis for choosing criteria for the regular performance evaluations of all employees so that employees are evaluated in a ‘balanced’ way on their compliance with client protection and meeting their social targets next to their business/financial targets. This may be initially challenging, if the employees are accustomed of being evaluated only on business/financial performance targets. It is important that employees have first been trained on the social strategy and their social performance responsibilities.</w:t>
      </w:r>
    </w:p>
    <w:p w14:paraId="3DA3055B" w14:textId="77777777" w:rsidR="00A211F0" w:rsidRPr="00A608EE" w:rsidRDefault="00A211F0" w:rsidP="00EE208A">
      <w:pPr>
        <w:jc w:val="both"/>
        <w:rPr>
          <w:rFonts w:asciiTheme="majorHAnsi" w:hAnsiTheme="majorHAnsi"/>
          <w:sz w:val="20"/>
          <w:szCs w:val="20"/>
        </w:rPr>
      </w:pPr>
    </w:p>
    <w:p w14:paraId="26089069" w14:textId="238197A3" w:rsidR="00A211F0" w:rsidRPr="00A608EE" w:rsidRDefault="00A211F0" w:rsidP="00EE208A">
      <w:pPr>
        <w:jc w:val="both"/>
        <w:rPr>
          <w:rFonts w:asciiTheme="majorHAnsi" w:hAnsiTheme="majorHAnsi"/>
          <w:b/>
          <w:bCs/>
          <w:sz w:val="20"/>
          <w:szCs w:val="20"/>
        </w:rPr>
      </w:pPr>
      <w:r w:rsidRPr="00A608EE">
        <w:rPr>
          <w:rFonts w:asciiTheme="majorHAnsi" w:hAnsiTheme="majorHAnsi"/>
          <w:b/>
          <w:bCs/>
          <w:sz w:val="20"/>
          <w:szCs w:val="20"/>
        </w:rPr>
        <w:t>Train Employees to Protect Clients and Avoid Aggressive Sales Techniques</w:t>
      </w:r>
    </w:p>
    <w:p w14:paraId="3198DD11" w14:textId="77777777" w:rsidR="00A211F0" w:rsidRPr="00A608EE" w:rsidRDefault="00A211F0" w:rsidP="00EE208A">
      <w:pPr>
        <w:jc w:val="both"/>
        <w:rPr>
          <w:rFonts w:asciiTheme="majorHAnsi" w:hAnsiTheme="majorHAnsi"/>
          <w:sz w:val="20"/>
          <w:szCs w:val="20"/>
        </w:rPr>
      </w:pPr>
      <w:r w:rsidRPr="00A608EE">
        <w:rPr>
          <w:rFonts w:asciiTheme="majorHAnsi" w:hAnsiTheme="majorHAnsi"/>
          <w:sz w:val="20"/>
          <w:szCs w:val="20"/>
        </w:rPr>
        <w:t>Providers should train their client-facing employees on how to sell products and services without pressuring clients. Aggressive sales techniques can be particularly damaging for low-income clients and those with limited financial capability, as they may be likely to buy products based more on sales pressure than on actual product “fit.” Providers should thus clearly define what “aggressive sales” look like in their particular socio-cultural context and how to monitor and sanction employees who practice “aggressive” sales techniques, like:</w:t>
      </w:r>
    </w:p>
    <w:p w14:paraId="5065B59C" w14:textId="77777777" w:rsidR="00A211F0" w:rsidRPr="00A608EE" w:rsidRDefault="00A211F0" w:rsidP="00A27AAA">
      <w:pPr>
        <w:numPr>
          <w:ilvl w:val="0"/>
          <w:numId w:val="347"/>
        </w:numPr>
        <w:jc w:val="both"/>
        <w:rPr>
          <w:rFonts w:asciiTheme="majorHAnsi" w:hAnsiTheme="majorHAnsi"/>
          <w:sz w:val="20"/>
          <w:szCs w:val="20"/>
        </w:rPr>
      </w:pPr>
      <w:r w:rsidRPr="00A608EE">
        <w:rPr>
          <w:rFonts w:asciiTheme="majorHAnsi" w:hAnsiTheme="majorHAnsi"/>
          <w:sz w:val="20"/>
          <w:szCs w:val="20"/>
        </w:rPr>
        <w:t>Telling clients that there is a time limit on a specific offer (“you must sign today, because the price will go up tomorrow”).</w:t>
      </w:r>
    </w:p>
    <w:p w14:paraId="68F4F2BE" w14:textId="77777777" w:rsidR="00A211F0" w:rsidRPr="00A608EE" w:rsidRDefault="00A211F0" w:rsidP="00A27AAA">
      <w:pPr>
        <w:numPr>
          <w:ilvl w:val="0"/>
          <w:numId w:val="347"/>
        </w:numPr>
        <w:jc w:val="both"/>
        <w:rPr>
          <w:rFonts w:asciiTheme="majorHAnsi" w:hAnsiTheme="majorHAnsi"/>
          <w:sz w:val="20"/>
          <w:szCs w:val="20"/>
        </w:rPr>
      </w:pPr>
      <w:r w:rsidRPr="00A608EE">
        <w:rPr>
          <w:rFonts w:asciiTheme="majorHAnsi" w:hAnsiTheme="majorHAnsi"/>
          <w:sz w:val="20"/>
          <w:szCs w:val="20"/>
        </w:rPr>
        <w:t>Continuing to pursue a client who has clearly declined a product.</w:t>
      </w:r>
    </w:p>
    <w:p w14:paraId="18115165" w14:textId="77777777" w:rsidR="00A211F0" w:rsidRPr="00A608EE" w:rsidRDefault="00A211F0" w:rsidP="00A27AAA">
      <w:pPr>
        <w:numPr>
          <w:ilvl w:val="0"/>
          <w:numId w:val="347"/>
        </w:numPr>
        <w:jc w:val="both"/>
        <w:rPr>
          <w:rFonts w:asciiTheme="majorHAnsi" w:hAnsiTheme="majorHAnsi"/>
          <w:sz w:val="20"/>
          <w:szCs w:val="20"/>
        </w:rPr>
      </w:pPr>
      <w:r w:rsidRPr="00A608EE">
        <w:rPr>
          <w:rFonts w:asciiTheme="majorHAnsi" w:hAnsiTheme="majorHAnsi"/>
          <w:sz w:val="20"/>
          <w:szCs w:val="20"/>
        </w:rPr>
        <w:t>Discouraging or preventing clients from consulting with a trusted person.</w:t>
      </w:r>
    </w:p>
    <w:p w14:paraId="6B6C5885" w14:textId="77777777" w:rsidR="00A211F0" w:rsidRPr="00A608EE" w:rsidRDefault="00A211F0" w:rsidP="00A27AAA">
      <w:pPr>
        <w:numPr>
          <w:ilvl w:val="0"/>
          <w:numId w:val="347"/>
        </w:numPr>
        <w:jc w:val="both"/>
        <w:rPr>
          <w:rFonts w:asciiTheme="majorHAnsi" w:hAnsiTheme="majorHAnsi"/>
          <w:sz w:val="20"/>
          <w:szCs w:val="20"/>
        </w:rPr>
      </w:pPr>
      <w:r w:rsidRPr="00A608EE">
        <w:rPr>
          <w:rFonts w:asciiTheme="majorHAnsi" w:hAnsiTheme="majorHAnsi"/>
          <w:sz w:val="20"/>
          <w:szCs w:val="20"/>
        </w:rPr>
        <w:t>Discouraging or preventing clients from reading product information, contract, etc.</w:t>
      </w:r>
    </w:p>
    <w:p w14:paraId="368CD570" w14:textId="77777777" w:rsidR="00A211F0" w:rsidRPr="00A608EE" w:rsidRDefault="00A211F0" w:rsidP="00A27AAA">
      <w:pPr>
        <w:numPr>
          <w:ilvl w:val="0"/>
          <w:numId w:val="347"/>
        </w:numPr>
        <w:jc w:val="both"/>
        <w:rPr>
          <w:rFonts w:asciiTheme="majorHAnsi" w:hAnsiTheme="majorHAnsi"/>
          <w:sz w:val="20"/>
          <w:szCs w:val="20"/>
        </w:rPr>
      </w:pPr>
      <w:r w:rsidRPr="00A608EE">
        <w:rPr>
          <w:rFonts w:asciiTheme="majorHAnsi" w:hAnsiTheme="majorHAnsi"/>
          <w:sz w:val="20"/>
          <w:szCs w:val="20"/>
        </w:rPr>
        <w:t>Arguing, being hostile, or condescending towards the client.</w:t>
      </w:r>
    </w:p>
    <w:p w14:paraId="53E4EB8C" w14:textId="77777777" w:rsidR="00A211F0" w:rsidRPr="00A608EE" w:rsidRDefault="00A211F0" w:rsidP="00A27AAA">
      <w:pPr>
        <w:numPr>
          <w:ilvl w:val="0"/>
          <w:numId w:val="347"/>
        </w:numPr>
        <w:jc w:val="both"/>
        <w:rPr>
          <w:rFonts w:asciiTheme="majorHAnsi" w:hAnsiTheme="majorHAnsi"/>
          <w:sz w:val="20"/>
          <w:szCs w:val="20"/>
        </w:rPr>
      </w:pPr>
      <w:r w:rsidRPr="00A608EE">
        <w:rPr>
          <w:rFonts w:asciiTheme="majorHAnsi" w:hAnsiTheme="majorHAnsi"/>
          <w:sz w:val="20"/>
          <w:szCs w:val="20"/>
        </w:rPr>
        <w:t>Intimidating or threatening the client (“if you don’t purchase life insurance, you are going to look like you don’t care about your family”).</w:t>
      </w:r>
    </w:p>
    <w:p w14:paraId="102D4D1A" w14:textId="77777777" w:rsidR="00A211F0" w:rsidRPr="00A608EE" w:rsidRDefault="00A211F0" w:rsidP="00A27AAA">
      <w:pPr>
        <w:numPr>
          <w:ilvl w:val="0"/>
          <w:numId w:val="347"/>
        </w:numPr>
        <w:jc w:val="both"/>
        <w:rPr>
          <w:rFonts w:asciiTheme="majorHAnsi" w:hAnsiTheme="majorHAnsi"/>
          <w:sz w:val="20"/>
          <w:szCs w:val="20"/>
        </w:rPr>
      </w:pPr>
      <w:r w:rsidRPr="00A608EE">
        <w:rPr>
          <w:rFonts w:asciiTheme="majorHAnsi" w:hAnsiTheme="majorHAnsi"/>
          <w:sz w:val="20"/>
          <w:szCs w:val="20"/>
        </w:rPr>
        <w:lastRenderedPageBreak/>
        <w:t>Requiring all group members to renew a loan, with no option for one of the members to opt out.</w:t>
      </w:r>
    </w:p>
    <w:p w14:paraId="5E2833BE" w14:textId="77777777" w:rsidR="00A211F0" w:rsidRPr="00A608EE" w:rsidRDefault="00A211F0" w:rsidP="00EE208A">
      <w:pPr>
        <w:jc w:val="both"/>
        <w:rPr>
          <w:rFonts w:asciiTheme="majorHAnsi" w:hAnsiTheme="majorHAnsi"/>
          <w:sz w:val="20"/>
          <w:szCs w:val="20"/>
        </w:rPr>
      </w:pPr>
    </w:p>
    <w:p w14:paraId="34F39FDC" w14:textId="3211564A" w:rsidR="00A211F0" w:rsidRPr="00A608EE" w:rsidRDefault="00A211F0" w:rsidP="00EE208A">
      <w:pPr>
        <w:jc w:val="both"/>
        <w:rPr>
          <w:rFonts w:asciiTheme="majorHAnsi" w:hAnsiTheme="majorHAnsi"/>
          <w:sz w:val="20"/>
          <w:szCs w:val="20"/>
        </w:rPr>
      </w:pPr>
      <w:r w:rsidRPr="00A608EE">
        <w:rPr>
          <w:rFonts w:asciiTheme="majorHAnsi" w:hAnsiTheme="majorHAnsi"/>
          <w:sz w:val="20"/>
          <w:szCs w:val="20"/>
        </w:rPr>
        <w:t>Sales techniques should be adapted to clients’ education and literacy levels, as well as to local market conditions. For example, clients who have never used an insurance product are vulnerable to aggressive sales, as they may have difficulty determining whether the product fits their needs, or they might believe that premium payments are refunded if claims are not made. Providers must ensure that sales techniques—client recruitment, the sales pitch, and promotional materials—will not mislead clients about the benefits of a product. They must train their client-facing employees on how to:</w:t>
      </w:r>
    </w:p>
    <w:p w14:paraId="0148845B" w14:textId="77777777" w:rsidR="00A211F0" w:rsidRPr="00A608EE" w:rsidRDefault="00A211F0" w:rsidP="00A27AAA">
      <w:pPr>
        <w:numPr>
          <w:ilvl w:val="0"/>
          <w:numId w:val="348"/>
        </w:numPr>
        <w:jc w:val="both"/>
        <w:rPr>
          <w:rFonts w:asciiTheme="majorHAnsi" w:hAnsiTheme="majorHAnsi"/>
          <w:sz w:val="20"/>
          <w:szCs w:val="20"/>
        </w:rPr>
      </w:pPr>
      <w:r w:rsidRPr="00A608EE">
        <w:rPr>
          <w:rFonts w:asciiTheme="majorHAnsi" w:hAnsiTheme="majorHAnsi"/>
          <w:sz w:val="20"/>
          <w:szCs w:val="20"/>
        </w:rPr>
        <w:t>talk about the products in a way that clients understand,</w:t>
      </w:r>
    </w:p>
    <w:p w14:paraId="560A4AD5" w14:textId="77777777" w:rsidR="00A211F0" w:rsidRPr="00A608EE" w:rsidRDefault="00A211F0" w:rsidP="00A27AAA">
      <w:pPr>
        <w:numPr>
          <w:ilvl w:val="0"/>
          <w:numId w:val="348"/>
        </w:numPr>
        <w:jc w:val="both"/>
        <w:rPr>
          <w:rFonts w:asciiTheme="majorHAnsi" w:hAnsiTheme="majorHAnsi"/>
          <w:sz w:val="20"/>
          <w:szCs w:val="20"/>
        </w:rPr>
      </w:pPr>
      <w:r w:rsidRPr="00A608EE">
        <w:rPr>
          <w:rFonts w:asciiTheme="majorHAnsi" w:hAnsiTheme="majorHAnsi"/>
          <w:sz w:val="20"/>
          <w:szCs w:val="20"/>
        </w:rPr>
        <w:t>ask the right questions so that they can point individual clients to the most appropriate products,</w:t>
      </w:r>
    </w:p>
    <w:p w14:paraId="63E5BAEC" w14:textId="77777777" w:rsidR="00A211F0" w:rsidRPr="00A608EE" w:rsidRDefault="00A211F0" w:rsidP="00A27AAA">
      <w:pPr>
        <w:numPr>
          <w:ilvl w:val="0"/>
          <w:numId w:val="348"/>
        </w:numPr>
        <w:jc w:val="both"/>
        <w:rPr>
          <w:rFonts w:asciiTheme="majorHAnsi" w:hAnsiTheme="majorHAnsi"/>
          <w:sz w:val="20"/>
          <w:szCs w:val="20"/>
        </w:rPr>
      </w:pPr>
      <w:r w:rsidRPr="00A608EE">
        <w:rPr>
          <w:rFonts w:asciiTheme="majorHAnsi" w:hAnsiTheme="majorHAnsi"/>
          <w:sz w:val="20"/>
          <w:szCs w:val="20"/>
        </w:rPr>
        <w:t>sell a product by highlighting how it will be useful for the client instead of badgering him/her into signing a contract, and</w:t>
      </w:r>
    </w:p>
    <w:p w14:paraId="7F40EA77" w14:textId="77777777" w:rsidR="00A211F0" w:rsidRPr="00A608EE" w:rsidRDefault="00A211F0" w:rsidP="00A27AAA">
      <w:pPr>
        <w:numPr>
          <w:ilvl w:val="0"/>
          <w:numId w:val="348"/>
        </w:numPr>
        <w:jc w:val="both"/>
        <w:rPr>
          <w:rFonts w:asciiTheme="majorHAnsi" w:hAnsiTheme="majorHAnsi"/>
          <w:sz w:val="20"/>
          <w:szCs w:val="20"/>
        </w:rPr>
      </w:pPr>
      <w:r w:rsidRPr="00A608EE">
        <w:rPr>
          <w:rFonts w:asciiTheme="majorHAnsi" w:hAnsiTheme="majorHAnsi"/>
          <w:sz w:val="20"/>
          <w:szCs w:val="20"/>
        </w:rPr>
        <w:t>to respect the client’s right to refuse a product.</w:t>
      </w:r>
    </w:p>
    <w:p w14:paraId="435487CD" w14:textId="77777777" w:rsidR="00A211F0" w:rsidRPr="00A608EE" w:rsidRDefault="00A211F0" w:rsidP="00EE208A">
      <w:pPr>
        <w:jc w:val="both"/>
        <w:rPr>
          <w:rFonts w:asciiTheme="majorHAnsi" w:hAnsiTheme="majorHAnsi"/>
          <w:sz w:val="20"/>
          <w:szCs w:val="20"/>
        </w:rPr>
      </w:pPr>
    </w:p>
    <w:p w14:paraId="786FC54C" w14:textId="4755D837" w:rsidR="00A211F0" w:rsidRPr="00A608EE" w:rsidRDefault="00A211F0" w:rsidP="00EE208A">
      <w:pPr>
        <w:jc w:val="both"/>
        <w:rPr>
          <w:rFonts w:asciiTheme="majorHAnsi" w:hAnsiTheme="majorHAnsi"/>
          <w:sz w:val="20"/>
          <w:szCs w:val="20"/>
        </w:rPr>
      </w:pPr>
      <w:r w:rsidRPr="00A608EE">
        <w:rPr>
          <w:rFonts w:asciiTheme="majorHAnsi" w:hAnsiTheme="majorHAnsi"/>
          <w:sz w:val="20"/>
          <w:szCs w:val="20"/>
        </w:rPr>
        <w:t>Providers should ensure that their agents or third-party providers (e.g., mobile agents, insurance companies, money transfer companies) comply with good client protection practices, including on the use of “responsible” sales techniques. This starts with the careful selection of agents or third-party providers who respect client protection standards (and thus train their staff on how to comply with them) followed by related contractual obligations of third-party providers to comply with client protection standards and eventually joint staff trainings on client protection and compliance audits.</w:t>
      </w:r>
    </w:p>
    <w:p w14:paraId="71A74074" w14:textId="77777777" w:rsidR="00A211F0" w:rsidRPr="00A608EE" w:rsidRDefault="00A211F0" w:rsidP="00EE208A">
      <w:pPr>
        <w:jc w:val="both"/>
        <w:rPr>
          <w:rFonts w:asciiTheme="majorHAnsi" w:hAnsiTheme="majorHAnsi"/>
          <w:sz w:val="20"/>
          <w:szCs w:val="20"/>
        </w:rPr>
      </w:pPr>
    </w:p>
    <w:p w14:paraId="72F0EE5D" w14:textId="1CEAAACD" w:rsidR="00A211F0" w:rsidRPr="00A608EE" w:rsidRDefault="00A211F0" w:rsidP="00EE208A">
      <w:pPr>
        <w:jc w:val="both"/>
        <w:rPr>
          <w:rFonts w:asciiTheme="majorHAnsi" w:hAnsiTheme="majorHAnsi"/>
          <w:b/>
          <w:bCs/>
          <w:sz w:val="20"/>
          <w:szCs w:val="20"/>
        </w:rPr>
      </w:pPr>
      <w:r w:rsidRPr="00A608EE">
        <w:rPr>
          <w:rFonts w:asciiTheme="majorHAnsi" w:hAnsiTheme="majorHAnsi"/>
          <w:b/>
          <w:bCs/>
          <w:sz w:val="20"/>
          <w:szCs w:val="20"/>
        </w:rPr>
        <w:t>Field examples and Resources</w:t>
      </w:r>
    </w:p>
    <w:p w14:paraId="1FF56C6F" w14:textId="77777777" w:rsidR="00A211F0" w:rsidRPr="00A608EE" w:rsidRDefault="00A211F0" w:rsidP="00A27AAA">
      <w:pPr>
        <w:numPr>
          <w:ilvl w:val="0"/>
          <w:numId w:val="349"/>
        </w:numPr>
        <w:jc w:val="both"/>
        <w:rPr>
          <w:rFonts w:asciiTheme="majorHAnsi" w:hAnsiTheme="majorHAnsi"/>
          <w:sz w:val="20"/>
          <w:szCs w:val="20"/>
        </w:rPr>
      </w:pPr>
      <w:hyperlink r:id="rId285" w:history="1">
        <w:r w:rsidRPr="00A608EE">
          <w:rPr>
            <w:rStyle w:val="Hyperlink"/>
            <w:rFonts w:asciiTheme="majorHAnsi" w:hAnsiTheme="majorHAnsi"/>
            <w:sz w:val="20"/>
            <w:szCs w:val="20"/>
          </w:rPr>
          <w:t>Sample Loan Officer SPM Evaluation Criteria Table</w:t>
        </w:r>
      </w:hyperlink>
    </w:p>
    <w:p w14:paraId="254DA189" w14:textId="77777777" w:rsidR="00A211F0" w:rsidRPr="00A608EE" w:rsidRDefault="00A211F0" w:rsidP="00A27AAA">
      <w:pPr>
        <w:numPr>
          <w:ilvl w:val="0"/>
          <w:numId w:val="349"/>
        </w:numPr>
        <w:jc w:val="both"/>
        <w:rPr>
          <w:rFonts w:asciiTheme="majorHAnsi" w:hAnsiTheme="majorHAnsi"/>
          <w:sz w:val="20"/>
          <w:szCs w:val="20"/>
        </w:rPr>
      </w:pPr>
      <w:hyperlink r:id="rId286" w:history="1">
        <w:r w:rsidRPr="00A608EE">
          <w:rPr>
            <w:rStyle w:val="Hyperlink"/>
            <w:rFonts w:asciiTheme="majorHAnsi" w:hAnsiTheme="majorHAnsi"/>
            <w:sz w:val="20"/>
            <w:szCs w:val="20"/>
          </w:rPr>
          <w:t>Al Majmoua Trains Employees on SPM</w:t>
        </w:r>
      </w:hyperlink>
    </w:p>
    <w:p w14:paraId="2E3ADBFD" w14:textId="77777777" w:rsidR="00A211F0" w:rsidRPr="00A608EE" w:rsidRDefault="00A211F0" w:rsidP="00A27AAA">
      <w:pPr>
        <w:numPr>
          <w:ilvl w:val="0"/>
          <w:numId w:val="349"/>
        </w:numPr>
        <w:jc w:val="both"/>
        <w:rPr>
          <w:rFonts w:asciiTheme="majorHAnsi" w:hAnsiTheme="majorHAnsi"/>
          <w:b/>
          <w:bCs/>
          <w:sz w:val="20"/>
          <w:szCs w:val="20"/>
        </w:rPr>
      </w:pPr>
      <w:hyperlink r:id="rId287" w:history="1">
        <w:r w:rsidRPr="00A608EE">
          <w:rPr>
            <w:rStyle w:val="Hyperlink"/>
            <w:rFonts w:asciiTheme="majorHAnsi" w:hAnsiTheme="majorHAnsi"/>
            <w:sz w:val="20"/>
            <w:szCs w:val="20"/>
          </w:rPr>
          <w:t>FINCA Microfinance Bank LTD. Evaluates Employees on Customer Care</w:t>
        </w:r>
      </w:hyperlink>
    </w:p>
    <w:p w14:paraId="2292DE1A" w14:textId="77777777" w:rsidR="004340AA" w:rsidRPr="00A608EE" w:rsidRDefault="004340AA" w:rsidP="00EE208A">
      <w:pPr>
        <w:jc w:val="both"/>
        <w:rPr>
          <w:rFonts w:asciiTheme="majorHAnsi" w:hAnsiTheme="majorHAnsi"/>
          <w:szCs w:val="20"/>
        </w:rPr>
      </w:pPr>
    </w:p>
    <w:p w14:paraId="5C7540D3" w14:textId="77777777" w:rsidR="00AA3E95" w:rsidRPr="00A608EE" w:rsidRDefault="00AA3E95" w:rsidP="00EE208A">
      <w:pPr>
        <w:jc w:val="both"/>
        <w:rPr>
          <w:rFonts w:asciiTheme="majorHAnsi" w:hAnsiTheme="majorHAnsi" w:cstheme="majorHAnsi"/>
          <w:szCs w:val="20"/>
        </w:rPr>
      </w:pPr>
    </w:p>
    <w:p w14:paraId="18442FD0" w14:textId="0346F667" w:rsidR="0033157A" w:rsidRPr="00A608EE" w:rsidRDefault="0033157A" w:rsidP="00EE208A">
      <w:pPr>
        <w:pStyle w:val="Heading4"/>
        <w:spacing w:before="0" w:line="240" w:lineRule="auto"/>
        <w:jc w:val="both"/>
      </w:pPr>
      <w:r w:rsidRPr="00A608EE">
        <w:rPr>
          <w:rStyle w:val="text-primary"/>
        </w:rPr>
        <w:t>5.C.2.1</w:t>
      </w:r>
      <w:r w:rsidRPr="00A608EE">
        <w:t xml:space="preserve"> </w:t>
      </w:r>
      <w:r w:rsidR="00A211F0" w:rsidRPr="00A608EE">
        <w:t>The provider trains all employees on its social goals and how their work contributes to achieving these goals and reinforces this on an ongoing basis</w:t>
      </w:r>
      <w:r w:rsidR="00DD1BC1" w:rsidRPr="00A608EE">
        <w:t>.</w:t>
      </w:r>
    </w:p>
    <w:p w14:paraId="30D412AA" w14:textId="77777777" w:rsidR="00AA3E95" w:rsidRPr="00A608EE" w:rsidRDefault="00AA3E95" w:rsidP="00EE208A">
      <w:pPr>
        <w:jc w:val="both"/>
        <w:rPr>
          <w:rFonts w:asciiTheme="majorHAnsi" w:hAnsiTheme="majorHAnsi"/>
          <w:sz w:val="20"/>
          <w:szCs w:val="20"/>
        </w:rPr>
      </w:pPr>
    </w:p>
    <w:p w14:paraId="02C5AA6C" w14:textId="655ABA3C" w:rsidR="004340AA" w:rsidRPr="00A608EE" w:rsidRDefault="00E6366C"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4340AA"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2E8027A7" w14:textId="184AF80E" w:rsidR="00D402B3" w:rsidRPr="00A608EE" w:rsidRDefault="00A56C89"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5E270D67" w14:textId="023B78BC" w:rsidR="00A56C89" w:rsidRPr="00A608EE" w:rsidRDefault="00A211F0" w:rsidP="00EE208A">
      <w:pPr>
        <w:jc w:val="both"/>
        <w:rPr>
          <w:rFonts w:asciiTheme="majorHAnsi" w:hAnsiTheme="majorHAnsi"/>
          <w:sz w:val="20"/>
          <w:szCs w:val="20"/>
          <w:lang w:eastAsia="fr-FR"/>
        </w:rPr>
      </w:pPr>
      <w:r w:rsidRPr="00A608EE">
        <w:rPr>
          <w:rFonts w:asciiTheme="majorHAnsi" w:hAnsiTheme="majorHAnsi"/>
          <w:sz w:val="20"/>
          <w:szCs w:val="20"/>
          <w:lang w:eastAsia="fr-FR"/>
        </w:rPr>
        <w:t>Training imparts new skills, ensures a shared culture, and promotes commitment to the social strategy. Larger and fast-growing providers or those with high staff turnover (&gt;20%) need more frequent training so that all new employees have a shared understanding of their roles and responsibilities, including their social performance functions and social targets. Refresher trainings on the social goals and targets should be offered to all employees at least annually to ensure that the social performance concepts are reinforced, and new trends, policies, and practices related to social goals are presented and discussed</w:t>
      </w:r>
      <w:r w:rsidR="00A56C89" w:rsidRPr="00A608EE">
        <w:rPr>
          <w:rFonts w:asciiTheme="majorHAnsi" w:hAnsiTheme="majorHAnsi"/>
          <w:sz w:val="20"/>
          <w:szCs w:val="20"/>
          <w:lang w:eastAsia="fr-FR"/>
        </w:rPr>
        <w:t>.</w:t>
      </w:r>
    </w:p>
    <w:p w14:paraId="22F666C2" w14:textId="77777777" w:rsidR="00672763" w:rsidRPr="00A608EE" w:rsidRDefault="00672763" w:rsidP="00EE208A">
      <w:pPr>
        <w:jc w:val="both"/>
        <w:rPr>
          <w:rFonts w:asciiTheme="majorHAnsi" w:hAnsiTheme="majorHAnsi"/>
          <w:sz w:val="20"/>
          <w:szCs w:val="20"/>
          <w:lang w:eastAsia="fr-FR"/>
        </w:rPr>
      </w:pPr>
    </w:p>
    <w:p w14:paraId="4F2ACD63"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10144" behindDoc="1" locked="0" layoutInCell="1" allowOverlap="1" wp14:anchorId="38164115" wp14:editId="380E188A">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275249225"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27E67532" w14:textId="77777777" w:rsidR="00672763" w:rsidRPr="00A608EE" w:rsidRDefault="00672763" w:rsidP="00EE208A">
      <w:pPr>
        <w:jc w:val="both"/>
        <w:rPr>
          <w:rFonts w:asciiTheme="majorHAnsi" w:hAnsiTheme="majorHAnsi"/>
          <w:sz w:val="20"/>
          <w:szCs w:val="20"/>
          <w:lang w:eastAsia="fr-FR"/>
        </w:rPr>
      </w:pPr>
    </w:p>
    <w:p w14:paraId="1E1BD121" w14:textId="2AD82C98" w:rsidR="00A56C89" w:rsidRPr="00A608EE" w:rsidRDefault="00386AB6"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A56C89" w:rsidRPr="00A608EE">
        <w:rPr>
          <w:rFonts w:asciiTheme="majorHAnsi" w:hAnsiTheme="majorHAnsi"/>
          <w:sz w:val="20"/>
          <w:szCs w:val="20"/>
          <w:lang w:eastAsia="fr-FR"/>
        </w:rPr>
        <w:t>The provider trains all employees on disability awareness and inclusion and how they can contribute in their role to ensure inclusion of persons with disabilities.</w:t>
      </w:r>
    </w:p>
    <w:p w14:paraId="6464227A" w14:textId="77777777" w:rsidR="00C23D0C" w:rsidRPr="00A608EE" w:rsidRDefault="00C23D0C" w:rsidP="00EE208A">
      <w:pPr>
        <w:jc w:val="both"/>
        <w:rPr>
          <w:rFonts w:asciiTheme="majorHAnsi" w:hAnsiTheme="majorHAnsi"/>
          <w:sz w:val="20"/>
          <w:szCs w:val="20"/>
          <w:lang w:eastAsia="fr-FR"/>
        </w:rPr>
      </w:pPr>
    </w:p>
    <w:p w14:paraId="4572161C" w14:textId="3A9FCD96" w:rsidR="00C23D0C" w:rsidRPr="00A608EE" w:rsidRDefault="00C23D0C" w:rsidP="00EE208A">
      <w:pPr>
        <w:jc w:val="both"/>
        <w:rPr>
          <w:rFonts w:asciiTheme="majorHAnsi" w:hAnsiTheme="majorHAnsi"/>
          <w:sz w:val="20"/>
          <w:szCs w:val="20"/>
          <w:lang w:eastAsia="fr-FR"/>
        </w:rPr>
      </w:pPr>
      <w:r w:rsidRPr="00A608EE">
        <w:rPr>
          <w:noProof/>
        </w:rPr>
        <w:lastRenderedPageBreak/>
        <mc:AlternateContent>
          <mc:Choice Requires="wps">
            <w:drawing>
              <wp:anchor distT="0" distB="0" distL="114300" distR="114300" simplePos="0" relativeHeight="251765760" behindDoc="0" locked="0" layoutInCell="1" allowOverlap="1" wp14:anchorId="1F9ED3A1" wp14:editId="3A9895C2">
                <wp:simplePos x="0" y="0"/>
                <wp:positionH relativeFrom="margin">
                  <wp:align>left</wp:align>
                </wp:positionH>
                <wp:positionV relativeFrom="paragraph">
                  <wp:posOffset>147955</wp:posOffset>
                </wp:positionV>
                <wp:extent cx="1828800" cy="7086600"/>
                <wp:effectExtent l="0" t="0" r="24130" b="19050"/>
                <wp:wrapSquare wrapText="bothSides"/>
                <wp:docPr id="1019686687" name="Cuadro de texto 1"/>
                <wp:cNvGraphicFramePr/>
                <a:graphic xmlns:a="http://schemas.openxmlformats.org/drawingml/2006/main">
                  <a:graphicData uri="http://schemas.microsoft.com/office/word/2010/wordprocessingShape">
                    <wps:wsp>
                      <wps:cNvSpPr txBox="1"/>
                      <wps:spPr>
                        <a:xfrm>
                          <a:off x="0" y="0"/>
                          <a:ext cx="1828800" cy="7086600"/>
                        </a:xfrm>
                        <a:prstGeom prst="rect">
                          <a:avLst/>
                        </a:prstGeom>
                        <a:noFill/>
                        <a:ln w="6350">
                          <a:solidFill>
                            <a:prstClr val="black"/>
                          </a:solidFill>
                        </a:ln>
                      </wps:spPr>
                      <wps:txbx>
                        <w:txbxContent>
                          <w:p w14:paraId="143D0CBD" w14:textId="7AAE7485" w:rsidR="00C23D0C" w:rsidRPr="00820B09" w:rsidRDefault="0084416A" w:rsidP="00C23D0C">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C23D0C" w:rsidRPr="00820B09">
                              <w:rPr>
                                <w:rFonts w:asciiTheme="majorHAnsi" w:hAnsiTheme="majorHAnsi"/>
                                <w:b/>
                                <w:bCs/>
                                <w:sz w:val="20"/>
                                <w:szCs w:val="15"/>
                                <w:lang w:eastAsia="fr-FR"/>
                              </w:rPr>
                              <w:t>5.C.</w:t>
                            </w:r>
                            <w:r w:rsidR="0071333B" w:rsidRPr="00820B09">
                              <w:rPr>
                                <w:rFonts w:asciiTheme="majorHAnsi" w:hAnsiTheme="majorHAnsi"/>
                                <w:b/>
                                <w:bCs/>
                                <w:sz w:val="20"/>
                                <w:szCs w:val="15"/>
                                <w:lang w:eastAsia="fr-FR"/>
                              </w:rPr>
                              <w:t>2.1</w:t>
                            </w:r>
                          </w:p>
                          <w:p w14:paraId="051E6E47" w14:textId="77777777" w:rsidR="00C23D0C" w:rsidRPr="00820B09" w:rsidRDefault="00C23D0C" w:rsidP="00C23D0C">
                            <w:pPr>
                              <w:jc w:val="both"/>
                              <w:rPr>
                                <w:rFonts w:asciiTheme="majorHAnsi" w:hAnsiTheme="majorHAnsi"/>
                                <w:sz w:val="20"/>
                                <w:szCs w:val="15"/>
                                <w:lang w:eastAsia="fr-FR"/>
                              </w:rPr>
                            </w:pPr>
                          </w:p>
                          <w:p w14:paraId="7B79556F"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Successful implementation of disability inclusion strategies depends on the commitment of all staff and their capacity to understand and apply inclusive policies, systems and processes in practice. </w:t>
                            </w:r>
                          </w:p>
                          <w:p w14:paraId="78CF73A3" w14:textId="77777777" w:rsidR="00C23D0C" w:rsidRPr="00820B09" w:rsidRDefault="00C23D0C" w:rsidP="00C23D0C">
                            <w:pPr>
                              <w:jc w:val="both"/>
                              <w:rPr>
                                <w:rFonts w:asciiTheme="majorHAnsi" w:hAnsiTheme="majorHAnsi"/>
                                <w:sz w:val="20"/>
                                <w:szCs w:val="15"/>
                                <w:lang w:eastAsia="fr-FR"/>
                              </w:rPr>
                            </w:pPr>
                          </w:p>
                          <w:p w14:paraId="49943F35"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Attitudinal barriers are amongst the greatest challenges to inclusion of persons with disabilities. As in society at large, FSP staff may hold misconceptions about the capabilities of persons with disabilities, including assumptions about their ability to work, manage their finances independently, or repay credit. These perceptions can directly influence decision-making and interactions, with negative impacts for clients and colleagues with disabilities. </w:t>
                            </w:r>
                          </w:p>
                          <w:p w14:paraId="5749ABFE" w14:textId="77777777" w:rsidR="00C23D0C" w:rsidRPr="00820B09" w:rsidRDefault="00C23D0C" w:rsidP="00C23D0C">
                            <w:pPr>
                              <w:jc w:val="both"/>
                              <w:rPr>
                                <w:rFonts w:asciiTheme="majorHAnsi" w:hAnsiTheme="majorHAnsi"/>
                                <w:sz w:val="20"/>
                                <w:szCs w:val="15"/>
                                <w:lang w:eastAsia="fr-FR"/>
                              </w:rPr>
                            </w:pPr>
                          </w:p>
                          <w:p w14:paraId="40582403"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Building staff awareness and engagement in disability inclusion is essential to transition from negative attitudes to inclusive behaviors. Training plays a critical role in building understanding about disability as a human rights and social issue, as well as equipping staff with practical and technical skills needed to apply inclusive practices in their day-to-day work. </w:t>
                            </w:r>
                          </w:p>
                          <w:p w14:paraId="106A60C8" w14:textId="77777777" w:rsidR="00C23D0C" w:rsidRPr="00820B09" w:rsidRDefault="00C23D0C" w:rsidP="00C23D0C">
                            <w:pPr>
                              <w:jc w:val="both"/>
                              <w:rPr>
                                <w:rFonts w:asciiTheme="majorHAnsi" w:hAnsiTheme="majorHAnsi"/>
                                <w:sz w:val="20"/>
                                <w:szCs w:val="15"/>
                                <w:lang w:eastAsia="fr-FR"/>
                              </w:rPr>
                            </w:pPr>
                          </w:p>
                          <w:p w14:paraId="5C0F9C64"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A comprehensive approach combines disability awareness and inclusion training for all staff with function- and role-specific technical training, to ensure that responsibilities are matched with appropriate knowledge and skills.</w:t>
                            </w:r>
                          </w:p>
                          <w:p w14:paraId="5DEF89F5" w14:textId="77777777" w:rsidR="00C23D0C" w:rsidRPr="00820B09" w:rsidRDefault="00C23D0C" w:rsidP="00C23D0C">
                            <w:pPr>
                              <w:jc w:val="both"/>
                              <w:rPr>
                                <w:rFonts w:asciiTheme="majorHAnsi" w:hAnsiTheme="majorHAnsi"/>
                                <w:sz w:val="20"/>
                                <w:szCs w:val="15"/>
                                <w:lang w:eastAsia="fr-FR"/>
                              </w:rPr>
                            </w:pPr>
                          </w:p>
                          <w:p w14:paraId="498C6FD8"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Disability inclusion awareness and induction training for all employees should be designed to support a culture of non-discrimination, respect, and accountability amongst all employees, regardless of function or seniority. Objectives include building  a shared understanding of disability as a human rights and inclusion issue; addressing stereotypes, stigma, and unconscious bias; promoting respectful attitudes and inclusive behaviors; and communicating institutional commitments, policies, and expectations related to disability inclusion.</w:t>
                            </w:r>
                          </w:p>
                          <w:p w14:paraId="2BAB8444" w14:textId="77777777" w:rsidR="00C23D0C" w:rsidRPr="00820B09" w:rsidRDefault="00C23D0C" w:rsidP="00C23D0C">
                            <w:pPr>
                              <w:jc w:val="both"/>
                              <w:rPr>
                                <w:rFonts w:asciiTheme="majorHAnsi" w:hAnsiTheme="majorHAnsi"/>
                                <w:sz w:val="20"/>
                                <w:szCs w:val="15"/>
                                <w:lang w:eastAsia="fr-FR"/>
                              </w:rPr>
                            </w:pPr>
                          </w:p>
                          <w:p w14:paraId="42745F2E" w14:textId="5A11C214"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In addition, targeted training should be provided for staff whose roles directly influence accessibility, service delivery, employment policy and </w:t>
                            </w:r>
                            <w:r w:rsidR="0071333B" w:rsidRPr="00820B09">
                              <w:rPr>
                                <w:rFonts w:asciiTheme="majorHAnsi" w:hAnsiTheme="majorHAnsi"/>
                                <w:sz w:val="20"/>
                                <w:szCs w:val="15"/>
                                <w:lang w:eastAsia="fr-FR"/>
                              </w:rPr>
                              <w:t xml:space="preserve">staff </w:t>
                            </w:r>
                            <w:r w:rsidRPr="00820B09">
                              <w:rPr>
                                <w:rFonts w:asciiTheme="majorHAnsi" w:hAnsiTheme="majorHAnsi"/>
                                <w:sz w:val="20"/>
                                <w:szCs w:val="15"/>
                                <w:lang w:eastAsia="fr-FR"/>
                              </w:rPr>
                              <w:t>management</w:t>
                            </w:r>
                            <w:r w:rsidR="0071333B" w:rsidRPr="00820B09">
                              <w:rPr>
                                <w:rFonts w:asciiTheme="majorHAnsi" w:hAnsiTheme="majorHAnsi"/>
                                <w:sz w:val="20"/>
                                <w:szCs w:val="15"/>
                                <w:lang w:eastAsia="fr-FR"/>
                              </w:rPr>
                              <w:t>, for example</w:t>
                            </w:r>
                            <w:r w:rsidRPr="00820B09">
                              <w:rPr>
                                <w:rFonts w:asciiTheme="majorHAnsi" w:hAnsiTheme="majorHAnsi"/>
                                <w:sz w:val="20"/>
                                <w:szCs w:val="15"/>
                                <w:lang w:eastAsia="fr-FR"/>
                              </w:rPr>
                              <w:t>:</w:t>
                            </w:r>
                          </w:p>
                          <w:p w14:paraId="0CD1AEC6" w14:textId="2348F938"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Client-facing staff (see indicator 5.C.1.3)</w:t>
                            </w:r>
                          </w:p>
                          <w:p w14:paraId="632A94E1" w14:textId="558AC5A8"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Human Resources (HR) staff (see indicator 5.A.1.1)</w:t>
                            </w:r>
                          </w:p>
                          <w:p w14:paraId="739E695B" w14:textId="0A98442D"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IT, digital, and design teams relating to digital accessibility (see indicator 3.B.2.2)</w:t>
                            </w:r>
                          </w:p>
                          <w:p w14:paraId="1F3CBE4C" w14:textId="067B30F7"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Facilities and administrative staff relating to accessibility of premises (see indicator 3.B.2.2)</w:t>
                            </w:r>
                          </w:p>
                          <w:p w14:paraId="785D355C" w14:textId="37CF1616"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Staff involved in data collection, analysis and reporting (see indicator (1.B.1.3)</w:t>
                            </w:r>
                          </w:p>
                          <w:p w14:paraId="2AD4FCC4" w14:textId="235BCC4E"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Staff involved in workplace health and safety (WHS) and emergency planning (see indicators (5.A.3.1 and 5.A.3.3)</w:t>
                            </w:r>
                          </w:p>
                          <w:p w14:paraId="2CC00F4B" w14:textId="2B51AB08" w:rsidR="0071333B" w:rsidRPr="00820B09" w:rsidRDefault="0071333B" w:rsidP="00A27AAA">
                            <w:pPr>
                              <w:pStyle w:val="ListParagraph"/>
                              <w:numPr>
                                <w:ilvl w:val="0"/>
                                <w:numId w:val="410"/>
                              </w:numPr>
                              <w:jc w:val="both"/>
                              <w:rPr>
                                <w:rFonts w:asciiTheme="majorHAnsi" w:hAnsiTheme="majorHAnsi"/>
                                <w:szCs w:val="20"/>
                                <w:lang w:eastAsia="fr-FR"/>
                              </w:rPr>
                            </w:pPr>
                            <w:r w:rsidRPr="00820B09">
                              <w:rPr>
                                <w:rFonts w:asciiTheme="majorHAnsi" w:hAnsiTheme="majorHAnsi"/>
                                <w:szCs w:val="15"/>
                                <w:lang w:eastAsia="fr-FR"/>
                              </w:rPr>
                              <w:t xml:space="preserve">Line </w:t>
                            </w:r>
                            <w:r w:rsidRPr="00820B09">
                              <w:rPr>
                                <w:rFonts w:asciiTheme="majorHAnsi" w:hAnsiTheme="majorHAnsi"/>
                                <w:szCs w:val="20"/>
                                <w:lang w:eastAsia="fr-FR"/>
                              </w:rPr>
                              <w:t>managers (see indicator 5.A.1.1)</w:t>
                            </w:r>
                          </w:p>
                          <w:p w14:paraId="397EC875" w14:textId="07EDAF75" w:rsidR="0071333B" w:rsidRPr="00820B09" w:rsidRDefault="0071333B" w:rsidP="0071333B">
                            <w:pPr>
                              <w:jc w:val="both"/>
                              <w:rPr>
                                <w:rFonts w:asciiTheme="majorHAnsi" w:hAnsiTheme="majorHAnsi"/>
                                <w:sz w:val="20"/>
                                <w:szCs w:val="20"/>
                                <w:lang w:eastAsia="fr-FR"/>
                              </w:rPr>
                            </w:pPr>
                            <w:r w:rsidRPr="00820B09">
                              <w:rPr>
                                <w:rFonts w:asciiTheme="majorHAnsi" w:hAnsiTheme="majorHAnsi"/>
                                <w:sz w:val="20"/>
                                <w:szCs w:val="20"/>
                                <w:lang w:eastAsia="fr-FR"/>
                              </w:rPr>
                              <w:t xml:space="preserve">The BFFI Disability Inclusion Guide for FSPs includes more information and resources on staff training related to disability inclusion. </w:t>
                            </w:r>
                            <w:r w:rsidR="00F5562D" w:rsidRPr="00820B09">
                              <w:rPr>
                                <w:rFonts w:asciiTheme="majorHAnsi" w:hAnsiTheme="majorHAnsi"/>
                                <w:sz w:val="20"/>
                                <w:szCs w:val="20"/>
                                <w:lang w:eastAsia="fr-FR"/>
                              </w:rPr>
                              <w:t>See also resources for this indicator below.</w:t>
                            </w:r>
                          </w:p>
                          <w:p w14:paraId="73CAA506" w14:textId="77777777" w:rsidR="00C23D0C" w:rsidRPr="00820B09" w:rsidRDefault="00C23D0C" w:rsidP="00C23D0C">
                            <w:pPr>
                              <w:jc w:val="both"/>
                              <w:rPr>
                                <w:rFonts w:asciiTheme="majorHAnsi" w:hAnsiTheme="majorHAnsi"/>
                                <w:sz w:val="20"/>
                                <w:szCs w:val="15"/>
                                <w:lang w:eastAsia="fr-FR"/>
                              </w:rPr>
                            </w:pPr>
                          </w:p>
                          <w:p w14:paraId="05743929" w14:textId="77777777" w:rsidR="00C23D0C" w:rsidRPr="00820B09" w:rsidRDefault="00C23D0C" w:rsidP="00C23D0C">
                            <w:pPr>
                              <w:jc w:val="both"/>
                              <w:rPr>
                                <w:rFonts w:asciiTheme="majorHAnsi" w:hAnsiTheme="majorHAnsi"/>
                                <w:sz w:val="20"/>
                                <w:szCs w:val="15"/>
                                <w:lang w:eastAsia="fr-FR"/>
                              </w:rPr>
                            </w:pPr>
                          </w:p>
                          <w:p w14:paraId="56C19E61" w14:textId="77777777" w:rsidR="00C23D0C" w:rsidRPr="00820B09" w:rsidRDefault="00C23D0C" w:rsidP="00C23D0C">
                            <w:pPr>
                              <w:jc w:val="both"/>
                              <w:rPr>
                                <w:rFonts w:asciiTheme="majorHAnsi" w:hAnsiTheme="majorHAnsi"/>
                                <w:sz w:val="20"/>
                                <w:szCs w:val="15"/>
                                <w:lang w:eastAsia="fr-FR"/>
                              </w:rPr>
                            </w:pPr>
                          </w:p>
                          <w:p w14:paraId="5CE5C9D3" w14:textId="77777777" w:rsidR="00C23D0C" w:rsidRPr="00820B09" w:rsidRDefault="00C23D0C" w:rsidP="00C23D0C">
                            <w:pPr>
                              <w:jc w:val="both"/>
                              <w:rPr>
                                <w:rFonts w:asciiTheme="majorHAnsi" w:hAnsiTheme="majorHAnsi"/>
                                <w:sz w:val="20"/>
                                <w:szCs w:val="15"/>
                                <w:lang w:eastAsia="fr-FR"/>
                              </w:rPr>
                            </w:pPr>
                          </w:p>
                          <w:p w14:paraId="767C94A4" w14:textId="77777777" w:rsidR="00C23D0C" w:rsidRPr="00820B09" w:rsidRDefault="00C23D0C" w:rsidP="00C23D0C">
                            <w:pPr>
                              <w:jc w:val="both"/>
                              <w:rPr>
                                <w:rFonts w:asciiTheme="majorHAnsi" w:hAnsiTheme="majorHAnsi"/>
                                <w:sz w:val="20"/>
                                <w:szCs w:val="15"/>
                                <w:lang w:eastAsia="fr-FR"/>
                              </w:rPr>
                            </w:pPr>
                          </w:p>
                          <w:p w14:paraId="245F547C" w14:textId="77777777" w:rsidR="00C23D0C" w:rsidRPr="00820B09" w:rsidRDefault="00C23D0C" w:rsidP="00C23D0C">
                            <w:pPr>
                              <w:jc w:val="both"/>
                              <w:rPr>
                                <w:rFonts w:asciiTheme="majorHAnsi" w:hAnsiTheme="majorHAnsi"/>
                                <w:sz w:val="20"/>
                                <w:szCs w:val="15"/>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9ED3A1" id="_x0000_s1069" type="#_x0000_t202" style="position:absolute;left:0;text-align:left;margin-left:0;margin-top:11.65pt;width:2in;height:558pt;z-index:251765760;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" filled="f" strokeweight=".5pt">
                <v:textbox>
                  <w:txbxContent>
                    <w:p w14:paraId="143D0CBD" w14:textId="7AAE7485" w:rsidR="00C23D0C" w:rsidRPr="00820B09" w:rsidRDefault="0084416A" w:rsidP="00C23D0C">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C23D0C" w:rsidRPr="00820B09">
                        <w:rPr>
                          <w:rFonts w:asciiTheme="majorHAnsi" w:hAnsiTheme="majorHAnsi"/>
                          <w:b/>
                          <w:bCs/>
                          <w:sz w:val="20"/>
                          <w:szCs w:val="15"/>
                          <w:lang w:eastAsia="fr-FR"/>
                        </w:rPr>
                        <w:t>5.C.</w:t>
                      </w:r>
                      <w:r w:rsidR="0071333B" w:rsidRPr="00820B09">
                        <w:rPr>
                          <w:rFonts w:asciiTheme="majorHAnsi" w:hAnsiTheme="majorHAnsi"/>
                          <w:b/>
                          <w:bCs/>
                          <w:sz w:val="20"/>
                          <w:szCs w:val="15"/>
                          <w:lang w:eastAsia="fr-FR"/>
                        </w:rPr>
                        <w:t>2.1</w:t>
                      </w:r>
                    </w:p>
                    <w:p w14:paraId="051E6E47" w14:textId="77777777" w:rsidR="00C23D0C" w:rsidRPr="00820B09" w:rsidRDefault="00C23D0C" w:rsidP="00C23D0C">
                      <w:pPr>
                        <w:jc w:val="both"/>
                        <w:rPr>
                          <w:rFonts w:asciiTheme="majorHAnsi" w:hAnsiTheme="majorHAnsi"/>
                          <w:sz w:val="20"/>
                          <w:szCs w:val="15"/>
                          <w:lang w:eastAsia="fr-FR"/>
                        </w:rPr>
                      </w:pPr>
                    </w:p>
                    <w:p w14:paraId="7B79556F"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Successful implementation of disability inclusion strategies depends on the commitment of all staff and their capacity to understand and apply inclusive policies, systems and processes in practice. </w:t>
                      </w:r>
                    </w:p>
                    <w:p w14:paraId="78CF73A3" w14:textId="77777777" w:rsidR="00C23D0C" w:rsidRPr="00820B09" w:rsidRDefault="00C23D0C" w:rsidP="00C23D0C">
                      <w:pPr>
                        <w:jc w:val="both"/>
                        <w:rPr>
                          <w:rFonts w:asciiTheme="majorHAnsi" w:hAnsiTheme="majorHAnsi"/>
                          <w:sz w:val="20"/>
                          <w:szCs w:val="15"/>
                          <w:lang w:eastAsia="fr-FR"/>
                        </w:rPr>
                      </w:pPr>
                    </w:p>
                    <w:p w14:paraId="49943F35"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Attitudinal barriers are amongst the greatest challenges to inclusion of persons with disabilities. As in society at large, FSP staff may hold misconceptions about the capabilities of persons with disabilities, including assumptions about their ability to work, manage their finances independently, or repay credit. These perceptions can directly influence decision-making and interactions, with negative impacts for clients and colleagues with disabilities. </w:t>
                      </w:r>
                    </w:p>
                    <w:p w14:paraId="5749ABFE" w14:textId="77777777" w:rsidR="00C23D0C" w:rsidRPr="00820B09" w:rsidRDefault="00C23D0C" w:rsidP="00C23D0C">
                      <w:pPr>
                        <w:jc w:val="both"/>
                        <w:rPr>
                          <w:rFonts w:asciiTheme="majorHAnsi" w:hAnsiTheme="majorHAnsi"/>
                          <w:sz w:val="20"/>
                          <w:szCs w:val="15"/>
                          <w:lang w:eastAsia="fr-FR"/>
                        </w:rPr>
                      </w:pPr>
                    </w:p>
                    <w:p w14:paraId="40582403"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Building staff awareness and engagement in disability inclusion is essential to transition from negative attitudes to inclusive behaviors. Training plays a critical role in building understanding about disability as a human rights and social issue, as well as equipping staff with practical and technical skills needed to apply inclusive practices in their day-to-day work. </w:t>
                      </w:r>
                    </w:p>
                    <w:p w14:paraId="106A60C8" w14:textId="77777777" w:rsidR="00C23D0C" w:rsidRPr="00820B09" w:rsidRDefault="00C23D0C" w:rsidP="00C23D0C">
                      <w:pPr>
                        <w:jc w:val="both"/>
                        <w:rPr>
                          <w:rFonts w:asciiTheme="majorHAnsi" w:hAnsiTheme="majorHAnsi"/>
                          <w:sz w:val="20"/>
                          <w:szCs w:val="15"/>
                          <w:lang w:eastAsia="fr-FR"/>
                        </w:rPr>
                      </w:pPr>
                    </w:p>
                    <w:p w14:paraId="5C0F9C64"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A comprehensive approach combines disability awareness and inclusion training for all staff with function- and role-specific technical training, to ensure that responsibilities are matched with appropriate knowledge and skills.</w:t>
                      </w:r>
                    </w:p>
                    <w:p w14:paraId="5DEF89F5" w14:textId="77777777" w:rsidR="00C23D0C" w:rsidRPr="00820B09" w:rsidRDefault="00C23D0C" w:rsidP="00C23D0C">
                      <w:pPr>
                        <w:jc w:val="both"/>
                        <w:rPr>
                          <w:rFonts w:asciiTheme="majorHAnsi" w:hAnsiTheme="majorHAnsi"/>
                          <w:sz w:val="20"/>
                          <w:szCs w:val="15"/>
                          <w:lang w:eastAsia="fr-FR"/>
                        </w:rPr>
                      </w:pPr>
                    </w:p>
                    <w:p w14:paraId="498C6FD8" w14:textId="77777777"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Disability inclusion awareness and induction training for all employees should be designed to support a culture of non-discrimination, respect, and accountability amongst all employees, regardless of function or seniority. Objectives include building  a shared understanding of disability as a human rights and inclusion issue; addressing stereotypes, stigma, and unconscious bias; promoting respectful attitudes and inclusive behaviors; and communicating institutional commitments, policies, and expectations related to disability inclusion.</w:t>
                      </w:r>
                    </w:p>
                    <w:p w14:paraId="2BAB8444" w14:textId="77777777" w:rsidR="00C23D0C" w:rsidRPr="00820B09" w:rsidRDefault="00C23D0C" w:rsidP="00C23D0C">
                      <w:pPr>
                        <w:jc w:val="both"/>
                        <w:rPr>
                          <w:rFonts w:asciiTheme="majorHAnsi" w:hAnsiTheme="majorHAnsi"/>
                          <w:sz w:val="20"/>
                          <w:szCs w:val="15"/>
                          <w:lang w:eastAsia="fr-FR"/>
                        </w:rPr>
                      </w:pPr>
                    </w:p>
                    <w:p w14:paraId="42745F2E" w14:textId="5A11C214" w:rsidR="00C23D0C" w:rsidRPr="00820B09" w:rsidRDefault="00C23D0C" w:rsidP="00C23D0C">
                      <w:pPr>
                        <w:jc w:val="both"/>
                        <w:rPr>
                          <w:rFonts w:asciiTheme="majorHAnsi" w:hAnsiTheme="majorHAnsi"/>
                          <w:sz w:val="20"/>
                          <w:szCs w:val="15"/>
                          <w:lang w:eastAsia="fr-FR"/>
                        </w:rPr>
                      </w:pPr>
                      <w:r w:rsidRPr="00820B09">
                        <w:rPr>
                          <w:rFonts w:asciiTheme="majorHAnsi" w:hAnsiTheme="majorHAnsi"/>
                          <w:sz w:val="20"/>
                          <w:szCs w:val="15"/>
                          <w:lang w:eastAsia="fr-FR"/>
                        </w:rPr>
                        <w:t xml:space="preserve">In addition, targeted training should be provided for staff whose roles directly influence accessibility, service delivery, employment policy and </w:t>
                      </w:r>
                      <w:r w:rsidR="0071333B" w:rsidRPr="00820B09">
                        <w:rPr>
                          <w:rFonts w:asciiTheme="majorHAnsi" w:hAnsiTheme="majorHAnsi"/>
                          <w:sz w:val="20"/>
                          <w:szCs w:val="15"/>
                          <w:lang w:eastAsia="fr-FR"/>
                        </w:rPr>
                        <w:t xml:space="preserve">staff </w:t>
                      </w:r>
                      <w:r w:rsidRPr="00820B09">
                        <w:rPr>
                          <w:rFonts w:asciiTheme="majorHAnsi" w:hAnsiTheme="majorHAnsi"/>
                          <w:sz w:val="20"/>
                          <w:szCs w:val="15"/>
                          <w:lang w:eastAsia="fr-FR"/>
                        </w:rPr>
                        <w:t>management</w:t>
                      </w:r>
                      <w:r w:rsidR="0071333B" w:rsidRPr="00820B09">
                        <w:rPr>
                          <w:rFonts w:asciiTheme="majorHAnsi" w:hAnsiTheme="majorHAnsi"/>
                          <w:sz w:val="20"/>
                          <w:szCs w:val="15"/>
                          <w:lang w:eastAsia="fr-FR"/>
                        </w:rPr>
                        <w:t>, for example</w:t>
                      </w:r>
                      <w:r w:rsidRPr="00820B09">
                        <w:rPr>
                          <w:rFonts w:asciiTheme="majorHAnsi" w:hAnsiTheme="majorHAnsi"/>
                          <w:sz w:val="20"/>
                          <w:szCs w:val="15"/>
                          <w:lang w:eastAsia="fr-FR"/>
                        </w:rPr>
                        <w:t>:</w:t>
                      </w:r>
                    </w:p>
                    <w:p w14:paraId="0CD1AEC6" w14:textId="2348F938"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Client-facing staff (see indicator 5.C.1.3)</w:t>
                      </w:r>
                    </w:p>
                    <w:p w14:paraId="632A94E1" w14:textId="558AC5A8"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Human Resources (HR) staff (see indicator 5.A.1.1)</w:t>
                      </w:r>
                    </w:p>
                    <w:p w14:paraId="739E695B" w14:textId="0A98442D"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IT, digital, and design teams relating to digital accessibility (see indicator 3.B.2.2)</w:t>
                      </w:r>
                    </w:p>
                    <w:p w14:paraId="1F3CBE4C" w14:textId="067B30F7"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Facilities and administrative staff relating to accessibility of premises (see indicator 3.B.2.2)</w:t>
                      </w:r>
                    </w:p>
                    <w:p w14:paraId="785D355C" w14:textId="37CF1616"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Staff involved in data collection, analysis and reporting (see indicator (1.B.1.3)</w:t>
                      </w:r>
                    </w:p>
                    <w:p w14:paraId="2AD4FCC4" w14:textId="235BCC4E" w:rsidR="0071333B" w:rsidRPr="00820B09" w:rsidRDefault="0071333B" w:rsidP="00A27AAA">
                      <w:pPr>
                        <w:pStyle w:val="ListParagraph"/>
                        <w:numPr>
                          <w:ilvl w:val="0"/>
                          <w:numId w:val="410"/>
                        </w:numPr>
                        <w:jc w:val="both"/>
                        <w:rPr>
                          <w:rFonts w:asciiTheme="majorHAnsi" w:hAnsiTheme="majorHAnsi"/>
                          <w:szCs w:val="15"/>
                          <w:lang w:eastAsia="fr-FR"/>
                        </w:rPr>
                      </w:pPr>
                      <w:r w:rsidRPr="00820B09">
                        <w:rPr>
                          <w:rFonts w:asciiTheme="majorHAnsi" w:hAnsiTheme="majorHAnsi"/>
                          <w:szCs w:val="15"/>
                          <w:lang w:eastAsia="fr-FR"/>
                        </w:rPr>
                        <w:t>Staff involved in workplace health and safety (WHS) and emergency planning (see indicators (5.A.3.1 and 5.A.3.3)</w:t>
                      </w:r>
                    </w:p>
                    <w:p w14:paraId="2CC00F4B" w14:textId="2B51AB08" w:rsidR="0071333B" w:rsidRPr="00820B09" w:rsidRDefault="0071333B" w:rsidP="00A27AAA">
                      <w:pPr>
                        <w:pStyle w:val="ListParagraph"/>
                        <w:numPr>
                          <w:ilvl w:val="0"/>
                          <w:numId w:val="410"/>
                        </w:numPr>
                        <w:jc w:val="both"/>
                        <w:rPr>
                          <w:rFonts w:asciiTheme="majorHAnsi" w:hAnsiTheme="majorHAnsi"/>
                          <w:szCs w:val="20"/>
                          <w:lang w:eastAsia="fr-FR"/>
                        </w:rPr>
                      </w:pPr>
                      <w:r w:rsidRPr="00820B09">
                        <w:rPr>
                          <w:rFonts w:asciiTheme="majorHAnsi" w:hAnsiTheme="majorHAnsi"/>
                          <w:szCs w:val="15"/>
                          <w:lang w:eastAsia="fr-FR"/>
                        </w:rPr>
                        <w:t xml:space="preserve">Line </w:t>
                      </w:r>
                      <w:r w:rsidRPr="00820B09">
                        <w:rPr>
                          <w:rFonts w:asciiTheme="majorHAnsi" w:hAnsiTheme="majorHAnsi"/>
                          <w:szCs w:val="20"/>
                          <w:lang w:eastAsia="fr-FR"/>
                        </w:rPr>
                        <w:t>managers (see indicator 5.A.1.1)</w:t>
                      </w:r>
                    </w:p>
                    <w:p w14:paraId="397EC875" w14:textId="07EDAF75" w:rsidR="0071333B" w:rsidRPr="00820B09" w:rsidRDefault="0071333B" w:rsidP="0071333B">
                      <w:pPr>
                        <w:jc w:val="both"/>
                        <w:rPr>
                          <w:rFonts w:asciiTheme="majorHAnsi" w:hAnsiTheme="majorHAnsi"/>
                          <w:sz w:val="20"/>
                          <w:szCs w:val="20"/>
                          <w:lang w:eastAsia="fr-FR"/>
                        </w:rPr>
                      </w:pPr>
                      <w:r w:rsidRPr="00820B09">
                        <w:rPr>
                          <w:rFonts w:asciiTheme="majorHAnsi" w:hAnsiTheme="majorHAnsi"/>
                          <w:sz w:val="20"/>
                          <w:szCs w:val="20"/>
                          <w:lang w:eastAsia="fr-FR"/>
                        </w:rPr>
                        <w:t xml:space="preserve">The BFFI Disability Inclusion Guide for FSPs includes more information and resources on staff training related to disability inclusion. </w:t>
                      </w:r>
                      <w:r w:rsidR="00F5562D" w:rsidRPr="00820B09">
                        <w:rPr>
                          <w:rFonts w:asciiTheme="majorHAnsi" w:hAnsiTheme="majorHAnsi"/>
                          <w:sz w:val="20"/>
                          <w:szCs w:val="20"/>
                          <w:lang w:eastAsia="fr-FR"/>
                        </w:rPr>
                        <w:t>See also resources for this indicator below.</w:t>
                      </w:r>
                    </w:p>
                    <w:p w14:paraId="73CAA506" w14:textId="77777777" w:rsidR="00C23D0C" w:rsidRPr="00820B09" w:rsidRDefault="00C23D0C" w:rsidP="00C23D0C">
                      <w:pPr>
                        <w:jc w:val="both"/>
                        <w:rPr>
                          <w:rFonts w:asciiTheme="majorHAnsi" w:hAnsiTheme="majorHAnsi"/>
                          <w:sz w:val="20"/>
                          <w:szCs w:val="15"/>
                          <w:lang w:eastAsia="fr-FR"/>
                        </w:rPr>
                      </w:pPr>
                    </w:p>
                    <w:p w14:paraId="05743929" w14:textId="77777777" w:rsidR="00C23D0C" w:rsidRPr="00820B09" w:rsidRDefault="00C23D0C" w:rsidP="00C23D0C">
                      <w:pPr>
                        <w:jc w:val="both"/>
                        <w:rPr>
                          <w:rFonts w:asciiTheme="majorHAnsi" w:hAnsiTheme="majorHAnsi"/>
                          <w:sz w:val="20"/>
                          <w:szCs w:val="15"/>
                          <w:lang w:eastAsia="fr-FR"/>
                        </w:rPr>
                      </w:pPr>
                    </w:p>
                    <w:p w14:paraId="56C19E61" w14:textId="77777777" w:rsidR="00C23D0C" w:rsidRPr="00820B09" w:rsidRDefault="00C23D0C" w:rsidP="00C23D0C">
                      <w:pPr>
                        <w:jc w:val="both"/>
                        <w:rPr>
                          <w:rFonts w:asciiTheme="majorHAnsi" w:hAnsiTheme="majorHAnsi"/>
                          <w:sz w:val="20"/>
                          <w:szCs w:val="15"/>
                          <w:lang w:eastAsia="fr-FR"/>
                        </w:rPr>
                      </w:pPr>
                    </w:p>
                    <w:p w14:paraId="5CE5C9D3" w14:textId="77777777" w:rsidR="00C23D0C" w:rsidRPr="00820B09" w:rsidRDefault="00C23D0C" w:rsidP="00C23D0C">
                      <w:pPr>
                        <w:jc w:val="both"/>
                        <w:rPr>
                          <w:rFonts w:asciiTheme="majorHAnsi" w:hAnsiTheme="majorHAnsi"/>
                          <w:sz w:val="20"/>
                          <w:szCs w:val="15"/>
                          <w:lang w:eastAsia="fr-FR"/>
                        </w:rPr>
                      </w:pPr>
                    </w:p>
                    <w:p w14:paraId="767C94A4" w14:textId="77777777" w:rsidR="00C23D0C" w:rsidRPr="00820B09" w:rsidRDefault="00C23D0C" w:rsidP="00C23D0C">
                      <w:pPr>
                        <w:jc w:val="both"/>
                        <w:rPr>
                          <w:rFonts w:asciiTheme="majorHAnsi" w:hAnsiTheme="majorHAnsi"/>
                          <w:sz w:val="20"/>
                          <w:szCs w:val="15"/>
                          <w:lang w:eastAsia="fr-FR"/>
                        </w:rPr>
                      </w:pPr>
                    </w:p>
                    <w:p w14:paraId="245F547C" w14:textId="77777777" w:rsidR="00C23D0C" w:rsidRPr="00820B09" w:rsidRDefault="00C23D0C" w:rsidP="00C23D0C">
                      <w:pPr>
                        <w:jc w:val="both"/>
                        <w:rPr>
                          <w:rFonts w:asciiTheme="majorHAnsi" w:hAnsiTheme="majorHAnsi"/>
                          <w:sz w:val="20"/>
                          <w:szCs w:val="15"/>
                          <w:lang w:eastAsia="fr-FR"/>
                        </w:rPr>
                      </w:pPr>
                    </w:p>
                  </w:txbxContent>
                </v:textbox>
                <w10:wrap type="square" anchorx="margin"/>
              </v:shape>
            </w:pict>
          </mc:Fallback>
        </mc:AlternateContent>
      </w:r>
    </w:p>
    <w:p w14:paraId="3D696907" w14:textId="310A9A18"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0FEF0205" w14:textId="77777777" w:rsidR="00A211F0" w:rsidRPr="00A608EE" w:rsidRDefault="00A211F0" w:rsidP="00A27AAA">
      <w:pPr>
        <w:numPr>
          <w:ilvl w:val="0"/>
          <w:numId w:val="350"/>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has a systemic social performance training process in place in terms of</w:t>
      </w:r>
    </w:p>
    <w:p w14:paraId="5F2D3BE7" w14:textId="77777777" w:rsidR="00A211F0" w:rsidRPr="00A608EE" w:rsidRDefault="00A211F0" w:rsidP="00A27AAA">
      <w:pPr>
        <w:numPr>
          <w:ilvl w:val="1"/>
          <w:numId w:val="350"/>
        </w:numPr>
        <w:jc w:val="both"/>
        <w:rPr>
          <w:rFonts w:asciiTheme="majorHAnsi" w:hAnsiTheme="majorHAnsi"/>
          <w:sz w:val="20"/>
          <w:szCs w:val="20"/>
          <w:lang w:eastAsia="fr-FR"/>
        </w:rPr>
      </w:pPr>
      <w:r w:rsidRPr="00A608EE">
        <w:rPr>
          <w:rFonts w:asciiTheme="majorHAnsi" w:hAnsiTheme="majorHAnsi"/>
          <w:sz w:val="20"/>
          <w:szCs w:val="20"/>
          <w:lang w:eastAsia="fr-FR"/>
        </w:rPr>
        <w:t>induction training for all new employees on the provider’s social strategy and goals and the employees’ specific social performance functions and targets and</w:t>
      </w:r>
    </w:p>
    <w:p w14:paraId="655FEEB3" w14:textId="77777777" w:rsidR="00A211F0" w:rsidRPr="00A608EE" w:rsidRDefault="00A211F0" w:rsidP="00A27AAA">
      <w:pPr>
        <w:numPr>
          <w:ilvl w:val="1"/>
          <w:numId w:val="350"/>
        </w:numPr>
        <w:jc w:val="both"/>
        <w:rPr>
          <w:rFonts w:asciiTheme="majorHAnsi" w:hAnsiTheme="majorHAnsi"/>
          <w:sz w:val="20"/>
          <w:szCs w:val="20"/>
          <w:lang w:eastAsia="fr-FR"/>
        </w:rPr>
      </w:pPr>
      <w:r w:rsidRPr="00A608EE">
        <w:rPr>
          <w:rFonts w:asciiTheme="majorHAnsi" w:hAnsiTheme="majorHAnsi"/>
          <w:sz w:val="20"/>
          <w:szCs w:val="20"/>
          <w:lang w:eastAsia="fr-FR"/>
        </w:rPr>
        <w:t>at least annual refresher trainings for all employees</w:t>
      </w:r>
    </w:p>
    <w:p w14:paraId="2C552471" w14:textId="77777777" w:rsidR="00A211F0" w:rsidRPr="00A608EE" w:rsidRDefault="00A211F0" w:rsidP="00A27AAA">
      <w:pPr>
        <w:numPr>
          <w:ilvl w:val="1"/>
          <w:numId w:val="350"/>
        </w:numPr>
        <w:jc w:val="both"/>
        <w:rPr>
          <w:rFonts w:asciiTheme="majorHAnsi" w:hAnsiTheme="majorHAnsi"/>
          <w:sz w:val="20"/>
          <w:szCs w:val="20"/>
          <w:lang w:eastAsia="fr-FR"/>
        </w:rPr>
      </w:pPr>
      <w:r w:rsidRPr="00A608EE">
        <w:rPr>
          <w:rFonts w:asciiTheme="majorHAnsi" w:hAnsiTheme="majorHAnsi"/>
          <w:sz w:val="20"/>
          <w:szCs w:val="20"/>
          <w:lang w:eastAsia="fr-FR"/>
        </w:rPr>
        <w:t>both with a hands-on training methodology focusing on practical case studies and role games so that</w:t>
      </w:r>
    </w:p>
    <w:p w14:paraId="5963CD9A" w14:textId="77777777" w:rsidR="00A211F0" w:rsidRPr="00A608EE" w:rsidRDefault="00A211F0" w:rsidP="00A27AAA">
      <w:pPr>
        <w:numPr>
          <w:ilvl w:val="1"/>
          <w:numId w:val="350"/>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most/all employees understand well the topics.</w:t>
      </w:r>
    </w:p>
    <w:p w14:paraId="64D382E1" w14:textId="77777777" w:rsidR="00A211F0" w:rsidRPr="00A608EE" w:rsidRDefault="00A211F0" w:rsidP="00A27AAA">
      <w:pPr>
        <w:numPr>
          <w:ilvl w:val="0"/>
          <w:numId w:val="350"/>
        </w:numPr>
        <w:jc w:val="both"/>
        <w:rPr>
          <w:rFonts w:asciiTheme="majorHAnsi" w:hAnsiTheme="majorHAnsi"/>
          <w:sz w:val="20"/>
          <w:szCs w:val="20"/>
          <w:lang w:eastAsia="fr-FR"/>
        </w:rPr>
      </w:pPr>
      <w:r w:rsidRPr="00A608EE">
        <w:rPr>
          <w:rFonts w:asciiTheme="majorHAnsi" w:hAnsiTheme="majorHAnsi"/>
          <w:sz w:val="20"/>
          <w:szCs w:val="20"/>
          <w:lang w:eastAsia="fr-FR"/>
        </w:rPr>
        <w:t>Score ‘partially’, if one or more of the four requirements are met only partly. For instance, (i) the induction training and the refresher trainings cover insufficiently the employees’ specific social performance functions and targets or (ii) the training methodology focuses on lectures with little active involvement of the trainees or (iii) many employees have little understanding on the topics.</w:t>
      </w:r>
    </w:p>
    <w:p w14:paraId="2150EE32" w14:textId="77777777" w:rsidR="00A211F0" w:rsidRPr="00A608EE" w:rsidRDefault="00A211F0" w:rsidP="00A27AAA">
      <w:pPr>
        <w:numPr>
          <w:ilvl w:val="0"/>
          <w:numId w:val="350"/>
        </w:numPr>
        <w:jc w:val="both"/>
        <w:rPr>
          <w:rFonts w:asciiTheme="majorHAnsi" w:hAnsiTheme="majorHAnsi"/>
          <w:sz w:val="20"/>
          <w:szCs w:val="20"/>
          <w:lang w:eastAsia="fr-FR"/>
        </w:rPr>
      </w:pPr>
      <w:r w:rsidRPr="00A608EE">
        <w:rPr>
          <w:rFonts w:asciiTheme="majorHAnsi" w:hAnsiTheme="majorHAnsi"/>
          <w:sz w:val="20"/>
          <w:szCs w:val="20"/>
          <w:lang w:eastAsia="fr-FR"/>
        </w:rPr>
        <w:t>Score ‘no’, if there is no social performance training process in place and/or two or more of the four requirements are largely not met.</w:t>
      </w:r>
    </w:p>
    <w:p w14:paraId="0255CF9E" w14:textId="77777777" w:rsidR="00A211F0" w:rsidRPr="00A608EE" w:rsidRDefault="00A211F0" w:rsidP="00EE208A">
      <w:pPr>
        <w:jc w:val="both"/>
        <w:rPr>
          <w:rFonts w:asciiTheme="majorHAnsi" w:hAnsiTheme="majorHAnsi"/>
          <w:sz w:val="20"/>
          <w:szCs w:val="20"/>
          <w:lang w:eastAsia="fr-FR"/>
        </w:rPr>
      </w:pPr>
    </w:p>
    <w:p w14:paraId="38CEC2B1" w14:textId="6979D7B9"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6F0FC190" w14:textId="77777777" w:rsidR="00A211F0" w:rsidRPr="00A608EE" w:rsidRDefault="00A211F0" w:rsidP="00A27AAA">
      <w:pPr>
        <w:numPr>
          <w:ilvl w:val="0"/>
          <w:numId w:val="351"/>
        </w:numPr>
        <w:jc w:val="both"/>
        <w:rPr>
          <w:rFonts w:asciiTheme="majorHAnsi" w:hAnsiTheme="majorHAnsi"/>
          <w:sz w:val="20"/>
          <w:szCs w:val="20"/>
          <w:lang w:eastAsia="fr-FR"/>
        </w:rPr>
      </w:pPr>
      <w:r w:rsidRPr="00A608EE">
        <w:rPr>
          <w:rFonts w:asciiTheme="majorHAnsi" w:hAnsiTheme="majorHAnsi"/>
          <w:sz w:val="20"/>
          <w:szCs w:val="20"/>
          <w:lang w:eastAsia="fr-FR"/>
        </w:rPr>
        <w:t>HR Policy &amp; Procedures manual / Code of Conduct</w:t>
      </w:r>
    </w:p>
    <w:p w14:paraId="4A81932B" w14:textId="77777777" w:rsidR="00A211F0" w:rsidRPr="00A608EE" w:rsidRDefault="00A211F0" w:rsidP="00A27AAA">
      <w:pPr>
        <w:numPr>
          <w:ilvl w:val="0"/>
          <w:numId w:val="351"/>
        </w:numPr>
        <w:jc w:val="both"/>
        <w:rPr>
          <w:rFonts w:asciiTheme="majorHAnsi" w:hAnsiTheme="majorHAnsi"/>
          <w:sz w:val="20"/>
          <w:szCs w:val="20"/>
          <w:lang w:eastAsia="fr-FR"/>
        </w:rPr>
      </w:pPr>
      <w:r w:rsidRPr="00A608EE">
        <w:rPr>
          <w:rFonts w:asciiTheme="majorHAnsi" w:hAnsiTheme="majorHAnsi"/>
          <w:sz w:val="20"/>
          <w:szCs w:val="20"/>
          <w:lang w:eastAsia="fr-FR"/>
        </w:rPr>
        <w:t>Induction and refresher trainings conducted during the past 12 months and training materials on the social strategy, social goals, and the social performance functions and social targets of staff.</w:t>
      </w:r>
    </w:p>
    <w:p w14:paraId="67F7BB26" w14:textId="77777777" w:rsidR="00A211F0" w:rsidRPr="00A608EE" w:rsidRDefault="00A211F0" w:rsidP="00A27AAA">
      <w:pPr>
        <w:numPr>
          <w:ilvl w:val="0"/>
          <w:numId w:val="351"/>
        </w:numPr>
        <w:jc w:val="both"/>
        <w:rPr>
          <w:rFonts w:asciiTheme="majorHAnsi" w:hAnsiTheme="majorHAnsi"/>
          <w:sz w:val="20"/>
          <w:szCs w:val="20"/>
          <w:lang w:eastAsia="fr-FR"/>
        </w:rPr>
      </w:pPr>
      <w:r w:rsidRPr="00A608EE">
        <w:rPr>
          <w:rFonts w:asciiTheme="majorHAnsi" w:hAnsiTheme="majorHAnsi"/>
          <w:sz w:val="20"/>
          <w:szCs w:val="20"/>
          <w:lang w:eastAsia="fr-FR"/>
        </w:rPr>
        <w:t>HR reports on induction and refresher trainings on the above topics and training evaluations during the past 12 months.</w:t>
      </w:r>
    </w:p>
    <w:p w14:paraId="25D39B8A" w14:textId="77777777" w:rsidR="00A211F0" w:rsidRPr="00A608EE" w:rsidRDefault="00A211F0" w:rsidP="00A27AAA">
      <w:pPr>
        <w:numPr>
          <w:ilvl w:val="0"/>
          <w:numId w:val="351"/>
        </w:numPr>
        <w:jc w:val="both"/>
        <w:rPr>
          <w:rFonts w:asciiTheme="majorHAnsi" w:hAnsiTheme="majorHAnsi"/>
          <w:sz w:val="20"/>
          <w:szCs w:val="20"/>
          <w:lang w:eastAsia="fr-FR"/>
        </w:rPr>
      </w:pPr>
      <w:r w:rsidRPr="00A608EE">
        <w:rPr>
          <w:rFonts w:asciiTheme="majorHAnsi" w:hAnsiTheme="majorHAnsi"/>
          <w:sz w:val="20"/>
          <w:szCs w:val="20"/>
          <w:lang w:eastAsia="fr-FR"/>
        </w:rPr>
        <w:t>Interviews with HR manager, Training manager, and different employees (women and men with office and field functions) and at different levels.</w:t>
      </w:r>
    </w:p>
    <w:p w14:paraId="6E345A51" w14:textId="77777777" w:rsidR="00A211F0" w:rsidRPr="00A608EE" w:rsidRDefault="00A211F0" w:rsidP="00EE208A">
      <w:pPr>
        <w:jc w:val="both"/>
        <w:rPr>
          <w:rFonts w:asciiTheme="majorHAnsi" w:hAnsiTheme="majorHAnsi"/>
          <w:sz w:val="20"/>
          <w:szCs w:val="20"/>
          <w:lang w:eastAsia="fr-FR"/>
        </w:rPr>
      </w:pPr>
    </w:p>
    <w:p w14:paraId="4202C4D7" w14:textId="4D45149B"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7F463F6C" w14:textId="77777777" w:rsidR="00A211F0" w:rsidRPr="00A608EE" w:rsidRDefault="00A211F0" w:rsidP="00A27AAA">
      <w:pPr>
        <w:numPr>
          <w:ilvl w:val="0"/>
          <w:numId w:val="352"/>
        </w:numPr>
        <w:jc w:val="both"/>
        <w:rPr>
          <w:rFonts w:asciiTheme="majorHAnsi" w:hAnsiTheme="majorHAnsi"/>
          <w:sz w:val="20"/>
          <w:szCs w:val="20"/>
          <w:lang w:eastAsia="fr-FR"/>
        </w:rPr>
      </w:pPr>
      <w:r w:rsidRPr="00A608EE">
        <w:rPr>
          <w:rFonts w:asciiTheme="majorHAnsi" w:hAnsiTheme="majorHAnsi"/>
          <w:sz w:val="20"/>
          <w:szCs w:val="20"/>
          <w:lang w:eastAsia="fr-FR"/>
        </w:rPr>
        <w:t>Refer to inception and refresher trainings and training evaluations on the above topics during the past 12 months.</w:t>
      </w:r>
    </w:p>
    <w:p w14:paraId="44FC11D6" w14:textId="77777777" w:rsidR="00A211F0" w:rsidRPr="00A608EE" w:rsidRDefault="00A211F0" w:rsidP="00A27AAA">
      <w:pPr>
        <w:numPr>
          <w:ilvl w:val="0"/>
          <w:numId w:val="352"/>
        </w:numPr>
        <w:jc w:val="both"/>
        <w:rPr>
          <w:rFonts w:asciiTheme="majorHAnsi" w:hAnsiTheme="majorHAnsi"/>
          <w:sz w:val="20"/>
          <w:szCs w:val="20"/>
          <w:lang w:eastAsia="fr-FR"/>
        </w:rPr>
      </w:pPr>
      <w:r w:rsidRPr="00A608EE">
        <w:rPr>
          <w:rFonts w:asciiTheme="majorHAnsi" w:hAnsiTheme="majorHAnsi"/>
          <w:sz w:val="20"/>
          <w:szCs w:val="20"/>
          <w:lang w:eastAsia="fr-FR"/>
        </w:rPr>
        <w:t>Describe the training methodologies and training materials for trainers and trainees.</w:t>
      </w:r>
    </w:p>
    <w:p w14:paraId="15452579" w14:textId="77777777" w:rsidR="00A211F0" w:rsidRPr="00A608EE" w:rsidRDefault="00A211F0" w:rsidP="00A27AAA">
      <w:pPr>
        <w:numPr>
          <w:ilvl w:val="0"/>
          <w:numId w:val="352"/>
        </w:numPr>
        <w:jc w:val="both"/>
        <w:rPr>
          <w:rFonts w:asciiTheme="majorHAnsi" w:hAnsiTheme="majorHAnsi"/>
          <w:sz w:val="20"/>
          <w:szCs w:val="20"/>
          <w:lang w:eastAsia="fr-FR"/>
        </w:rPr>
      </w:pPr>
      <w:r w:rsidRPr="00A608EE">
        <w:rPr>
          <w:rFonts w:asciiTheme="majorHAnsi" w:hAnsiTheme="majorHAnsi"/>
          <w:sz w:val="20"/>
          <w:szCs w:val="20"/>
          <w:lang w:eastAsia="fr-FR"/>
        </w:rPr>
        <w:t>Refer to the level of understanding on the above topics from the sample staff interviews.</w:t>
      </w:r>
    </w:p>
    <w:p w14:paraId="416B5267" w14:textId="77777777" w:rsidR="00A211F0" w:rsidRPr="00A608EE" w:rsidRDefault="00A211F0" w:rsidP="00EE208A">
      <w:pPr>
        <w:jc w:val="both"/>
        <w:rPr>
          <w:rFonts w:asciiTheme="majorHAnsi" w:hAnsiTheme="majorHAnsi"/>
          <w:sz w:val="20"/>
          <w:szCs w:val="20"/>
          <w:lang w:eastAsia="fr-FR"/>
        </w:rPr>
      </w:pPr>
    </w:p>
    <w:p w14:paraId="18BB478F" w14:textId="5EDC385E"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5.C.2.1</w:t>
      </w:r>
    </w:p>
    <w:p w14:paraId="30355E08" w14:textId="519FF237" w:rsidR="001B1BC0" w:rsidRPr="00A608EE" w:rsidRDefault="001B1BC0" w:rsidP="00A27AAA">
      <w:pPr>
        <w:numPr>
          <w:ilvl w:val="0"/>
          <w:numId w:val="35"/>
        </w:numPr>
        <w:jc w:val="both"/>
        <w:rPr>
          <w:rFonts w:asciiTheme="majorHAnsi" w:hAnsiTheme="majorHAnsi"/>
          <w:sz w:val="20"/>
          <w:szCs w:val="20"/>
        </w:rPr>
      </w:pPr>
      <w:hyperlink r:id="rId288" w:history="1">
        <w:r w:rsidRPr="00A608EE">
          <w:rPr>
            <w:rStyle w:val="Hyperlink"/>
            <w:rFonts w:asciiTheme="majorHAnsi" w:hAnsiTheme="majorHAnsi"/>
            <w:color w:val="auto"/>
            <w:sz w:val="20"/>
            <w:szCs w:val="20"/>
          </w:rPr>
          <w:t xml:space="preserve">Sample Employee </w:t>
        </w:r>
        <w:r w:rsidR="00474C27" w:rsidRPr="00A608EE">
          <w:rPr>
            <w:rStyle w:val="Hyperlink"/>
            <w:rFonts w:asciiTheme="majorHAnsi" w:hAnsiTheme="majorHAnsi"/>
            <w:color w:val="auto"/>
            <w:sz w:val="20"/>
            <w:szCs w:val="20"/>
          </w:rPr>
          <w:t>GPS</w:t>
        </w:r>
        <w:r w:rsidRPr="00A608EE">
          <w:rPr>
            <w:rStyle w:val="Hyperlink"/>
            <w:rFonts w:asciiTheme="majorHAnsi" w:hAnsiTheme="majorHAnsi"/>
            <w:color w:val="auto"/>
            <w:sz w:val="20"/>
            <w:szCs w:val="20"/>
          </w:rPr>
          <w:t xml:space="preserve"> Responsibilities Table</w:t>
        </w:r>
      </w:hyperlink>
    </w:p>
    <w:p w14:paraId="028012D5" w14:textId="261DF9EB" w:rsidR="00CE10C1" w:rsidRPr="00A608EE" w:rsidRDefault="001B1BC0" w:rsidP="00A27AAA">
      <w:pPr>
        <w:numPr>
          <w:ilvl w:val="0"/>
          <w:numId w:val="35"/>
        </w:numPr>
        <w:jc w:val="both"/>
        <w:rPr>
          <w:rFonts w:asciiTheme="majorHAnsi" w:hAnsiTheme="majorHAnsi"/>
          <w:sz w:val="20"/>
          <w:szCs w:val="20"/>
        </w:rPr>
      </w:pPr>
      <w:hyperlink r:id="rId289" w:history="1">
        <w:r w:rsidRPr="00A608EE">
          <w:rPr>
            <w:rStyle w:val="Hyperlink"/>
            <w:rFonts w:asciiTheme="majorHAnsi" w:hAnsiTheme="majorHAnsi"/>
            <w:color w:val="auto"/>
            <w:sz w:val="20"/>
            <w:szCs w:val="20"/>
          </w:rPr>
          <w:t>FINCA Microfinance Bank LTD. Evaluates Employees on Customer Care</w:t>
        </w:r>
      </w:hyperlink>
    </w:p>
    <w:p w14:paraId="2711CD46" w14:textId="3EE65BC7" w:rsidR="002969E4" w:rsidRPr="00A608EE" w:rsidRDefault="002969E4" w:rsidP="00A27AAA">
      <w:pPr>
        <w:pStyle w:val="ListParagraph"/>
        <w:numPr>
          <w:ilvl w:val="0"/>
          <w:numId w:val="35"/>
        </w:numPr>
        <w:rPr>
          <w:rStyle w:val="text-primary"/>
          <w:rFonts w:asciiTheme="majorHAnsi" w:eastAsia="Times New Roman" w:hAnsiTheme="majorHAnsi" w:cs="Times New Roman"/>
          <w:szCs w:val="20"/>
          <w:lang w:eastAsia="es-ES_tradnl"/>
        </w:rPr>
      </w:pPr>
      <w:r w:rsidRPr="00A608EE">
        <w:rPr>
          <w:rStyle w:val="text-primary"/>
          <w:rFonts w:asciiTheme="majorHAnsi" w:eastAsia="Times New Roman" w:hAnsiTheme="majorHAnsi" w:cs="Times New Roman"/>
          <w:b/>
          <w:bCs/>
          <w:szCs w:val="20"/>
          <w:lang w:eastAsia="es-ES_tradnl"/>
        </w:rPr>
        <w:t>[DI Focus]:</w:t>
      </w:r>
      <w:r w:rsidRPr="00A608EE">
        <w:rPr>
          <w:rStyle w:val="text-primary"/>
          <w:rFonts w:asciiTheme="majorHAnsi" w:eastAsia="Times New Roman" w:hAnsiTheme="majorHAnsi" w:cs="Times New Roman"/>
          <w:szCs w:val="20"/>
          <w:lang w:eastAsia="es-ES_tradnl"/>
        </w:rPr>
        <w:t xml:space="preserve"> </w:t>
      </w:r>
      <w:hyperlink r:id="rId290" w:history="1">
        <w:r w:rsidRPr="00A608EE">
          <w:rPr>
            <w:rStyle w:val="Hyperlink"/>
            <w:rFonts w:asciiTheme="majorHAnsi" w:eastAsia="Times New Roman" w:hAnsiTheme="majorHAnsi" w:cs="Times New Roman"/>
            <w:szCs w:val="20"/>
            <w:lang w:eastAsia="es-ES_tradnl"/>
          </w:rPr>
          <w:t>Asian Development Bank (ADB), ‘A Guide to Disability Inclusion Training</w:t>
        </w:r>
        <w:r w:rsidR="00713CF7" w:rsidRPr="00A608EE">
          <w:rPr>
            <w:rStyle w:val="Hyperlink"/>
            <w:rFonts w:asciiTheme="majorHAnsi" w:eastAsia="Times New Roman" w:hAnsiTheme="majorHAnsi" w:cs="Times New Roman"/>
            <w:szCs w:val="20"/>
            <w:lang w:eastAsia="es-ES_tradnl"/>
          </w:rPr>
          <w:t xml:space="preserve"> and Development</w:t>
        </w:r>
        <w:r w:rsidRPr="00A608EE">
          <w:rPr>
            <w:rStyle w:val="Hyperlink"/>
            <w:rFonts w:asciiTheme="majorHAnsi" w:eastAsia="Times New Roman" w:hAnsiTheme="majorHAnsi" w:cs="Times New Roman"/>
            <w:szCs w:val="20"/>
            <w:lang w:eastAsia="es-ES_tradnl"/>
          </w:rPr>
          <w:t>: provides guidance on staff training for banking organizations with different levels of disability inclusion experience, including general and role-specific training content</w:t>
        </w:r>
      </w:hyperlink>
    </w:p>
    <w:p w14:paraId="0511B889" w14:textId="0D70BC66" w:rsidR="002969E4" w:rsidRPr="00A608EE" w:rsidRDefault="00F5562D" w:rsidP="00A27AAA">
      <w:pPr>
        <w:pStyle w:val="ListParagraph"/>
        <w:numPr>
          <w:ilvl w:val="0"/>
          <w:numId w:val="35"/>
        </w:numPr>
        <w:rPr>
          <w:rStyle w:val="text-primary"/>
          <w:rFonts w:asciiTheme="majorHAnsi" w:eastAsia="Times New Roman" w:hAnsiTheme="majorHAnsi" w:cs="Times New Roman"/>
          <w:szCs w:val="20"/>
          <w:lang w:eastAsia="es-ES_tradnl"/>
        </w:rPr>
      </w:pPr>
      <w:r w:rsidRPr="00A608EE">
        <w:rPr>
          <w:rStyle w:val="text-primary"/>
          <w:rFonts w:asciiTheme="majorHAnsi" w:eastAsia="Times New Roman" w:hAnsiTheme="majorHAnsi" w:cs="Times New Roman"/>
          <w:b/>
          <w:bCs/>
          <w:szCs w:val="20"/>
          <w:lang w:eastAsia="es-ES_tradnl"/>
        </w:rPr>
        <w:t>[DI Focus]:</w:t>
      </w:r>
      <w:r w:rsidRPr="00A608EE">
        <w:rPr>
          <w:rStyle w:val="text-primary"/>
          <w:rFonts w:asciiTheme="majorHAnsi" w:eastAsia="Times New Roman" w:hAnsiTheme="majorHAnsi" w:cs="Times New Roman"/>
          <w:szCs w:val="20"/>
          <w:lang w:eastAsia="es-ES_tradnl"/>
        </w:rPr>
        <w:t xml:space="preserve"> </w:t>
      </w:r>
      <w:hyperlink r:id="rId291" w:history="1">
        <w:r w:rsidRPr="00A608EE">
          <w:rPr>
            <w:rStyle w:val="Hyperlink"/>
            <w:rFonts w:asciiTheme="majorHAnsi" w:eastAsia="Times New Roman" w:hAnsiTheme="majorHAnsi" w:cs="Times New Roman"/>
            <w:szCs w:val="20"/>
            <w:lang w:eastAsia="es-ES_tradnl"/>
          </w:rPr>
          <w:t>Light For The World (LFTW) ‘</w:t>
        </w:r>
        <w:r w:rsidR="00713CF7" w:rsidRPr="00A608EE">
          <w:rPr>
            <w:rStyle w:val="Hyperlink"/>
            <w:rFonts w:asciiTheme="majorHAnsi" w:eastAsia="Times New Roman" w:hAnsiTheme="majorHAnsi" w:cs="Times New Roman"/>
            <w:szCs w:val="20"/>
            <w:lang w:eastAsia="es-ES_tradnl"/>
          </w:rPr>
          <w:t xml:space="preserve">Disability Inclusion Training Manual: </w:t>
        </w:r>
        <w:r w:rsidRPr="00A608EE">
          <w:rPr>
            <w:rStyle w:val="Hyperlink"/>
            <w:rFonts w:asciiTheme="majorHAnsi" w:eastAsia="Times New Roman" w:hAnsiTheme="majorHAnsi" w:cs="Times New Roman"/>
            <w:szCs w:val="20"/>
            <w:lang w:eastAsia="es-ES_tradnl"/>
          </w:rPr>
          <w:t>A guide for supporting training capacity for disability inclusion’: Section 6 includes content for introductory disability inclusion awareness</w:t>
        </w:r>
      </w:hyperlink>
    </w:p>
    <w:p w14:paraId="275E7E0D" w14:textId="0C5D66A1" w:rsidR="00F5562D" w:rsidRPr="00A608EE" w:rsidRDefault="00F5562D" w:rsidP="00A27AAA">
      <w:pPr>
        <w:pStyle w:val="ListParagraph"/>
        <w:numPr>
          <w:ilvl w:val="0"/>
          <w:numId w:val="35"/>
        </w:numPr>
        <w:rPr>
          <w:rStyle w:val="text-primary"/>
          <w:rFonts w:asciiTheme="majorHAnsi" w:eastAsia="Times New Roman" w:hAnsiTheme="majorHAnsi" w:cs="Times New Roman"/>
          <w:szCs w:val="20"/>
          <w:lang w:eastAsia="es-ES_tradnl"/>
        </w:rPr>
      </w:pPr>
      <w:r w:rsidRPr="00A608EE">
        <w:rPr>
          <w:rStyle w:val="text-primary"/>
          <w:rFonts w:asciiTheme="majorHAnsi" w:eastAsia="Times New Roman" w:hAnsiTheme="majorHAnsi" w:cs="Times New Roman"/>
          <w:b/>
          <w:bCs/>
          <w:szCs w:val="20"/>
          <w:lang w:eastAsia="es-ES_tradnl"/>
        </w:rPr>
        <w:t>[DI Focus]:</w:t>
      </w:r>
      <w:r w:rsidRPr="00A608EE">
        <w:rPr>
          <w:rStyle w:val="text-primary"/>
          <w:rFonts w:asciiTheme="majorHAnsi" w:eastAsia="Times New Roman" w:hAnsiTheme="majorHAnsi" w:cs="Times New Roman"/>
          <w:szCs w:val="20"/>
          <w:lang w:eastAsia="es-ES_tradnl"/>
        </w:rPr>
        <w:t xml:space="preserve"> </w:t>
      </w:r>
      <w:hyperlink r:id="rId292" w:history="1">
        <w:r w:rsidRPr="00A608EE">
          <w:rPr>
            <w:rStyle w:val="Hyperlink"/>
            <w:rFonts w:asciiTheme="majorHAnsi" w:eastAsia="Times New Roman" w:hAnsiTheme="majorHAnsi" w:cs="Times New Roman"/>
            <w:szCs w:val="20"/>
            <w:lang w:eastAsia="es-ES_tradnl"/>
          </w:rPr>
          <w:t>Humanity &amp; Inclusion (HI), ‘Factsheet: Stereotypes, cognitive biases and discrimination’</w:t>
        </w:r>
      </w:hyperlink>
    </w:p>
    <w:p w14:paraId="4AAAA97E" w14:textId="4ECD5C62" w:rsidR="00F5562D" w:rsidRPr="00A608EE" w:rsidRDefault="00F5562D" w:rsidP="00A27AAA">
      <w:pPr>
        <w:pStyle w:val="ListParagraph"/>
        <w:numPr>
          <w:ilvl w:val="0"/>
          <w:numId w:val="35"/>
        </w:numPr>
        <w:rPr>
          <w:rStyle w:val="text-primary"/>
          <w:rFonts w:asciiTheme="majorHAnsi" w:eastAsia="Times New Roman" w:hAnsiTheme="majorHAnsi" w:cs="Times New Roman"/>
          <w:szCs w:val="20"/>
          <w:lang w:eastAsia="es-ES_tradnl"/>
        </w:rPr>
      </w:pPr>
      <w:r w:rsidRPr="00A608EE">
        <w:rPr>
          <w:rStyle w:val="text-primary"/>
          <w:rFonts w:asciiTheme="majorHAnsi" w:eastAsia="Times New Roman" w:hAnsiTheme="majorHAnsi" w:cs="Times New Roman"/>
          <w:b/>
          <w:bCs/>
          <w:szCs w:val="20"/>
          <w:lang w:eastAsia="es-ES_tradnl"/>
        </w:rPr>
        <w:t>[DI Focus}:</w:t>
      </w:r>
      <w:r w:rsidRPr="00A608EE">
        <w:rPr>
          <w:rStyle w:val="text-primary"/>
          <w:rFonts w:asciiTheme="majorHAnsi" w:eastAsia="Times New Roman" w:hAnsiTheme="majorHAnsi" w:cs="Times New Roman"/>
          <w:szCs w:val="20"/>
          <w:lang w:eastAsia="es-ES_tradnl"/>
        </w:rPr>
        <w:t xml:space="preserve"> </w:t>
      </w:r>
      <w:hyperlink r:id="rId293" w:history="1">
        <w:r w:rsidRPr="00A608EE">
          <w:rPr>
            <w:rStyle w:val="Hyperlink"/>
            <w:rFonts w:asciiTheme="majorHAnsi" w:eastAsia="Times New Roman" w:hAnsiTheme="majorHAnsi" w:cs="Times New Roman"/>
            <w:szCs w:val="20"/>
            <w:lang w:eastAsia="es-ES_tradnl"/>
          </w:rPr>
          <w:t>ENTELIS (European Network for Technology Enhanced Learning in an Inclusive Society): Link to training material and manuals for trainers on disability rights and digital accessibility</w:t>
        </w:r>
      </w:hyperlink>
      <w:r w:rsidRPr="00A608EE">
        <w:rPr>
          <w:rStyle w:val="text-primary"/>
          <w:rFonts w:asciiTheme="majorHAnsi" w:eastAsia="Times New Roman" w:hAnsiTheme="majorHAnsi" w:cs="Times New Roman"/>
          <w:szCs w:val="20"/>
          <w:lang w:eastAsia="es-ES_tradnl"/>
        </w:rPr>
        <w:t xml:space="preserve"> </w:t>
      </w:r>
    </w:p>
    <w:p w14:paraId="588935A0" w14:textId="3F88B83A" w:rsidR="00F5562D" w:rsidRPr="00A608EE" w:rsidRDefault="00F5562D" w:rsidP="00A27AAA">
      <w:pPr>
        <w:pStyle w:val="ListParagraph"/>
        <w:numPr>
          <w:ilvl w:val="0"/>
          <w:numId w:val="35"/>
        </w:numPr>
        <w:rPr>
          <w:rStyle w:val="text-primary"/>
          <w:rFonts w:asciiTheme="majorHAnsi" w:eastAsia="Times New Roman" w:hAnsiTheme="majorHAnsi" w:cs="Times New Roman"/>
          <w:szCs w:val="20"/>
          <w:lang w:eastAsia="es-ES_tradnl"/>
        </w:rPr>
      </w:pPr>
      <w:r w:rsidRPr="00A608EE">
        <w:rPr>
          <w:rStyle w:val="text-primary"/>
          <w:rFonts w:asciiTheme="majorHAnsi" w:eastAsia="Times New Roman" w:hAnsiTheme="majorHAnsi" w:cs="Times New Roman"/>
          <w:b/>
          <w:bCs/>
          <w:szCs w:val="20"/>
          <w:lang w:eastAsia="es-ES_tradnl"/>
        </w:rPr>
        <w:t>[DI Focus}:</w:t>
      </w:r>
      <w:r w:rsidRPr="00A608EE">
        <w:rPr>
          <w:rStyle w:val="text-primary"/>
          <w:rFonts w:asciiTheme="majorHAnsi" w:eastAsia="Times New Roman" w:hAnsiTheme="majorHAnsi" w:cs="Times New Roman"/>
          <w:szCs w:val="20"/>
          <w:lang w:eastAsia="es-ES_tradnl"/>
        </w:rPr>
        <w:t xml:space="preserve"> </w:t>
      </w:r>
      <w:hyperlink r:id="rId294" w:history="1">
        <w:r w:rsidRPr="00A608EE">
          <w:rPr>
            <w:rStyle w:val="Hyperlink"/>
            <w:rFonts w:asciiTheme="majorHAnsi" w:eastAsia="Times New Roman" w:hAnsiTheme="majorHAnsi" w:cs="Times New Roman"/>
            <w:szCs w:val="20"/>
            <w:lang w:eastAsia="es-ES_tradnl"/>
          </w:rPr>
          <w:t>Alison: Free online course on Disability Inclusion in the Workplace</w:t>
        </w:r>
      </w:hyperlink>
    </w:p>
    <w:p w14:paraId="28807AE2" w14:textId="77777777" w:rsidR="004340AA" w:rsidRPr="00A608EE" w:rsidRDefault="004340AA" w:rsidP="00EE208A">
      <w:pPr>
        <w:jc w:val="both"/>
      </w:pPr>
    </w:p>
    <w:p w14:paraId="466E4A42" w14:textId="77777777" w:rsidR="008E008A" w:rsidRPr="00A608EE" w:rsidRDefault="008E008A">
      <w:pPr>
        <w:spacing w:after="160" w:line="259" w:lineRule="auto"/>
        <w:rPr>
          <w:rFonts w:asciiTheme="majorHAnsi" w:eastAsiaTheme="majorEastAsia" w:hAnsiTheme="majorHAnsi" w:cstheme="majorBidi"/>
          <w:i/>
          <w:iCs/>
          <w:szCs w:val="22"/>
          <w:lang w:eastAsia="en-US"/>
        </w:rPr>
      </w:pPr>
      <w:r w:rsidRPr="00A608EE">
        <w:br w:type="page"/>
      </w:r>
    </w:p>
    <w:p w14:paraId="4026EED2" w14:textId="623FD8D5" w:rsidR="00AA3E95" w:rsidRPr="00A608EE" w:rsidRDefault="0033157A" w:rsidP="00EE208A">
      <w:pPr>
        <w:pStyle w:val="Heading4"/>
        <w:spacing w:before="0" w:line="240" w:lineRule="auto"/>
        <w:jc w:val="both"/>
      </w:pPr>
      <w:r w:rsidRPr="00A608EE">
        <w:rPr>
          <w:rStyle w:val="text-primary"/>
        </w:rPr>
        <w:lastRenderedPageBreak/>
        <w:t>5.C.2.2</w:t>
      </w:r>
      <w:r w:rsidRPr="00A608EE">
        <w:t xml:space="preserve"> </w:t>
      </w:r>
      <w:r w:rsidR="00A211F0" w:rsidRPr="00A608EE">
        <w:t>The provider trains employees on client protection, in line with their roles and responsibilities. The training covers at minimum the following topics</w:t>
      </w:r>
      <w:r w:rsidR="00DD1BC1" w:rsidRPr="00A608EE">
        <w:t>:</w:t>
      </w:r>
    </w:p>
    <w:p w14:paraId="7E988D33" w14:textId="725D1284" w:rsidR="00A211F0" w:rsidRPr="00A608EE" w:rsidRDefault="00A211F0" w:rsidP="00EE208A">
      <w:pPr>
        <w:pStyle w:val="NormalWeb"/>
        <w:spacing w:before="0" w:beforeAutospacing="0" w:after="0" w:afterAutospacing="0"/>
        <w:ind w:left="708"/>
        <w:jc w:val="both"/>
        <w:rPr>
          <w:rFonts w:asciiTheme="majorHAnsi" w:hAnsiTheme="majorHAnsi"/>
          <w:i/>
          <w:sz w:val="20"/>
        </w:rPr>
      </w:pPr>
      <w:r w:rsidRPr="00A608EE">
        <w:rPr>
          <w:rFonts w:asciiTheme="majorHAnsi" w:hAnsiTheme="majorHAnsi"/>
          <w:i/>
          <w:sz w:val="20"/>
        </w:rPr>
        <w:t>5.C.2.2.1 Repayment capacity analysis and the credit approval process</w:t>
      </w:r>
    </w:p>
    <w:p w14:paraId="3D6DDC28" w14:textId="77777777" w:rsidR="00A211F0" w:rsidRPr="00A608EE" w:rsidRDefault="00A211F0" w:rsidP="00EE208A">
      <w:pPr>
        <w:pStyle w:val="NormalWeb"/>
        <w:spacing w:before="0" w:beforeAutospacing="0" w:after="0" w:afterAutospacing="0"/>
        <w:ind w:left="708"/>
        <w:jc w:val="both"/>
        <w:rPr>
          <w:rFonts w:asciiTheme="majorHAnsi" w:hAnsiTheme="majorHAnsi"/>
          <w:i/>
          <w:sz w:val="20"/>
        </w:rPr>
      </w:pPr>
      <w:r w:rsidRPr="00A608EE">
        <w:rPr>
          <w:rFonts w:asciiTheme="majorHAnsi" w:hAnsiTheme="majorHAnsi"/>
          <w:i/>
          <w:sz w:val="20"/>
        </w:rPr>
        <w:t>5.C.2.2.2 How to avoid aggressive sales techniques, including how to respect clients’ rights to refuse products</w:t>
      </w:r>
    </w:p>
    <w:p w14:paraId="3AA3C379" w14:textId="77777777" w:rsidR="00A211F0" w:rsidRPr="00A608EE" w:rsidRDefault="00A211F0" w:rsidP="00EE208A">
      <w:pPr>
        <w:pStyle w:val="NormalWeb"/>
        <w:spacing w:before="0" w:beforeAutospacing="0" w:after="0" w:afterAutospacing="0"/>
        <w:ind w:left="708"/>
        <w:jc w:val="both"/>
        <w:rPr>
          <w:rFonts w:asciiTheme="majorHAnsi" w:hAnsiTheme="majorHAnsi"/>
          <w:i/>
          <w:sz w:val="20"/>
        </w:rPr>
      </w:pPr>
      <w:r w:rsidRPr="00A608EE">
        <w:rPr>
          <w:rFonts w:asciiTheme="majorHAnsi" w:hAnsiTheme="majorHAnsi"/>
          <w:i/>
          <w:sz w:val="20"/>
        </w:rPr>
        <w:t>5.C.2.2.3 How to explain pricing, terms and conditions to clients and how to verify client understanding</w:t>
      </w:r>
    </w:p>
    <w:p w14:paraId="378EC3BC" w14:textId="77777777" w:rsidR="00A211F0" w:rsidRPr="00A608EE" w:rsidRDefault="00A211F0" w:rsidP="00EE208A">
      <w:pPr>
        <w:pStyle w:val="NormalWeb"/>
        <w:spacing w:before="0" w:beforeAutospacing="0" w:after="0" w:afterAutospacing="0"/>
        <w:ind w:left="708"/>
        <w:jc w:val="both"/>
        <w:rPr>
          <w:rFonts w:asciiTheme="majorHAnsi" w:hAnsiTheme="majorHAnsi"/>
          <w:i/>
          <w:sz w:val="20"/>
        </w:rPr>
      </w:pPr>
      <w:r w:rsidRPr="00A608EE">
        <w:rPr>
          <w:rFonts w:asciiTheme="majorHAnsi" w:hAnsiTheme="majorHAnsi"/>
          <w:i/>
          <w:sz w:val="20"/>
        </w:rPr>
        <w:t>5.C.2.2.4 Debt collections practices and loan recovery procedures</w:t>
      </w:r>
    </w:p>
    <w:p w14:paraId="7AF7E7C6" w14:textId="77777777" w:rsidR="00A211F0" w:rsidRPr="00A608EE" w:rsidRDefault="00A211F0" w:rsidP="00EE208A">
      <w:pPr>
        <w:pStyle w:val="NormalWeb"/>
        <w:spacing w:before="0" w:beforeAutospacing="0" w:after="0" w:afterAutospacing="0"/>
        <w:ind w:left="708"/>
        <w:jc w:val="both"/>
        <w:rPr>
          <w:rFonts w:asciiTheme="majorHAnsi" w:hAnsiTheme="majorHAnsi"/>
          <w:i/>
          <w:sz w:val="20"/>
        </w:rPr>
      </w:pPr>
      <w:r w:rsidRPr="00A608EE">
        <w:rPr>
          <w:rFonts w:asciiTheme="majorHAnsi" w:hAnsiTheme="majorHAnsi"/>
          <w:i/>
          <w:sz w:val="20"/>
        </w:rPr>
        <w:t>5.C.2.2.5 Confidentiality and data sharing policies and fraud risks, including common frauds, fraud identification, and fraud reporting</w:t>
      </w:r>
    </w:p>
    <w:p w14:paraId="2AAD6267" w14:textId="13838707" w:rsidR="0033157A" w:rsidRPr="00A608EE" w:rsidRDefault="00A211F0"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5.C.2.2.6 How the complains mechanism works, how to resolve complaints against third party providers, and how to treat clients respectfully during the process</w:t>
      </w:r>
    </w:p>
    <w:p w14:paraId="7959F319" w14:textId="77777777" w:rsidR="00AA3E95" w:rsidRPr="00A608EE" w:rsidRDefault="00AA3E95" w:rsidP="00EE208A">
      <w:pPr>
        <w:jc w:val="both"/>
        <w:rPr>
          <w:rFonts w:asciiTheme="majorHAnsi" w:hAnsiTheme="majorHAnsi"/>
          <w:szCs w:val="20"/>
        </w:rPr>
      </w:pPr>
    </w:p>
    <w:p w14:paraId="7B370EA8" w14:textId="41E7559B" w:rsidR="004340AA"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4340AA" w:rsidRPr="00A608EE">
        <w:rPr>
          <w:rFonts w:asciiTheme="majorHAnsi" w:hAnsiTheme="majorHAnsi" w:cstheme="majorHAnsi"/>
          <w:b/>
          <w:bCs/>
          <w:color w:val="2145CC" w:themeColor="accent5" w:themeShade="BF"/>
          <w:sz w:val="20"/>
          <w:szCs w:val="20"/>
        </w:rPr>
        <w:t>ALINUS | SPI5 Entry | SPI5 Full | CP Commit | CP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0A3A3407" w14:textId="610CB86D" w:rsidR="004340AA" w:rsidRPr="00A608EE" w:rsidRDefault="004340AA"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E6366C"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tails 5.C.2.2.1</w:t>
      </w:r>
      <w:r w:rsidR="00A211F0" w:rsidRPr="00A608EE">
        <w:rPr>
          <w:rFonts w:asciiTheme="majorHAnsi" w:hAnsiTheme="majorHAnsi" w:cstheme="majorHAnsi"/>
          <w:b/>
          <w:bCs/>
          <w:color w:val="2145CC" w:themeColor="accent5" w:themeShade="BF"/>
          <w:sz w:val="20"/>
          <w:szCs w:val="20"/>
        </w:rPr>
        <w:t xml:space="preserve">, </w:t>
      </w:r>
      <w:r w:rsidRPr="00A608EE">
        <w:rPr>
          <w:rFonts w:asciiTheme="majorHAnsi" w:hAnsiTheme="majorHAnsi" w:cstheme="majorHAnsi"/>
          <w:b/>
          <w:bCs/>
          <w:color w:val="2145CC" w:themeColor="accent5" w:themeShade="BF"/>
          <w:sz w:val="20"/>
          <w:szCs w:val="20"/>
        </w:rPr>
        <w:t>5.C.2.2.3</w:t>
      </w:r>
      <w:r w:rsidR="00A211F0" w:rsidRPr="00A608EE">
        <w:rPr>
          <w:rFonts w:asciiTheme="majorHAnsi" w:hAnsiTheme="majorHAnsi" w:cstheme="majorHAnsi"/>
          <w:b/>
          <w:bCs/>
          <w:color w:val="2145CC" w:themeColor="accent5" w:themeShade="BF"/>
          <w:sz w:val="20"/>
          <w:szCs w:val="20"/>
        </w:rPr>
        <w:t>, and</w:t>
      </w:r>
      <w:r w:rsidRPr="00A608EE">
        <w:rPr>
          <w:rFonts w:asciiTheme="majorHAnsi" w:hAnsiTheme="majorHAnsi" w:cstheme="majorHAnsi"/>
          <w:b/>
          <w:bCs/>
          <w:color w:val="2145CC" w:themeColor="accent5" w:themeShade="BF"/>
          <w:sz w:val="20"/>
          <w:szCs w:val="20"/>
        </w:rPr>
        <w:t xml:space="preserve"> 5.C.2.2.4: Progress CP</w:t>
      </w:r>
    </w:p>
    <w:p w14:paraId="4276940F" w14:textId="57A1D741" w:rsidR="00EB6498" w:rsidRPr="00A608EE" w:rsidRDefault="00EB6498" w:rsidP="00D402B3">
      <w:pPr>
        <w:spacing w:before="120" w:after="120"/>
        <w:jc w:val="both"/>
        <w:rPr>
          <w:rFonts w:asciiTheme="majorHAnsi" w:hAnsiTheme="majorHAnsi"/>
          <w:sz w:val="20"/>
          <w:szCs w:val="20"/>
        </w:rPr>
      </w:pPr>
    </w:p>
    <w:p w14:paraId="51C54748" w14:textId="36712BF0" w:rsidR="00EB6498" w:rsidRPr="00A608EE" w:rsidRDefault="00A211F0" w:rsidP="00EE208A">
      <w:pPr>
        <w:jc w:val="both"/>
        <w:rPr>
          <w:rFonts w:asciiTheme="majorHAnsi" w:hAnsiTheme="majorHAnsi"/>
          <w:sz w:val="20"/>
          <w:szCs w:val="20"/>
          <w:lang w:eastAsia="fr-FR"/>
        </w:rPr>
      </w:pPr>
      <w:r w:rsidRPr="00A608EE">
        <w:rPr>
          <w:rFonts w:asciiTheme="majorHAnsi" w:hAnsiTheme="majorHAnsi"/>
          <w:sz w:val="20"/>
          <w:szCs w:val="20"/>
          <w:lang w:eastAsia="fr-FR"/>
        </w:rPr>
        <w:t>The HR policies on recruitment, employee performance evaluation, and employee training should reflect the client protection standards laid out in the Code of Conduct and in the client protection policies and procedures. Trainings may take the form of formal classroom trainings, on-line learning, on-the-job coaching (notably during the probation period) or may occur during regular branch/regional meetings (as long as there is evidence that client protection issues are addressed).</w:t>
      </w:r>
    </w:p>
    <w:p w14:paraId="7037CF4B" w14:textId="77777777" w:rsidR="00672763" w:rsidRPr="00A608EE" w:rsidRDefault="00672763" w:rsidP="00EE208A">
      <w:pPr>
        <w:jc w:val="both"/>
        <w:rPr>
          <w:rFonts w:asciiTheme="majorHAnsi" w:hAnsiTheme="majorHAnsi"/>
          <w:sz w:val="20"/>
          <w:szCs w:val="20"/>
          <w:lang w:eastAsia="fr-FR"/>
        </w:rPr>
      </w:pPr>
    </w:p>
    <w:p w14:paraId="0AFA83C4"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12192" behindDoc="1" locked="0" layoutInCell="1" allowOverlap="1" wp14:anchorId="479DAC3A" wp14:editId="1B44C389">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544567408"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4AFDF05A" w14:textId="77777777" w:rsidR="00672763" w:rsidRPr="00A608EE" w:rsidRDefault="00672763" w:rsidP="00EE208A">
      <w:pPr>
        <w:jc w:val="both"/>
        <w:rPr>
          <w:rFonts w:asciiTheme="majorHAnsi" w:hAnsiTheme="majorHAnsi"/>
          <w:sz w:val="20"/>
          <w:szCs w:val="20"/>
          <w:lang w:eastAsia="fr-FR"/>
        </w:rPr>
      </w:pPr>
    </w:p>
    <w:p w14:paraId="477EBBFB" w14:textId="0DB5643E" w:rsidR="00EB6498" w:rsidRPr="00A608EE" w:rsidRDefault="00386AB6"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EB6498" w:rsidRPr="00A608EE">
        <w:rPr>
          <w:rFonts w:asciiTheme="majorHAnsi" w:hAnsiTheme="majorHAnsi"/>
          <w:sz w:val="20"/>
          <w:szCs w:val="20"/>
          <w:lang w:eastAsia="fr-FR"/>
        </w:rPr>
        <w:t>The provider's training for employees includes training on specific client protection considerations for clients with disabilities.</w:t>
      </w:r>
    </w:p>
    <w:p w14:paraId="5A2C5705" w14:textId="77777777" w:rsidR="00ED4FBA" w:rsidRPr="00A608EE" w:rsidRDefault="00ED4FBA" w:rsidP="00EE208A">
      <w:pPr>
        <w:jc w:val="both"/>
        <w:rPr>
          <w:rFonts w:asciiTheme="majorHAnsi" w:hAnsiTheme="majorHAnsi"/>
          <w:sz w:val="20"/>
          <w:szCs w:val="20"/>
          <w:lang w:eastAsia="fr-FR"/>
        </w:rPr>
      </w:pPr>
    </w:p>
    <w:p w14:paraId="140406F1" w14:textId="480EC9A4" w:rsidR="00ED4FBA" w:rsidRPr="00A608EE" w:rsidRDefault="00ED4FBA" w:rsidP="00EE208A">
      <w:pPr>
        <w:jc w:val="both"/>
        <w:rPr>
          <w:rFonts w:asciiTheme="majorHAnsi" w:hAnsiTheme="majorHAnsi"/>
          <w:sz w:val="20"/>
          <w:szCs w:val="20"/>
          <w:lang w:eastAsia="fr-FR"/>
        </w:rPr>
      </w:pPr>
      <w:r w:rsidRPr="00A608EE">
        <w:rPr>
          <w:noProof/>
        </w:rPr>
        <mc:AlternateContent>
          <mc:Choice Requires="wps">
            <w:drawing>
              <wp:anchor distT="0" distB="0" distL="114300" distR="114300" simplePos="0" relativeHeight="251767808" behindDoc="0" locked="0" layoutInCell="1" allowOverlap="1" wp14:anchorId="7A5A630E" wp14:editId="6FC79472">
                <wp:simplePos x="0" y="0"/>
                <wp:positionH relativeFrom="margin">
                  <wp:align>left</wp:align>
                </wp:positionH>
                <wp:positionV relativeFrom="paragraph">
                  <wp:posOffset>149225</wp:posOffset>
                </wp:positionV>
                <wp:extent cx="1828800" cy="2660650"/>
                <wp:effectExtent l="0" t="0" r="24130" b="25400"/>
                <wp:wrapSquare wrapText="bothSides"/>
                <wp:docPr id="1139823072" name="Cuadro de texto 1"/>
                <wp:cNvGraphicFramePr/>
                <a:graphic xmlns:a="http://schemas.openxmlformats.org/drawingml/2006/main">
                  <a:graphicData uri="http://schemas.microsoft.com/office/word/2010/wordprocessingShape">
                    <wps:wsp>
                      <wps:cNvSpPr txBox="1"/>
                      <wps:spPr>
                        <a:xfrm>
                          <a:off x="0" y="0"/>
                          <a:ext cx="1828800" cy="2660650"/>
                        </a:xfrm>
                        <a:prstGeom prst="rect">
                          <a:avLst/>
                        </a:prstGeom>
                        <a:noFill/>
                        <a:ln w="6350">
                          <a:solidFill>
                            <a:prstClr val="black"/>
                          </a:solidFill>
                        </a:ln>
                      </wps:spPr>
                      <wps:txbx>
                        <w:txbxContent>
                          <w:p w14:paraId="572CE6F7" w14:textId="3F17A0BD" w:rsidR="00ED4FBA" w:rsidRPr="00820B09" w:rsidRDefault="0084416A" w:rsidP="00ED4FBA">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ED4FBA" w:rsidRPr="00820B09">
                              <w:rPr>
                                <w:rFonts w:asciiTheme="majorHAnsi" w:hAnsiTheme="majorHAnsi"/>
                                <w:b/>
                                <w:bCs/>
                                <w:sz w:val="20"/>
                                <w:szCs w:val="15"/>
                                <w:lang w:eastAsia="fr-FR"/>
                              </w:rPr>
                              <w:t>5.C.2.2</w:t>
                            </w:r>
                          </w:p>
                          <w:p w14:paraId="70A56DBD" w14:textId="77777777" w:rsidR="00ED4FBA" w:rsidRPr="00820B09" w:rsidRDefault="00ED4FBA" w:rsidP="00ED4FBA">
                            <w:pPr>
                              <w:jc w:val="both"/>
                              <w:rPr>
                                <w:rFonts w:asciiTheme="majorHAnsi" w:hAnsiTheme="majorHAnsi"/>
                                <w:sz w:val="20"/>
                                <w:szCs w:val="15"/>
                                <w:lang w:eastAsia="fr-FR"/>
                              </w:rPr>
                            </w:pPr>
                          </w:p>
                          <w:p w14:paraId="5793D951" w14:textId="77777777" w:rsidR="00651B80" w:rsidRPr="00820B09" w:rsidRDefault="00651B80" w:rsidP="00ED4FBA">
                            <w:pPr>
                              <w:jc w:val="both"/>
                              <w:rPr>
                                <w:rFonts w:asciiTheme="majorHAnsi" w:hAnsiTheme="majorHAnsi"/>
                                <w:sz w:val="20"/>
                                <w:szCs w:val="15"/>
                                <w:lang w:eastAsia="fr-FR"/>
                              </w:rPr>
                            </w:pPr>
                            <w:r w:rsidRPr="00820B09">
                              <w:rPr>
                                <w:rFonts w:asciiTheme="majorHAnsi" w:hAnsiTheme="majorHAnsi"/>
                                <w:sz w:val="20"/>
                                <w:szCs w:val="15"/>
                                <w:lang w:eastAsia="fr-FR"/>
                              </w:rPr>
                              <w:t>Client with disabilities face specific risks related to client protection, including:</w:t>
                            </w:r>
                          </w:p>
                          <w:p w14:paraId="3665CB27" w14:textId="34A74482" w:rsidR="00651B80" w:rsidRPr="00820B09" w:rsidRDefault="00FC4484" w:rsidP="00A27AAA">
                            <w:pPr>
                              <w:pStyle w:val="ListParagraph"/>
                              <w:numPr>
                                <w:ilvl w:val="0"/>
                                <w:numId w:val="411"/>
                              </w:numPr>
                              <w:jc w:val="both"/>
                              <w:rPr>
                                <w:rFonts w:asciiTheme="majorHAnsi" w:hAnsiTheme="majorHAnsi"/>
                                <w:szCs w:val="15"/>
                                <w:lang w:eastAsia="fr-FR"/>
                              </w:rPr>
                            </w:pPr>
                            <w:r w:rsidRPr="00820B09">
                              <w:rPr>
                                <w:rFonts w:asciiTheme="majorHAnsi" w:hAnsiTheme="majorHAnsi"/>
                                <w:szCs w:val="15"/>
                                <w:lang w:eastAsia="fr-FR"/>
                              </w:rPr>
                              <w:t>d</w:t>
                            </w:r>
                            <w:r w:rsidR="00651B80" w:rsidRPr="00820B09">
                              <w:rPr>
                                <w:rFonts w:asciiTheme="majorHAnsi" w:hAnsiTheme="majorHAnsi"/>
                                <w:szCs w:val="15"/>
                                <w:lang w:eastAsia="fr-FR"/>
                              </w:rPr>
                              <w:t>iscrimination</w:t>
                            </w:r>
                            <w:r w:rsidR="00E47D60" w:rsidRPr="00820B09">
                              <w:rPr>
                                <w:rFonts w:asciiTheme="majorHAnsi" w:hAnsiTheme="majorHAnsi"/>
                                <w:szCs w:val="15"/>
                                <w:lang w:eastAsia="fr-FR"/>
                              </w:rPr>
                              <w:t>, unfair treatment</w:t>
                            </w:r>
                            <w:r w:rsidR="00651B80" w:rsidRPr="00820B09">
                              <w:rPr>
                                <w:rFonts w:asciiTheme="majorHAnsi" w:hAnsiTheme="majorHAnsi"/>
                                <w:szCs w:val="15"/>
                                <w:lang w:eastAsia="fr-FR"/>
                              </w:rPr>
                              <w:t xml:space="preserve"> and exclusion from formal financial services, due to negative  a</w:t>
                            </w:r>
                            <w:r w:rsidR="00ED4FBA" w:rsidRPr="00820B09">
                              <w:rPr>
                                <w:rFonts w:asciiTheme="majorHAnsi" w:hAnsiTheme="majorHAnsi"/>
                                <w:szCs w:val="15"/>
                                <w:lang w:eastAsia="fr-FR"/>
                              </w:rPr>
                              <w:t>ttitud</w:t>
                            </w:r>
                            <w:r w:rsidR="00651B80" w:rsidRPr="00820B09">
                              <w:rPr>
                                <w:rFonts w:asciiTheme="majorHAnsi" w:hAnsiTheme="majorHAnsi"/>
                                <w:szCs w:val="15"/>
                                <w:lang w:eastAsia="fr-FR"/>
                              </w:rPr>
                              <w:t>es and perceptions by staff, discriminatory eligibility criteria or loan approval processes</w:t>
                            </w:r>
                            <w:r w:rsidR="00E47D60" w:rsidRPr="00820B09">
                              <w:rPr>
                                <w:rFonts w:asciiTheme="majorHAnsi" w:hAnsiTheme="majorHAnsi"/>
                                <w:szCs w:val="15"/>
                                <w:lang w:eastAsia="fr-FR"/>
                              </w:rPr>
                              <w:t>, and accessibility barriers.</w:t>
                            </w:r>
                          </w:p>
                          <w:p w14:paraId="56BEA74E" w14:textId="0A7E0F7B" w:rsidR="00E47D60" w:rsidRPr="00820B09" w:rsidRDefault="00E47D60" w:rsidP="00A27AAA">
                            <w:pPr>
                              <w:pStyle w:val="ListParagraph"/>
                              <w:numPr>
                                <w:ilvl w:val="0"/>
                                <w:numId w:val="411"/>
                              </w:numPr>
                              <w:jc w:val="both"/>
                              <w:rPr>
                                <w:rFonts w:asciiTheme="majorHAnsi" w:hAnsiTheme="majorHAnsi"/>
                                <w:szCs w:val="15"/>
                                <w:lang w:eastAsia="fr-FR"/>
                              </w:rPr>
                            </w:pPr>
                            <w:r w:rsidRPr="00820B09">
                              <w:rPr>
                                <w:rFonts w:asciiTheme="majorHAnsi" w:hAnsiTheme="majorHAnsi"/>
                                <w:szCs w:val="15"/>
                                <w:lang w:eastAsia="fr-FR"/>
                              </w:rPr>
                              <w:t>h</w:t>
                            </w:r>
                            <w:r w:rsidR="00651B80" w:rsidRPr="00820B09">
                              <w:rPr>
                                <w:rFonts w:asciiTheme="majorHAnsi" w:hAnsiTheme="majorHAnsi"/>
                                <w:szCs w:val="15"/>
                                <w:lang w:eastAsia="fr-FR"/>
                              </w:rPr>
                              <w:t>igher risk of financial exploitation, abuse and fraud, in particular where they are forced to rely on third parties to</w:t>
                            </w:r>
                            <w:r w:rsidRPr="00820B09">
                              <w:rPr>
                                <w:rFonts w:asciiTheme="majorHAnsi" w:hAnsiTheme="majorHAnsi"/>
                                <w:szCs w:val="15"/>
                                <w:lang w:eastAsia="fr-FR"/>
                              </w:rPr>
                              <w:t xml:space="preserve"> access and use financial products due to inaccessibility interfaces or discriminatory policies.</w:t>
                            </w:r>
                          </w:p>
                          <w:p w14:paraId="079DBEAA" w14:textId="67C86C0D" w:rsidR="00ED4FBA" w:rsidRPr="00820B09" w:rsidRDefault="00E47D60" w:rsidP="00A27AAA">
                            <w:pPr>
                              <w:pStyle w:val="ListParagraph"/>
                              <w:numPr>
                                <w:ilvl w:val="0"/>
                                <w:numId w:val="411"/>
                              </w:numPr>
                              <w:jc w:val="both"/>
                              <w:rPr>
                                <w:rFonts w:asciiTheme="majorHAnsi" w:hAnsiTheme="majorHAnsi"/>
                                <w:szCs w:val="15"/>
                                <w:lang w:eastAsia="fr-FR"/>
                              </w:rPr>
                            </w:pPr>
                            <w:r w:rsidRPr="00820B09">
                              <w:rPr>
                                <w:rFonts w:asciiTheme="majorHAnsi" w:hAnsiTheme="majorHAnsi"/>
                                <w:szCs w:val="15"/>
                                <w:lang w:eastAsia="fr-FR"/>
                              </w:rPr>
                              <w:t xml:space="preserve">vulnerability to other forms of exploitation, abuse and harassment, including sexual exploitation, abuse and harassment (SEAH) due to factors such as isolation, dependency on caregivers, communication barriers, low financial literacy, and fear of reporting abuse. </w:t>
                            </w:r>
                            <w:r w:rsidR="00651B80" w:rsidRPr="00820B09">
                              <w:rPr>
                                <w:rFonts w:asciiTheme="majorHAnsi" w:hAnsiTheme="majorHAnsi"/>
                                <w:szCs w:val="15"/>
                                <w:lang w:eastAsia="fr-FR"/>
                              </w:rPr>
                              <w:t xml:space="preserve">   </w:t>
                            </w:r>
                            <w:r w:rsidR="00ED4FBA" w:rsidRPr="00820B09">
                              <w:rPr>
                                <w:rFonts w:asciiTheme="majorHAnsi" w:hAnsiTheme="majorHAnsi"/>
                                <w:szCs w:val="15"/>
                                <w:lang w:eastAsia="fr-FR"/>
                              </w:rPr>
                              <w:t xml:space="preserve"> </w:t>
                            </w:r>
                          </w:p>
                          <w:p w14:paraId="7201C78B" w14:textId="524271E2" w:rsidR="00ED4FBA" w:rsidRPr="00820B09" w:rsidRDefault="00FC4484" w:rsidP="00E47D60">
                            <w:pPr>
                              <w:jc w:val="both"/>
                              <w:rPr>
                                <w:rFonts w:asciiTheme="majorHAnsi" w:hAnsiTheme="majorHAnsi"/>
                                <w:sz w:val="20"/>
                                <w:szCs w:val="15"/>
                                <w:lang w:eastAsia="fr-FR"/>
                              </w:rPr>
                            </w:pPr>
                            <w:r w:rsidRPr="00820B09">
                              <w:rPr>
                                <w:rFonts w:asciiTheme="majorHAnsi" w:hAnsiTheme="majorHAnsi"/>
                                <w:sz w:val="20"/>
                                <w:szCs w:val="15"/>
                                <w:lang w:eastAsia="fr-FR"/>
                              </w:rPr>
                              <w:t xml:space="preserve">Client protection considerations for clients with disabilities that should be taken into account in staff training </w:t>
                            </w:r>
                            <w:r w:rsidR="00E47D60" w:rsidRPr="00820B09">
                              <w:rPr>
                                <w:rFonts w:asciiTheme="majorHAnsi" w:hAnsiTheme="majorHAnsi"/>
                                <w:sz w:val="20"/>
                                <w:szCs w:val="15"/>
                                <w:lang w:eastAsia="fr-FR"/>
                              </w:rPr>
                              <w:t xml:space="preserve">are </w:t>
                            </w:r>
                            <w:r w:rsidRPr="00820B09">
                              <w:rPr>
                                <w:rFonts w:asciiTheme="majorHAnsi" w:hAnsiTheme="majorHAnsi"/>
                                <w:sz w:val="20"/>
                                <w:szCs w:val="15"/>
                                <w:lang w:eastAsia="fr-FR"/>
                              </w:rPr>
                              <w:t>covered</w:t>
                            </w:r>
                            <w:r w:rsidR="00E47D60" w:rsidRPr="00820B09">
                              <w:rPr>
                                <w:rFonts w:asciiTheme="majorHAnsi" w:hAnsiTheme="majorHAnsi"/>
                                <w:sz w:val="20"/>
                                <w:szCs w:val="15"/>
                                <w:lang w:eastAsia="fr-FR"/>
                              </w:rPr>
                              <w:t xml:space="preserve"> in the indicators related to Dimension 4.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5A630E" id="_x0000_s1070" type="#_x0000_t202" style="position:absolute;left:0;text-align:left;margin-left:0;margin-top:11.75pt;width:2in;height:209.5pt;z-index:251767808;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" filled="f" strokeweight=".5pt">
                <v:textbox>
                  <w:txbxContent>
                    <w:p w14:paraId="572CE6F7" w14:textId="3F17A0BD" w:rsidR="00ED4FBA" w:rsidRPr="00820B09" w:rsidRDefault="0084416A" w:rsidP="00ED4FBA">
                      <w:pPr>
                        <w:jc w:val="both"/>
                        <w:rPr>
                          <w:rFonts w:asciiTheme="majorHAnsi" w:hAnsiTheme="majorHAnsi"/>
                          <w:b/>
                          <w:bCs/>
                          <w:sz w:val="20"/>
                          <w:szCs w:val="15"/>
                          <w:lang w:eastAsia="fr-FR"/>
                        </w:rPr>
                      </w:pPr>
                      <w:r w:rsidRPr="00820B09">
                        <w:rPr>
                          <w:rFonts w:asciiTheme="majorHAnsi" w:hAnsiTheme="majorHAnsi"/>
                          <w:b/>
                          <w:bCs/>
                          <w:sz w:val="20"/>
                          <w:szCs w:val="15"/>
                          <w:lang w:eastAsia="fr-FR"/>
                        </w:rPr>
                        <w:t xml:space="preserve">Disability Inclusion - Info Box </w:t>
                      </w:r>
                      <w:r w:rsidR="00ED4FBA" w:rsidRPr="00820B09">
                        <w:rPr>
                          <w:rFonts w:asciiTheme="majorHAnsi" w:hAnsiTheme="majorHAnsi"/>
                          <w:b/>
                          <w:bCs/>
                          <w:sz w:val="20"/>
                          <w:szCs w:val="15"/>
                          <w:lang w:eastAsia="fr-FR"/>
                        </w:rPr>
                        <w:t>5.C.2.2</w:t>
                      </w:r>
                    </w:p>
                    <w:p w14:paraId="70A56DBD" w14:textId="77777777" w:rsidR="00ED4FBA" w:rsidRPr="00820B09" w:rsidRDefault="00ED4FBA" w:rsidP="00ED4FBA">
                      <w:pPr>
                        <w:jc w:val="both"/>
                        <w:rPr>
                          <w:rFonts w:asciiTheme="majorHAnsi" w:hAnsiTheme="majorHAnsi"/>
                          <w:sz w:val="20"/>
                          <w:szCs w:val="15"/>
                          <w:lang w:eastAsia="fr-FR"/>
                        </w:rPr>
                      </w:pPr>
                    </w:p>
                    <w:p w14:paraId="5793D951" w14:textId="77777777" w:rsidR="00651B80" w:rsidRPr="00820B09" w:rsidRDefault="00651B80" w:rsidP="00ED4FBA">
                      <w:pPr>
                        <w:jc w:val="both"/>
                        <w:rPr>
                          <w:rFonts w:asciiTheme="majorHAnsi" w:hAnsiTheme="majorHAnsi"/>
                          <w:sz w:val="20"/>
                          <w:szCs w:val="15"/>
                          <w:lang w:eastAsia="fr-FR"/>
                        </w:rPr>
                      </w:pPr>
                      <w:r w:rsidRPr="00820B09">
                        <w:rPr>
                          <w:rFonts w:asciiTheme="majorHAnsi" w:hAnsiTheme="majorHAnsi"/>
                          <w:sz w:val="20"/>
                          <w:szCs w:val="15"/>
                          <w:lang w:eastAsia="fr-FR"/>
                        </w:rPr>
                        <w:t>Client with disabilities face specific risks related to client protection, including:</w:t>
                      </w:r>
                    </w:p>
                    <w:p w14:paraId="3665CB27" w14:textId="34A74482" w:rsidR="00651B80" w:rsidRPr="00820B09" w:rsidRDefault="00FC4484" w:rsidP="00A27AAA">
                      <w:pPr>
                        <w:pStyle w:val="ListParagraph"/>
                        <w:numPr>
                          <w:ilvl w:val="0"/>
                          <w:numId w:val="411"/>
                        </w:numPr>
                        <w:jc w:val="both"/>
                        <w:rPr>
                          <w:rFonts w:asciiTheme="majorHAnsi" w:hAnsiTheme="majorHAnsi"/>
                          <w:szCs w:val="15"/>
                          <w:lang w:eastAsia="fr-FR"/>
                        </w:rPr>
                      </w:pPr>
                      <w:r w:rsidRPr="00820B09">
                        <w:rPr>
                          <w:rFonts w:asciiTheme="majorHAnsi" w:hAnsiTheme="majorHAnsi"/>
                          <w:szCs w:val="15"/>
                          <w:lang w:eastAsia="fr-FR"/>
                        </w:rPr>
                        <w:t>d</w:t>
                      </w:r>
                      <w:r w:rsidR="00651B80" w:rsidRPr="00820B09">
                        <w:rPr>
                          <w:rFonts w:asciiTheme="majorHAnsi" w:hAnsiTheme="majorHAnsi"/>
                          <w:szCs w:val="15"/>
                          <w:lang w:eastAsia="fr-FR"/>
                        </w:rPr>
                        <w:t>iscrimination</w:t>
                      </w:r>
                      <w:r w:rsidR="00E47D60" w:rsidRPr="00820B09">
                        <w:rPr>
                          <w:rFonts w:asciiTheme="majorHAnsi" w:hAnsiTheme="majorHAnsi"/>
                          <w:szCs w:val="15"/>
                          <w:lang w:eastAsia="fr-FR"/>
                        </w:rPr>
                        <w:t>, unfair treatment</w:t>
                      </w:r>
                      <w:r w:rsidR="00651B80" w:rsidRPr="00820B09">
                        <w:rPr>
                          <w:rFonts w:asciiTheme="majorHAnsi" w:hAnsiTheme="majorHAnsi"/>
                          <w:szCs w:val="15"/>
                          <w:lang w:eastAsia="fr-FR"/>
                        </w:rPr>
                        <w:t xml:space="preserve"> and exclusion from formal financial services, due to negative  a</w:t>
                      </w:r>
                      <w:r w:rsidR="00ED4FBA" w:rsidRPr="00820B09">
                        <w:rPr>
                          <w:rFonts w:asciiTheme="majorHAnsi" w:hAnsiTheme="majorHAnsi"/>
                          <w:szCs w:val="15"/>
                          <w:lang w:eastAsia="fr-FR"/>
                        </w:rPr>
                        <w:t>ttitud</w:t>
                      </w:r>
                      <w:r w:rsidR="00651B80" w:rsidRPr="00820B09">
                        <w:rPr>
                          <w:rFonts w:asciiTheme="majorHAnsi" w:hAnsiTheme="majorHAnsi"/>
                          <w:szCs w:val="15"/>
                          <w:lang w:eastAsia="fr-FR"/>
                        </w:rPr>
                        <w:t>es and perceptions by staff, discriminatory eligibility criteria or loan approval processes</w:t>
                      </w:r>
                      <w:r w:rsidR="00E47D60" w:rsidRPr="00820B09">
                        <w:rPr>
                          <w:rFonts w:asciiTheme="majorHAnsi" w:hAnsiTheme="majorHAnsi"/>
                          <w:szCs w:val="15"/>
                          <w:lang w:eastAsia="fr-FR"/>
                        </w:rPr>
                        <w:t>, and accessibility barriers.</w:t>
                      </w:r>
                    </w:p>
                    <w:p w14:paraId="56BEA74E" w14:textId="0A7E0F7B" w:rsidR="00E47D60" w:rsidRPr="00820B09" w:rsidRDefault="00E47D60" w:rsidP="00A27AAA">
                      <w:pPr>
                        <w:pStyle w:val="ListParagraph"/>
                        <w:numPr>
                          <w:ilvl w:val="0"/>
                          <w:numId w:val="411"/>
                        </w:numPr>
                        <w:jc w:val="both"/>
                        <w:rPr>
                          <w:rFonts w:asciiTheme="majorHAnsi" w:hAnsiTheme="majorHAnsi"/>
                          <w:szCs w:val="15"/>
                          <w:lang w:eastAsia="fr-FR"/>
                        </w:rPr>
                      </w:pPr>
                      <w:r w:rsidRPr="00820B09">
                        <w:rPr>
                          <w:rFonts w:asciiTheme="majorHAnsi" w:hAnsiTheme="majorHAnsi"/>
                          <w:szCs w:val="15"/>
                          <w:lang w:eastAsia="fr-FR"/>
                        </w:rPr>
                        <w:t>h</w:t>
                      </w:r>
                      <w:r w:rsidR="00651B80" w:rsidRPr="00820B09">
                        <w:rPr>
                          <w:rFonts w:asciiTheme="majorHAnsi" w:hAnsiTheme="majorHAnsi"/>
                          <w:szCs w:val="15"/>
                          <w:lang w:eastAsia="fr-FR"/>
                        </w:rPr>
                        <w:t>igher risk of financial exploitation, abuse and fraud, in particular where they are forced to rely on third parties to</w:t>
                      </w:r>
                      <w:r w:rsidRPr="00820B09">
                        <w:rPr>
                          <w:rFonts w:asciiTheme="majorHAnsi" w:hAnsiTheme="majorHAnsi"/>
                          <w:szCs w:val="15"/>
                          <w:lang w:eastAsia="fr-FR"/>
                        </w:rPr>
                        <w:t xml:space="preserve"> access and use financial products due to inaccessibility interfaces or discriminatory policies.</w:t>
                      </w:r>
                    </w:p>
                    <w:p w14:paraId="079DBEAA" w14:textId="67C86C0D" w:rsidR="00ED4FBA" w:rsidRPr="00820B09" w:rsidRDefault="00E47D60" w:rsidP="00A27AAA">
                      <w:pPr>
                        <w:pStyle w:val="ListParagraph"/>
                        <w:numPr>
                          <w:ilvl w:val="0"/>
                          <w:numId w:val="411"/>
                        </w:numPr>
                        <w:jc w:val="both"/>
                        <w:rPr>
                          <w:rFonts w:asciiTheme="majorHAnsi" w:hAnsiTheme="majorHAnsi"/>
                          <w:szCs w:val="15"/>
                          <w:lang w:eastAsia="fr-FR"/>
                        </w:rPr>
                      </w:pPr>
                      <w:r w:rsidRPr="00820B09">
                        <w:rPr>
                          <w:rFonts w:asciiTheme="majorHAnsi" w:hAnsiTheme="majorHAnsi"/>
                          <w:szCs w:val="15"/>
                          <w:lang w:eastAsia="fr-FR"/>
                        </w:rPr>
                        <w:t xml:space="preserve">vulnerability to other forms of exploitation, abuse and harassment, including sexual exploitation, abuse and harassment (SEAH) due to factors such as isolation, dependency on caregivers, communication barriers, low financial literacy, and fear of reporting abuse. </w:t>
                      </w:r>
                      <w:r w:rsidR="00651B80" w:rsidRPr="00820B09">
                        <w:rPr>
                          <w:rFonts w:asciiTheme="majorHAnsi" w:hAnsiTheme="majorHAnsi"/>
                          <w:szCs w:val="15"/>
                          <w:lang w:eastAsia="fr-FR"/>
                        </w:rPr>
                        <w:t xml:space="preserve">   </w:t>
                      </w:r>
                      <w:r w:rsidR="00ED4FBA" w:rsidRPr="00820B09">
                        <w:rPr>
                          <w:rFonts w:asciiTheme="majorHAnsi" w:hAnsiTheme="majorHAnsi"/>
                          <w:szCs w:val="15"/>
                          <w:lang w:eastAsia="fr-FR"/>
                        </w:rPr>
                        <w:t xml:space="preserve"> </w:t>
                      </w:r>
                    </w:p>
                    <w:p w14:paraId="7201C78B" w14:textId="524271E2" w:rsidR="00ED4FBA" w:rsidRPr="00820B09" w:rsidRDefault="00FC4484" w:rsidP="00E47D60">
                      <w:pPr>
                        <w:jc w:val="both"/>
                        <w:rPr>
                          <w:rFonts w:asciiTheme="majorHAnsi" w:hAnsiTheme="majorHAnsi"/>
                          <w:sz w:val="20"/>
                          <w:szCs w:val="15"/>
                          <w:lang w:eastAsia="fr-FR"/>
                        </w:rPr>
                      </w:pPr>
                      <w:r w:rsidRPr="00820B09">
                        <w:rPr>
                          <w:rFonts w:asciiTheme="majorHAnsi" w:hAnsiTheme="majorHAnsi"/>
                          <w:sz w:val="20"/>
                          <w:szCs w:val="15"/>
                          <w:lang w:eastAsia="fr-FR"/>
                        </w:rPr>
                        <w:t xml:space="preserve">Client protection considerations for clients with disabilities that should be taken into account in staff training </w:t>
                      </w:r>
                      <w:r w:rsidR="00E47D60" w:rsidRPr="00820B09">
                        <w:rPr>
                          <w:rFonts w:asciiTheme="majorHAnsi" w:hAnsiTheme="majorHAnsi"/>
                          <w:sz w:val="20"/>
                          <w:szCs w:val="15"/>
                          <w:lang w:eastAsia="fr-FR"/>
                        </w:rPr>
                        <w:t xml:space="preserve">are </w:t>
                      </w:r>
                      <w:r w:rsidRPr="00820B09">
                        <w:rPr>
                          <w:rFonts w:asciiTheme="majorHAnsi" w:hAnsiTheme="majorHAnsi"/>
                          <w:sz w:val="20"/>
                          <w:szCs w:val="15"/>
                          <w:lang w:eastAsia="fr-FR"/>
                        </w:rPr>
                        <w:t>covered</w:t>
                      </w:r>
                      <w:r w:rsidR="00E47D60" w:rsidRPr="00820B09">
                        <w:rPr>
                          <w:rFonts w:asciiTheme="majorHAnsi" w:hAnsiTheme="majorHAnsi"/>
                          <w:sz w:val="20"/>
                          <w:szCs w:val="15"/>
                          <w:lang w:eastAsia="fr-FR"/>
                        </w:rPr>
                        <w:t xml:space="preserve"> in the indicators related to Dimension 4. </w:t>
                      </w:r>
                    </w:p>
                  </w:txbxContent>
                </v:textbox>
                <w10:wrap type="square" anchorx="margin"/>
              </v:shape>
            </w:pict>
          </mc:Fallback>
        </mc:AlternateContent>
      </w:r>
    </w:p>
    <w:p w14:paraId="1EF989F2" w14:textId="77777777" w:rsidR="00ED4FBA" w:rsidRPr="00A608EE" w:rsidRDefault="00ED4FBA" w:rsidP="00EE208A">
      <w:pPr>
        <w:jc w:val="both"/>
        <w:rPr>
          <w:rFonts w:asciiTheme="majorHAnsi" w:hAnsiTheme="majorHAnsi"/>
          <w:sz w:val="20"/>
          <w:szCs w:val="20"/>
          <w:lang w:eastAsia="fr-FR"/>
        </w:rPr>
      </w:pPr>
    </w:p>
    <w:p w14:paraId="03CAEC29" w14:textId="77777777" w:rsidR="00A211F0" w:rsidRPr="00A608EE" w:rsidRDefault="00A211F0" w:rsidP="00EE208A">
      <w:pPr>
        <w:jc w:val="both"/>
        <w:rPr>
          <w:rFonts w:asciiTheme="majorHAnsi" w:hAnsiTheme="majorHAnsi"/>
          <w:sz w:val="20"/>
          <w:szCs w:val="20"/>
          <w:lang w:eastAsia="fr-FR"/>
        </w:rPr>
      </w:pPr>
    </w:p>
    <w:p w14:paraId="4805ACF9" w14:textId="6DA5917A"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1CC9B0CA" w14:textId="77777777" w:rsidR="00A211F0" w:rsidRPr="00A608EE" w:rsidRDefault="00A211F0" w:rsidP="00A27AAA">
      <w:pPr>
        <w:numPr>
          <w:ilvl w:val="0"/>
          <w:numId w:val="353"/>
        </w:numPr>
        <w:jc w:val="both"/>
        <w:rPr>
          <w:rFonts w:asciiTheme="majorHAnsi" w:hAnsiTheme="majorHAnsi"/>
          <w:sz w:val="20"/>
          <w:szCs w:val="20"/>
          <w:lang w:eastAsia="fr-FR"/>
        </w:rPr>
      </w:pPr>
      <w:r w:rsidRPr="00A608EE">
        <w:rPr>
          <w:rFonts w:asciiTheme="majorHAnsi" w:hAnsiTheme="majorHAnsi"/>
          <w:sz w:val="20"/>
          <w:szCs w:val="20"/>
          <w:lang w:eastAsia="fr-FR"/>
        </w:rPr>
        <w:t>Score ‘yes’, if the provider has a systemic client protection training process in place in terms of</w:t>
      </w:r>
    </w:p>
    <w:p w14:paraId="008FF12E" w14:textId="77777777" w:rsidR="00A211F0" w:rsidRPr="00A608EE" w:rsidRDefault="00A211F0" w:rsidP="00A27AAA">
      <w:pPr>
        <w:numPr>
          <w:ilvl w:val="1"/>
          <w:numId w:val="353"/>
        </w:numPr>
        <w:jc w:val="both"/>
        <w:rPr>
          <w:rFonts w:asciiTheme="majorHAnsi" w:hAnsiTheme="majorHAnsi"/>
          <w:sz w:val="20"/>
          <w:szCs w:val="20"/>
          <w:lang w:eastAsia="fr-FR"/>
        </w:rPr>
      </w:pPr>
      <w:r w:rsidRPr="00A608EE">
        <w:rPr>
          <w:rFonts w:asciiTheme="majorHAnsi" w:hAnsiTheme="majorHAnsi"/>
          <w:sz w:val="20"/>
          <w:szCs w:val="20"/>
          <w:lang w:eastAsia="fr-FR"/>
        </w:rPr>
        <w:t>induction training for all new employees on client protection and on how to comply with ‘good’ client protection practices and</w:t>
      </w:r>
    </w:p>
    <w:p w14:paraId="2D24233D" w14:textId="77777777" w:rsidR="00A211F0" w:rsidRPr="00A608EE" w:rsidRDefault="00A211F0" w:rsidP="00A27AAA">
      <w:pPr>
        <w:numPr>
          <w:ilvl w:val="1"/>
          <w:numId w:val="353"/>
        </w:numPr>
        <w:jc w:val="both"/>
        <w:rPr>
          <w:rFonts w:asciiTheme="majorHAnsi" w:hAnsiTheme="majorHAnsi"/>
          <w:sz w:val="20"/>
          <w:szCs w:val="20"/>
          <w:lang w:eastAsia="fr-FR"/>
        </w:rPr>
      </w:pPr>
      <w:r w:rsidRPr="00A608EE">
        <w:rPr>
          <w:rFonts w:asciiTheme="majorHAnsi" w:hAnsiTheme="majorHAnsi"/>
          <w:sz w:val="20"/>
          <w:szCs w:val="20"/>
          <w:lang w:eastAsia="fr-FR"/>
        </w:rPr>
        <w:t>at least annual refresher trainings for all employees</w:t>
      </w:r>
    </w:p>
    <w:p w14:paraId="5E68B779" w14:textId="77777777" w:rsidR="00A211F0" w:rsidRPr="00A608EE" w:rsidRDefault="00A211F0" w:rsidP="00A27AAA">
      <w:pPr>
        <w:numPr>
          <w:ilvl w:val="1"/>
          <w:numId w:val="353"/>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both with a hands-on training methodology focusing on practical case studies and role games so that</w:t>
      </w:r>
    </w:p>
    <w:p w14:paraId="725379E7" w14:textId="77777777" w:rsidR="00A211F0" w:rsidRPr="00A608EE" w:rsidRDefault="00A211F0" w:rsidP="00A27AAA">
      <w:pPr>
        <w:numPr>
          <w:ilvl w:val="1"/>
          <w:numId w:val="353"/>
        </w:numPr>
        <w:jc w:val="both"/>
        <w:rPr>
          <w:rFonts w:asciiTheme="majorHAnsi" w:hAnsiTheme="majorHAnsi"/>
          <w:sz w:val="20"/>
          <w:szCs w:val="20"/>
          <w:lang w:eastAsia="fr-FR"/>
        </w:rPr>
      </w:pPr>
      <w:r w:rsidRPr="00A608EE">
        <w:rPr>
          <w:rFonts w:asciiTheme="majorHAnsi" w:hAnsiTheme="majorHAnsi"/>
          <w:sz w:val="20"/>
          <w:szCs w:val="20"/>
          <w:lang w:eastAsia="fr-FR"/>
        </w:rPr>
        <w:t>most/all employees understand well client protections.</w:t>
      </w:r>
    </w:p>
    <w:p w14:paraId="07788C75" w14:textId="77777777" w:rsidR="00A211F0" w:rsidRPr="00A608EE" w:rsidRDefault="00A211F0" w:rsidP="00A27AAA">
      <w:pPr>
        <w:numPr>
          <w:ilvl w:val="0"/>
          <w:numId w:val="353"/>
        </w:numPr>
        <w:jc w:val="both"/>
        <w:rPr>
          <w:rFonts w:asciiTheme="majorHAnsi" w:hAnsiTheme="majorHAnsi"/>
          <w:sz w:val="20"/>
          <w:szCs w:val="20"/>
          <w:lang w:eastAsia="fr-FR"/>
        </w:rPr>
      </w:pPr>
      <w:r w:rsidRPr="00A608EE">
        <w:rPr>
          <w:rFonts w:asciiTheme="majorHAnsi" w:hAnsiTheme="majorHAnsi"/>
          <w:sz w:val="20"/>
          <w:szCs w:val="20"/>
          <w:lang w:eastAsia="fr-FR"/>
        </w:rPr>
        <w:t>Score ‘partially’, if one or more of the four requirements are met only partly. For instance, (i) the induction training and the refresher trainings cover insufficiently the ‘accepted’ and ‘non-acceptable’ client protection practices for the employees or (ii) the training methodology focuses on lectures with little active involvement of the trainees or (iii) many employees have little understanding on client protection.</w:t>
      </w:r>
    </w:p>
    <w:p w14:paraId="36B10998" w14:textId="77777777" w:rsidR="00A211F0" w:rsidRPr="00A608EE" w:rsidRDefault="00A211F0" w:rsidP="00A27AAA">
      <w:pPr>
        <w:numPr>
          <w:ilvl w:val="0"/>
          <w:numId w:val="353"/>
        </w:numPr>
        <w:jc w:val="both"/>
        <w:rPr>
          <w:rFonts w:asciiTheme="majorHAnsi" w:hAnsiTheme="majorHAnsi"/>
          <w:sz w:val="20"/>
          <w:szCs w:val="20"/>
          <w:lang w:eastAsia="fr-FR"/>
        </w:rPr>
      </w:pPr>
      <w:r w:rsidRPr="00A608EE">
        <w:rPr>
          <w:rFonts w:asciiTheme="majorHAnsi" w:hAnsiTheme="majorHAnsi"/>
          <w:sz w:val="20"/>
          <w:szCs w:val="20"/>
          <w:lang w:eastAsia="fr-FR"/>
        </w:rPr>
        <w:t>Score ‘no’, if there is no client protection training process in place and/or two or more of the four requirements are largely not met.</w:t>
      </w:r>
    </w:p>
    <w:p w14:paraId="43354504" w14:textId="77777777" w:rsidR="00A211F0" w:rsidRPr="00A608EE" w:rsidRDefault="00A211F0" w:rsidP="00EE208A">
      <w:pPr>
        <w:jc w:val="both"/>
        <w:rPr>
          <w:rFonts w:asciiTheme="majorHAnsi" w:hAnsiTheme="majorHAnsi"/>
          <w:sz w:val="20"/>
          <w:szCs w:val="20"/>
          <w:lang w:eastAsia="fr-FR"/>
        </w:rPr>
      </w:pPr>
    </w:p>
    <w:p w14:paraId="40C9E2B0" w14:textId="3E61A64A"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1C0A44F1" w14:textId="77777777" w:rsidR="00A211F0" w:rsidRPr="00A608EE" w:rsidRDefault="00A211F0" w:rsidP="00A27AAA">
      <w:pPr>
        <w:numPr>
          <w:ilvl w:val="0"/>
          <w:numId w:val="354"/>
        </w:numPr>
        <w:jc w:val="both"/>
        <w:rPr>
          <w:rFonts w:asciiTheme="majorHAnsi" w:hAnsiTheme="majorHAnsi"/>
          <w:sz w:val="20"/>
          <w:szCs w:val="20"/>
          <w:lang w:eastAsia="fr-FR"/>
        </w:rPr>
      </w:pPr>
      <w:r w:rsidRPr="00A608EE">
        <w:rPr>
          <w:rFonts w:asciiTheme="majorHAnsi" w:hAnsiTheme="majorHAnsi"/>
          <w:sz w:val="20"/>
          <w:szCs w:val="20"/>
          <w:lang w:eastAsia="fr-FR"/>
        </w:rPr>
        <w:t>HR Policy &amp; Procedures manual / Code of Conduct</w:t>
      </w:r>
    </w:p>
    <w:p w14:paraId="5103A492" w14:textId="77777777" w:rsidR="00A211F0" w:rsidRPr="00A608EE" w:rsidRDefault="00A211F0" w:rsidP="00A27AAA">
      <w:pPr>
        <w:numPr>
          <w:ilvl w:val="0"/>
          <w:numId w:val="354"/>
        </w:numPr>
        <w:jc w:val="both"/>
        <w:rPr>
          <w:rFonts w:asciiTheme="majorHAnsi" w:hAnsiTheme="majorHAnsi"/>
          <w:sz w:val="20"/>
          <w:szCs w:val="20"/>
          <w:lang w:eastAsia="fr-FR"/>
        </w:rPr>
      </w:pPr>
      <w:r w:rsidRPr="00A608EE">
        <w:rPr>
          <w:rFonts w:asciiTheme="majorHAnsi" w:hAnsiTheme="majorHAnsi"/>
          <w:sz w:val="20"/>
          <w:szCs w:val="20"/>
          <w:lang w:eastAsia="fr-FR"/>
        </w:rPr>
        <w:t>Induction and refresher training plans and training material on the social strategy, social goals, and the social performance functions and social targets of staff.</w:t>
      </w:r>
    </w:p>
    <w:p w14:paraId="13CD58C6" w14:textId="77777777" w:rsidR="00A211F0" w:rsidRPr="00A608EE" w:rsidRDefault="00A211F0" w:rsidP="00A27AAA">
      <w:pPr>
        <w:numPr>
          <w:ilvl w:val="0"/>
          <w:numId w:val="354"/>
        </w:numPr>
        <w:jc w:val="both"/>
        <w:rPr>
          <w:rFonts w:asciiTheme="majorHAnsi" w:hAnsiTheme="majorHAnsi"/>
          <w:sz w:val="20"/>
          <w:szCs w:val="20"/>
          <w:lang w:eastAsia="fr-FR"/>
        </w:rPr>
      </w:pPr>
      <w:r w:rsidRPr="00A608EE">
        <w:rPr>
          <w:rFonts w:asciiTheme="majorHAnsi" w:hAnsiTheme="majorHAnsi"/>
          <w:sz w:val="20"/>
          <w:szCs w:val="20"/>
          <w:lang w:eastAsia="fr-FR"/>
        </w:rPr>
        <w:t>HR reports on induction and refresher trainings on client protection and training evaluations during the past 12 months.</w:t>
      </w:r>
    </w:p>
    <w:p w14:paraId="47D34E57" w14:textId="77777777" w:rsidR="00A211F0" w:rsidRPr="00A608EE" w:rsidRDefault="00A211F0" w:rsidP="00A27AAA">
      <w:pPr>
        <w:numPr>
          <w:ilvl w:val="0"/>
          <w:numId w:val="354"/>
        </w:numPr>
        <w:jc w:val="both"/>
        <w:rPr>
          <w:rFonts w:asciiTheme="majorHAnsi" w:hAnsiTheme="majorHAnsi"/>
          <w:sz w:val="20"/>
          <w:szCs w:val="20"/>
          <w:lang w:eastAsia="fr-FR"/>
        </w:rPr>
      </w:pPr>
      <w:r w:rsidRPr="00A608EE">
        <w:rPr>
          <w:rFonts w:asciiTheme="majorHAnsi" w:hAnsiTheme="majorHAnsi"/>
          <w:sz w:val="20"/>
          <w:szCs w:val="20"/>
          <w:lang w:eastAsia="fr-FR"/>
        </w:rPr>
        <w:t>Employee files</w:t>
      </w:r>
    </w:p>
    <w:p w14:paraId="1071321B" w14:textId="77777777" w:rsidR="00A211F0" w:rsidRPr="00A608EE" w:rsidRDefault="00A211F0" w:rsidP="00A27AAA">
      <w:pPr>
        <w:numPr>
          <w:ilvl w:val="0"/>
          <w:numId w:val="354"/>
        </w:numPr>
        <w:jc w:val="both"/>
        <w:rPr>
          <w:rFonts w:asciiTheme="majorHAnsi" w:hAnsiTheme="majorHAnsi"/>
          <w:sz w:val="20"/>
          <w:szCs w:val="20"/>
          <w:lang w:eastAsia="fr-FR"/>
        </w:rPr>
      </w:pPr>
      <w:r w:rsidRPr="00A608EE">
        <w:rPr>
          <w:rFonts w:asciiTheme="majorHAnsi" w:hAnsiTheme="majorHAnsi"/>
          <w:sz w:val="20"/>
          <w:szCs w:val="20"/>
          <w:lang w:eastAsia="fr-FR"/>
        </w:rPr>
        <w:t>Interview with HR manager, Training manager, and different employees (women and men with office and field functions) and at different levels.</w:t>
      </w:r>
    </w:p>
    <w:p w14:paraId="0158953B" w14:textId="77777777" w:rsidR="00A211F0" w:rsidRPr="00A608EE" w:rsidRDefault="00A211F0" w:rsidP="00EE208A">
      <w:pPr>
        <w:jc w:val="both"/>
        <w:rPr>
          <w:rFonts w:asciiTheme="majorHAnsi" w:hAnsiTheme="majorHAnsi"/>
          <w:sz w:val="20"/>
          <w:szCs w:val="20"/>
          <w:lang w:eastAsia="fr-FR"/>
        </w:rPr>
      </w:pPr>
    </w:p>
    <w:p w14:paraId="619BE8C2" w14:textId="3DD3CC7C"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353D4819" w14:textId="77777777" w:rsidR="00A211F0" w:rsidRPr="00A608EE" w:rsidRDefault="00A211F0" w:rsidP="00A27AAA">
      <w:pPr>
        <w:numPr>
          <w:ilvl w:val="0"/>
          <w:numId w:val="355"/>
        </w:numPr>
        <w:jc w:val="both"/>
        <w:rPr>
          <w:rFonts w:asciiTheme="majorHAnsi" w:hAnsiTheme="majorHAnsi"/>
          <w:sz w:val="20"/>
          <w:szCs w:val="20"/>
          <w:lang w:eastAsia="fr-FR"/>
        </w:rPr>
      </w:pPr>
      <w:r w:rsidRPr="00A608EE">
        <w:rPr>
          <w:rFonts w:asciiTheme="majorHAnsi" w:hAnsiTheme="majorHAnsi"/>
          <w:sz w:val="20"/>
          <w:szCs w:val="20"/>
          <w:lang w:eastAsia="fr-FR"/>
        </w:rPr>
        <w:t>Specify the elements in the HR policies and training materials that are related to the Code of Conduct and client protection policies (training modules, on-site refreshers, on-line learnings, etc.). Training materials should clearly point out the standard of conduct staff is expected to follow.</w:t>
      </w:r>
    </w:p>
    <w:p w14:paraId="0B03B6F6" w14:textId="77777777" w:rsidR="00A211F0" w:rsidRPr="00A608EE" w:rsidRDefault="00A211F0" w:rsidP="00A27AAA">
      <w:pPr>
        <w:numPr>
          <w:ilvl w:val="0"/>
          <w:numId w:val="355"/>
        </w:numPr>
        <w:jc w:val="both"/>
        <w:rPr>
          <w:rFonts w:asciiTheme="majorHAnsi" w:hAnsiTheme="majorHAnsi"/>
          <w:sz w:val="20"/>
          <w:szCs w:val="20"/>
          <w:lang w:eastAsia="fr-FR"/>
        </w:rPr>
      </w:pPr>
      <w:r w:rsidRPr="00A608EE">
        <w:rPr>
          <w:rFonts w:asciiTheme="majorHAnsi" w:hAnsiTheme="majorHAnsi"/>
          <w:sz w:val="20"/>
          <w:szCs w:val="20"/>
          <w:lang w:eastAsia="fr-FR"/>
        </w:rPr>
        <w:t>Specify when new and existing staff receive training over the last 12 months (ex., induction training, on-the-job coaching, ad hoc sessions).</w:t>
      </w:r>
    </w:p>
    <w:p w14:paraId="288EA09C" w14:textId="77777777" w:rsidR="00A211F0" w:rsidRPr="00A608EE" w:rsidRDefault="00A211F0" w:rsidP="00A27AAA">
      <w:pPr>
        <w:numPr>
          <w:ilvl w:val="0"/>
          <w:numId w:val="355"/>
        </w:numPr>
        <w:jc w:val="both"/>
        <w:rPr>
          <w:rFonts w:asciiTheme="majorHAnsi" w:hAnsiTheme="majorHAnsi"/>
          <w:sz w:val="20"/>
          <w:szCs w:val="20"/>
          <w:lang w:eastAsia="fr-FR"/>
        </w:rPr>
      </w:pPr>
      <w:r w:rsidRPr="00A608EE">
        <w:rPr>
          <w:rFonts w:asciiTheme="majorHAnsi" w:hAnsiTheme="majorHAnsi"/>
          <w:sz w:val="20"/>
          <w:szCs w:val="20"/>
          <w:lang w:eastAsia="fr-FR"/>
        </w:rPr>
        <w:t>Describe the training methodologies and training materials for trainers and trainees.</w:t>
      </w:r>
    </w:p>
    <w:p w14:paraId="02B43EB7" w14:textId="77777777" w:rsidR="00A211F0" w:rsidRPr="00A608EE" w:rsidRDefault="00A211F0" w:rsidP="00A27AAA">
      <w:pPr>
        <w:numPr>
          <w:ilvl w:val="0"/>
          <w:numId w:val="355"/>
        </w:numPr>
        <w:jc w:val="both"/>
        <w:rPr>
          <w:rFonts w:asciiTheme="majorHAnsi" w:hAnsiTheme="majorHAnsi"/>
          <w:sz w:val="20"/>
          <w:szCs w:val="20"/>
          <w:lang w:eastAsia="fr-FR"/>
        </w:rPr>
      </w:pPr>
      <w:r w:rsidRPr="00A608EE">
        <w:rPr>
          <w:rFonts w:asciiTheme="majorHAnsi" w:hAnsiTheme="majorHAnsi"/>
          <w:sz w:val="20"/>
          <w:szCs w:val="20"/>
          <w:lang w:eastAsia="fr-FR"/>
        </w:rPr>
        <w:t>Refer to the level of understanding on client protection from the sample staff interviews</w:t>
      </w:r>
    </w:p>
    <w:p w14:paraId="375B1F7D" w14:textId="77777777" w:rsidR="00A211F0" w:rsidRPr="00A608EE" w:rsidRDefault="00A211F0" w:rsidP="00EE208A">
      <w:pPr>
        <w:jc w:val="both"/>
        <w:rPr>
          <w:rFonts w:asciiTheme="majorHAnsi" w:hAnsiTheme="majorHAnsi"/>
          <w:sz w:val="20"/>
          <w:szCs w:val="20"/>
          <w:lang w:eastAsia="fr-FR"/>
        </w:rPr>
      </w:pPr>
    </w:p>
    <w:p w14:paraId="57D6B53E" w14:textId="1A11C910"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Field examples / Guidance for implementation</w:t>
      </w:r>
    </w:p>
    <w:p w14:paraId="62F3DF4B" w14:textId="77777777" w:rsidR="00A211F0" w:rsidRPr="00A608EE" w:rsidRDefault="00A211F0" w:rsidP="007E6017">
      <w:pPr>
        <w:rPr>
          <w:rFonts w:asciiTheme="majorHAnsi" w:hAnsiTheme="majorHAnsi"/>
          <w:sz w:val="20"/>
          <w:szCs w:val="20"/>
          <w:lang w:eastAsia="fr-FR"/>
        </w:rPr>
      </w:pPr>
      <w:r w:rsidRPr="00A608EE">
        <w:rPr>
          <w:rFonts w:asciiTheme="majorHAnsi" w:hAnsiTheme="majorHAnsi"/>
          <w:sz w:val="20"/>
          <w:szCs w:val="20"/>
          <w:u w:val="single"/>
          <w:lang w:eastAsia="fr-FR"/>
        </w:rPr>
        <w:t>For 5.C.2.2.1</w:t>
      </w:r>
      <w:r w:rsidRPr="00A608EE">
        <w:rPr>
          <w:rFonts w:asciiTheme="majorHAnsi" w:hAnsiTheme="majorHAnsi"/>
          <w:sz w:val="20"/>
          <w:szCs w:val="20"/>
          <w:lang w:eastAsia="fr-FR"/>
        </w:rPr>
        <w:t>: Applies to loan officers, field executives supervising several loan officers, branch head of credit, branch manager, head office specialists on lending and loan workout management, and internal auditors.</w:t>
      </w:r>
      <w:r w:rsidRPr="00A608EE">
        <w:rPr>
          <w:rFonts w:asciiTheme="majorHAnsi" w:hAnsiTheme="majorHAnsi"/>
          <w:sz w:val="20"/>
          <w:szCs w:val="20"/>
          <w:lang w:eastAsia="fr-FR"/>
        </w:rPr>
        <w:br/>
        <w:t>“Repayment capacity analysis” involves building cash flow analysis, cross checking, and interviewing clients. If due diligence is conducted by group members, groups are trained on how to conduct due diligence and relevant loan criteria.</w:t>
      </w:r>
    </w:p>
    <w:p w14:paraId="65EEED48" w14:textId="77777777" w:rsidR="00A211F0" w:rsidRPr="00A608EE" w:rsidRDefault="00A211F0" w:rsidP="007E6017">
      <w:pPr>
        <w:rPr>
          <w:rFonts w:asciiTheme="majorHAnsi" w:hAnsiTheme="majorHAnsi"/>
          <w:sz w:val="20"/>
          <w:szCs w:val="20"/>
          <w:u w:val="single"/>
          <w:lang w:eastAsia="fr-FR"/>
        </w:rPr>
      </w:pPr>
    </w:p>
    <w:p w14:paraId="40CA33F0" w14:textId="24B24432" w:rsidR="00A211F0" w:rsidRPr="00A608EE" w:rsidRDefault="00A211F0" w:rsidP="007E6017">
      <w:pPr>
        <w:rPr>
          <w:rFonts w:asciiTheme="majorHAnsi" w:hAnsiTheme="majorHAnsi"/>
          <w:sz w:val="20"/>
          <w:szCs w:val="20"/>
          <w:lang w:eastAsia="fr-FR"/>
        </w:rPr>
      </w:pPr>
      <w:r w:rsidRPr="00A608EE">
        <w:rPr>
          <w:rFonts w:asciiTheme="majorHAnsi" w:hAnsiTheme="majorHAnsi"/>
          <w:sz w:val="20"/>
          <w:szCs w:val="20"/>
          <w:u w:val="single"/>
          <w:lang w:eastAsia="fr-FR"/>
        </w:rPr>
        <w:t>For 5.C.2.2</w:t>
      </w:r>
      <w:r w:rsidRPr="00A608EE">
        <w:rPr>
          <w:rFonts w:asciiTheme="majorHAnsi" w:hAnsiTheme="majorHAnsi"/>
          <w:sz w:val="20"/>
          <w:szCs w:val="20"/>
          <w:lang w:eastAsia="fr-FR"/>
        </w:rPr>
        <w:t>: Applies to all client-facing staff, notably those with sales functions, and internal auditors.</w:t>
      </w:r>
      <w:r w:rsidRPr="00A608EE">
        <w:rPr>
          <w:rFonts w:asciiTheme="majorHAnsi" w:hAnsiTheme="majorHAnsi"/>
          <w:sz w:val="20"/>
          <w:szCs w:val="20"/>
          <w:lang w:eastAsia="fr-FR"/>
        </w:rPr>
        <w:br/>
        <w:t>With the training, staff understand and have the skills to implement policies and procedures related to fair and responsible treatment of clients and aligned with the Code of Conduct. ‘Unacceptable’ behavior is highlighted. Training material should explicitly refer to ‘aggressive’ sales. Role plays are particularly valuable in demonstrating what ‘aggressive’ sales look like.</w:t>
      </w:r>
      <w:r w:rsidRPr="00A608EE">
        <w:rPr>
          <w:rFonts w:asciiTheme="majorHAnsi" w:hAnsiTheme="majorHAnsi"/>
          <w:sz w:val="20"/>
          <w:szCs w:val="20"/>
          <w:lang w:eastAsia="fr-FR"/>
        </w:rPr>
        <w:br/>
        <w:t>The provider verifies that third parties (agent network managers, etc.) train their own representatives on fair and responsible treatment of clients. The training is aligned with the provider's Code of Conduct and spells out ‘unacceptable’ behavior.</w:t>
      </w:r>
    </w:p>
    <w:p w14:paraId="2ACA0F1B" w14:textId="77777777" w:rsidR="00A211F0" w:rsidRPr="00A608EE" w:rsidRDefault="00A211F0" w:rsidP="007E6017">
      <w:pPr>
        <w:rPr>
          <w:rFonts w:asciiTheme="majorHAnsi" w:hAnsiTheme="majorHAnsi"/>
          <w:sz w:val="20"/>
          <w:szCs w:val="20"/>
          <w:u w:val="single"/>
          <w:lang w:eastAsia="fr-FR"/>
        </w:rPr>
      </w:pPr>
    </w:p>
    <w:p w14:paraId="2837430C" w14:textId="3CF554FC" w:rsidR="00A211F0" w:rsidRPr="00A608EE" w:rsidRDefault="00A211F0" w:rsidP="007E6017">
      <w:pPr>
        <w:rPr>
          <w:rFonts w:asciiTheme="majorHAnsi" w:hAnsiTheme="majorHAnsi"/>
          <w:sz w:val="20"/>
          <w:szCs w:val="20"/>
          <w:lang w:eastAsia="fr-FR"/>
        </w:rPr>
      </w:pPr>
      <w:r w:rsidRPr="00A608EE">
        <w:rPr>
          <w:rFonts w:asciiTheme="majorHAnsi" w:hAnsiTheme="majorHAnsi"/>
          <w:sz w:val="20"/>
          <w:szCs w:val="20"/>
          <w:u w:val="single"/>
          <w:lang w:eastAsia="fr-FR"/>
        </w:rPr>
        <w:t>For 5.C.2.2.3</w:t>
      </w:r>
      <w:r w:rsidRPr="00A608EE">
        <w:rPr>
          <w:rFonts w:asciiTheme="majorHAnsi" w:hAnsiTheme="majorHAnsi"/>
          <w:sz w:val="20"/>
          <w:szCs w:val="20"/>
          <w:lang w:eastAsia="fr-FR"/>
        </w:rPr>
        <w:t>: Applies to all client-facing staff, notably loan officers and those with sales functions, and internal auditors.</w:t>
      </w:r>
      <w:r w:rsidRPr="00A608EE">
        <w:rPr>
          <w:rFonts w:asciiTheme="majorHAnsi" w:hAnsiTheme="majorHAnsi"/>
          <w:sz w:val="20"/>
          <w:szCs w:val="20"/>
          <w:lang w:eastAsia="fr-FR"/>
        </w:rPr>
        <w:br/>
        <w:t>The provider trains all client-facing staff to communicate all information related to products, services and policies to clients in the local language and at an appropriate level given financial literacy limitations. For less literate clients, oral communication supplements written information.</w:t>
      </w:r>
      <w:r w:rsidRPr="00A608EE">
        <w:rPr>
          <w:rFonts w:asciiTheme="majorHAnsi" w:hAnsiTheme="majorHAnsi"/>
          <w:sz w:val="20"/>
          <w:szCs w:val="20"/>
          <w:lang w:eastAsia="fr-FR"/>
        </w:rPr>
        <w:br/>
        <w:t xml:space="preserve">Examples: Provider Y trains its loan officers to be able to read out slowly the product </w:t>
      </w:r>
      <w:r w:rsidRPr="00A608EE">
        <w:rPr>
          <w:rFonts w:asciiTheme="majorHAnsi" w:hAnsiTheme="majorHAnsi"/>
          <w:sz w:val="20"/>
          <w:szCs w:val="20"/>
          <w:lang w:eastAsia="fr-FR"/>
        </w:rPr>
        <w:lastRenderedPageBreak/>
        <w:t>contracts to clients with literacy and/or financial capability limitations, making the exchange a series of questions and answers so that the clients can ask questions and the loan officers can verify understanding.</w:t>
      </w:r>
      <w:r w:rsidRPr="00A608EE">
        <w:rPr>
          <w:rFonts w:asciiTheme="majorHAnsi" w:hAnsiTheme="majorHAnsi"/>
          <w:sz w:val="20"/>
          <w:szCs w:val="20"/>
          <w:lang w:eastAsia="fr-FR"/>
        </w:rPr>
        <w:br/>
        <w:t>FSP X has its customer service representatives, who handle disbursement, trained to verify client understanding of terms and conditions verbally during the disbursement process.</w:t>
      </w:r>
    </w:p>
    <w:p w14:paraId="5533BD63" w14:textId="77777777" w:rsidR="00A211F0" w:rsidRPr="00A608EE" w:rsidRDefault="00A211F0" w:rsidP="007E6017">
      <w:pPr>
        <w:rPr>
          <w:rFonts w:asciiTheme="majorHAnsi" w:hAnsiTheme="majorHAnsi"/>
          <w:sz w:val="20"/>
          <w:szCs w:val="20"/>
          <w:u w:val="single"/>
          <w:lang w:eastAsia="fr-FR"/>
        </w:rPr>
      </w:pPr>
    </w:p>
    <w:p w14:paraId="6B13FA6C" w14:textId="13343722" w:rsidR="00A211F0" w:rsidRPr="00A608EE" w:rsidRDefault="00A211F0" w:rsidP="007E6017">
      <w:pPr>
        <w:rPr>
          <w:rFonts w:asciiTheme="majorHAnsi" w:hAnsiTheme="majorHAnsi"/>
          <w:sz w:val="20"/>
          <w:szCs w:val="20"/>
          <w:lang w:eastAsia="fr-FR"/>
        </w:rPr>
      </w:pPr>
      <w:r w:rsidRPr="00A608EE">
        <w:rPr>
          <w:rFonts w:asciiTheme="majorHAnsi" w:hAnsiTheme="majorHAnsi"/>
          <w:sz w:val="20"/>
          <w:szCs w:val="20"/>
          <w:u w:val="single"/>
          <w:lang w:eastAsia="fr-FR"/>
        </w:rPr>
        <w:t>For 5.C.2.2.4</w:t>
      </w:r>
      <w:r w:rsidRPr="00A608EE">
        <w:rPr>
          <w:rFonts w:asciiTheme="majorHAnsi" w:hAnsiTheme="majorHAnsi"/>
          <w:sz w:val="20"/>
          <w:szCs w:val="20"/>
          <w:lang w:eastAsia="fr-FR"/>
        </w:rPr>
        <w:t>: Applies to loan officers, field executives supervising several loan officers, branch head of credit, branch manager, head office specialists on lending and loan workout management, and internal auditors.</w:t>
      </w:r>
      <w:r w:rsidRPr="00A608EE">
        <w:rPr>
          <w:rFonts w:asciiTheme="majorHAnsi" w:hAnsiTheme="majorHAnsi"/>
          <w:sz w:val="20"/>
          <w:szCs w:val="20"/>
          <w:lang w:eastAsia="fr-FR"/>
        </w:rPr>
        <w:br/>
        <w:t>Training should include actions employees are expected to take and those they are prohibited from taking in case of default. This includes training on how to evaluate a client's willingness and ability to repay.</w:t>
      </w:r>
      <w:r w:rsidRPr="00A608EE">
        <w:rPr>
          <w:rFonts w:asciiTheme="majorHAnsi" w:hAnsiTheme="majorHAnsi"/>
          <w:sz w:val="20"/>
          <w:szCs w:val="20"/>
          <w:lang w:eastAsia="fr-FR"/>
        </w:rPr>
        <w:br/>
        <w:t>Example: The field staff in collections is encouraged to refer to clients as “clients with late loans” instead of “delinquent clients” in order to avoid the negative connotations and disdain associated with this word.</w:t>
      </w:r>
    </w:p>
    <w:p w14:paraId="1F7629F4" w14:textId="77777777" w:rsidR="00A211F0" w:rsidRPr="00A608EE" w:rsidRDefault="00A211F0" w:rsidP="007E6017">
      <w:pPr>
        <w:rPr>
          <w:rFonts w:asciiTheme="majorHAnsi" w:hAnsiTheme="majorHAnsi"/>
          <w:sz w:val="20"/>
          <w:szCs w:val="20"/>
          <w:u w:val="single"/>
          <w:lang w:eastAsia="fr-FR"/>
        </w:rPr>
      </w:pPr>
    </w:p>
    <w:p w14:paraId="787B03FB" w14:textId="480C6B1E" w:rsidR="00A211F0" w:rsidRPr="00A608EE" w:rsidRDefault="00A211F0" w:rsidP="007E6017">
      <w:pPr>
        <w:rPr>
          <w:rFonts w:asciiTheme="majorHAnsi" w:hAnsiTheme="majorHAnsi"/>
          <w:sz w:val="20"/>
          <w:szCs w:val="20"/>
          <w:lang w:eastAsia="fr-FR"/>
        </w:rPr>
      </w:pPr>
      <w:r w:rsidRPr="00A608EE">
        <w:rPr>
          <w:rFonts w:asciiTheme="majorHAnsi" w:hAnsiTheme="majorHAnsi"/>
          <w:sz w:val="20"/>
          <w:szCs w:val="20"/>
          <w:u w:val="single"/>
          <w:lang w:eastAsia="fr-FR"/>
        </w:rPr>
        <w:t>For 5.C.2.2.5</w:t>
      </w:r>
      <w:r w:rsidRPr="00A608EE">
        <w:rPr>
          <w:rFonts w:asciiTheme="majorHAnsi" w:hAnsiTheme="majorHAnsi"/>
          <w:sz w:val="20"/>
          <w:szCs w:val="20"/>
          <w:lang w:eastAsia="fr-FR"/>
        </w:rPr>
        <w:t>: Applies to all employees.</w:t>
      </w:r>
      <w:r w:rsidRPr="00A608EE">
        <w:rPr>
          <w:rFonts w:asciiTheme="majorHAnsi" w:hAnsiTheme="majorHAnsi"/>
          <w:sz w:val="20"/>
          <w:szCs w:val="20"/>
          <w:lang w:eastAsia="fr-FR"/>
        </w:rPr>
        <w:br/>
        <w:t>Providers must train all new and existing employees on (I) its confidentiality and data sharing policies, (2) fraud risks, identification, and reporting, and (3) on how to communicate  with clients on data privacy and data security policies (how to talk to clients about privacy and confidentiality, how to keep client information safe, how to keep IT passwords safe).</w:t>
      </w:r>
    </w:p>
    <w:p w14:paraId="74F3CD00" w14:textId="77777777" w:rsidR="00A211F0" w:rsidRPr="00A608EE" w:rsidRDefault="00A211F0" w:rsidP="007E6017">
      <w:pPr>
        <w:rPr>
          <w:rFonts w:asciiTheme="majorHAnsi" w:hAnsiTheme="majorHAnsi"/>
          <w:sz w:val="20"/>
          <w:szCs w:val="20"/>
          <w:u w:val="single"/>
          <w:lang w:eastAsia="fr-FR"/>
        </w:rPr>
      </w:pPr>
    </w:p>
    <w:p w14:paraId="2254B30A" w14:textId="65EA9F72" w:rsidR="00A211F0" w:rsidRPr="00A608EE" w:rsidRDefault="00A211F0" w:rsidP="007E6017">
      <w:pPr>
        <w:rPr>
          <w:rFonts w:asciiTheme="majorHAnsi" w:hAnsiTheme="majorHAnsi"/>
          <w:sz w:val="20"/>
          <w:szCs w:val="20"/>
          <w:lang w:eastAsia="fr-FR"/>
        </w:rPr>
      </w:pPr>
      <w:r w:rsidRPr="00A608EE">
        <w:rPr>
          <w:rFonts w:asciiTheme="majorHAnsi" w:hAnsiTheme="majorHAnsi"/>
          <w:sz w:val="20"/>
          <w:szCs w:val="20"/>
          <w:u w:val="single"/>
          <w:lang w:eastAsia="fr-FR"/>
        </w:rPr>
        <w:t>For 5.C.2.2.6</w:t>
      </w:r>
      <w:r w:rsidRPr="00A608EE">
        <w:rPr>
          <w:rFonts w:asciiTheme="majorHAnsi" w:hAnsiTheme="majorHAnsi"/>
          <w:sz w:val="20"/>
          <w:szCs w:val="20"/>
          <w:lang w:eastAsia="fr-FR"/>
        </w:rPr>
        <w:t>: Applies to all client-facing employees and internal auditors.</w:t>
      </w:r>
      <w:r w:rsidRPr="00A608EE">
        <w:rPr>
          <w:rFonts w:asciiTheme="majorHAnsi" w:hAnsiTheme="majorHAnsi"/>
          <w:sz w:val="20"/>
          <w:szCs w:val="20"/>
          <w:lang w:eastAsia="fr-FR"/>
        </w:rPr>
        <w:br/>
        <w:t>For a complaints mechanism to be effective, employees must be aware of its existence and how to use it. Employees should know how the mechanism works and how to refer clients to the appropriate person/mechanism. Complaints handling should be covered in induction training. How the complains mechanism works is not just the channel to use to file a complaint, but also how staff processes complaints</w:t>
      </w:r>
    </w:p>
    <w:p w14:paraId="0A687F5C" w14:textId="77777777" w:rsidR="00A211F0" w:rsidRPr="00A608EE" w:rsidRDefault="00A211F0" w:rsidP="00EE208A">
      <w:pPr>
        <w:jc w:val="both"/>
        <w:rPr>
          <w:rFonts w:asciiTheme="majorHAnsi" w:hAnsiTheme="majorHAnsi"/>
          <w:sz w:val="20"/>
          <w:szCs w:val="20"/>
          <w:lang w:eastAsia="fr-FR"/>
        </w:rPr>
      </w:pPr>
    </w:p>
    <w:p w14:paraId="26654E0B" w14:textId="78525A8B" w:rsidR="00A211F0" w:rsidRPr="00A608EE" w:rsidRDefault="00A211F0"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Resources for indicator 5.C.2.2</w:t>
      </w:r>
    </w:p>
    <w:p w14:paraId="1EE9BF21" w14:textId="77777777" w:rsidR="00A148DC" w:rsidRPr="00A608EE" w:rsidRDefault="00A148DC" w:rsidP="00A27AAA">
      <w:pPr>
        <w:numPr>
          <w:ilvl w:val="0"/>
          <w:numId w:val="37"/>
        </w:numPr>
        <w:jc w:val="both"/>
        <w:rPr>
          <w:rStyle w:val="Hyperlink"/>
          <w:rFonts w:asciiTheme="majorHAnsi" w:hAnsiTheme="majorHAnsi"/>
          <w:color w:val="auto"/>
          <w:sz w:val="20"/>
          <w:szCs w:val="20"/>
          <w:u w:val="none"/>
        </w:rPr>
      </w:pPr>
      <w:hyperlink r:id="rId295" w:history="1">
        <w:r w:rsidRPr="00A608EE">
          <w:rPr>
            <w:rStyle w:val="Hyperlink"/>
            <w:rFonts w:asciiTheme="majorHAnsi" w:hAnsiTheme="majorHAnsi"/>
            <w:color w:val="auto"/>
            <w:sz w:val="20"/>
            <w:szCs w:val="20"/>
          </w:rPr>
          <w:t>SKS and Equitas Protect Client Data</w:t>
        </w:r>
      </w:hyperlink>
    </w:p>
    <w:p w14:paraId="33CED95D" w14:textId="77777777" w:rsidR="001054E2" w:rsidRPr="00A608EE" w:rsidRDefault="001054E2" w:rsidP="00A27AAA">
      <w:pPr>
        <w:numPr>
          <w:ilvl w:val="0"/>
          <w:numId w:val="36"/>
        </w:numPr>
        <w:jc w:val="both"/>
        <w:rPr>
          <w:rStyle w:val="Hyperlink"/>
          <w:rFonts w:asciiTheme="majorHAnsi" w:hAnsiTheme="majorHAnsi"/>
          <w:color w:val="auto"/>
          <w:sz w:val="20"/>
          <w:szCs w:val="20"/>
          <w:u w:val="none"/>
        </w:rPr>
      </w:pPr>
      <w:hyperlink r:id="rId296" w:history="1">
        <w:r w:rsidRPr="00A608EE">
          <w:rPr>
            <w:rStyle w:val="Hyperlink"/>
            <w:rFonts w:asciiTheme="majorHAnsi" w:hAnsiTheme="majorHAnsi"/>
            <w:color w:val="auto"/>
            <w:sz w:val="20"/>
            <w:szCs w:val="20"/>
          </w:rPr>
          <w:t>Guidance for Adequate Training of Employees on Code of Conduct and Client Protection</w:t>
        </w:r>
      </w:hyperlink>
    </w:p>
    <w:p w14:paraId="14857925" w14:textId="0AB6F754" w:rsidR="00CE10C1" w:rsidRPr="00A608EE" w:rsidRDefault="00CE10C1" w:rsidP="00EE208A">
      <w:pPr>
        <w:jc w:val="both"/>
        <w:rPr>
          <w:rFonts w:asciiTheme="majorHAnsi" w:hAnsiTheme="majorHAnsi"/>
          <w:szCs w:val="20"/>
        </w:rPr>
      </w:pPr>
    </w:p>
    <w:p w14:paraId="283AFA47" w14:textId="77777777" w:rsidR="008E2BC6" w:rsidRPr="00A608EE" w:rsidRDefault="008E2BC6" w:rsidP="00EE208A">
      <w:pPr>
        <w:jc w:val="both"/>
        <w:rPr>
          <w:rFonts w:asciiTheme="majorHAnsi" w:hAnsiTheme="majorHAnsi"/>
          <w:szCs w:val="20"/>
        </w:rPr>
      </w:pPr>
    </w:p>
    <w:p w14:paraId="0268D7A3" w14:textId="77777777" w:rsidR="005044A2" w:rsidRPr="00A608EE" w:rsidRDefault="005044A2" w:rsidP="00EE208A">
      <w:pPr>
        <w:pStyle w:val="NormalWeb"/>
        <w:spacing w:before="0" w:beforeAutospacing="0" w:after="0" w:afterAutospacing="0"/>
        <w:jc w:val="both"/>
        <w:rPr>
          <w:rFonts w:asciiTheme="majorHAnsi" w:hAnsiTheme="majorHAnsi"/>
          <w:sz w:val="20"/>
          <w:szCs w:val="20"/>
        </w:rPr>
      </w:pPr>
    </w:p>
    <w:p w14:paraId="0A08A971" w14:textId="4D65BAFD" w:rsidR="00AA3E95" w:rsidRPr="00A608EE" w:rsidRDefault="00AA3E95" w:rsidP="00EE208A">
      <w:pPr>
        <w:jc w:val="both"/>
        <w:rPr>
          <w:rFonts w:asciiTheme="majorHAnsi" w:hAnsiTheme="majorHAnsi"/>
          <w:sz w:val="20"/>
          <w:szCs w:val="20"/>
        </w:rPr>
      </w:pPr>
    </w:p>
    <w:p w14:paraId="52C36422" w14:textId="77777777" w:rsidR="00AA3E95" w:rsidRPr="00A608EE" w:rsidRDefault="00AA3E95" w:rsidP="00EE208A">
      <w:pPr>
        <w:jc w:val="both"/>
        <w:rPr>
          <w:rFonts w:asciiTheme="majorHAnsi" w:hAnsiTheme="majorHAnsi"/>
          <w:sz w:val="20"/>
          <w:szCs w:val="20"/>
        </w:rPr>
      </w:pPr>
      <w:r w:rsidRPr="00A608EE">
        <w:rPr>
          <w:rFonts w:asciiTheme="majorHAnsi" w:hAnsiTheme="majorHAnsi"/>
          <w:sz w:val="20"/>
          <w:szCs w:val="20"/>
        </w:rPr>
        <w:br w:type="page"/>
      </w:r>
    </w:p>
    <w:p w14:paraId="1E99A8F2" w14:textId="494282B7" w:rsidR="00DE3F5A" w:rsidRPr="00A608EE" w:rsidRDefault="00DE3F5A" w:rsidP="00EE208A">
      <w:pPr>
        <w:pStyle w:val="Heading1"/>
        <w:spacing w:before="0" w:line="240" w:lineRule="auto"/>
        <w:jc w:val="both"/>
      </w:pPr>
      <w:bookmarkStart w:id="99" w:name="_Toc230938820"/>
      <w:r w:rsidRPr="00A608EE">
        <w:lastRenderedPageBreak/>
        <w:t xml:space="preserve">Dimension 6. </w:t>
      </w:r>
      <w:r w:rsidR="00005D85" w:rsidRPr="00A608EE">
        <w:t>Responsible Growth and Returns</w:t>
      </w:r>
      <w:bookmarkEnd w:id="99"/>
    </w:p>
    <w:p w14:paraId="78C75F8B" w14:textId="77777777" w:rsidR="00DE3F5A" w:rsidRPr="00A608EE" w:rsidRDefault="00DE3F5A" w:rsidP="00EE208A">
      <w:pPr>
        <w:jc w:val="both"/>
        <w:rPr>
          <w:rFonts w:asciiTheme="majorHAnsi" w:hAnsiTheme="majorHAnsi"/>
          <w:sz w:val="20"/>
          <w:szCs w:val="20"/>
        </w:rPr>
      </w:pPr>
    </w:p>
    <w:p w14:paraId="4E97B3AA" w14:textId="77777777"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Dimension 6’s standards and guidance start from the premise that, as a social enterprise, an institution’s financial decisions and results should reflect their social goals. As with other social enterprises, striking the right balance is key. As providers grow and take on new investors who may have different priorities, it is very important for the financial service providers to have institutionalized policies and practices that support their own balance. The three primary areas of focus in this dimension are responsibly managing growth, setting prices and using profits to achieve long-term sustainability while achieving social goals.</w:t>
      </w:r>
    </w:p>
    <w:p w14:paraId="305BF7C1" w14:textId="77777777" w:rsidR="00AC5908" w:rsidRPr="00A608EE" w:rsidRDefault="00AC5908" w:rsidP="00EE208A">
      <w:pPr>
        <w:jc w:val="both"/>
        <w:rPr>
          <w:rFonts w:asciiTheme="majorHAnsi" w:hAnsiTheme="majorHAnsi"/>
          <w:sz w:val="20"/>
          <w:szCs w:val="20"/>
          <w:lang w:eastAsia="fr-FR"/>
        </w:rPr>
      </w:pPr>
    </w:p>
    <w:p w14:paraId="2CD453EE" w14:textId="0CD3B1E3"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Dimension 6 includes three standards:</w:t>
      </w:r>
    </w:p>
    <w:p w14:paraId="68A49CC3" w14:textId="52208E57" w:rsidR="00AC5908" w:rsidRPr="00A608EE" w:rsidRDefault="00AC5908" w:rsidP="00A27AAA">
      <w:pPr>
        <w:numPr>
          <w:ilvl w:val="0"/>
          <w:numId w:val="356"/>
        </w:numPr>
        <w:jc w:val="both"/>
        <w:rPr>
          <w:rFonts w:asciiTheme="majorHAnsi" w:hAnsiTheme="majorHAnsi"/>
          <w:sz w:val="20"/>
          <w:szCs w:val="20"/>
          <w:lang w:eastAsia="fr-FR"/>
        </w:rPr>
      </w:pPr>
      <w:r w:rsidRPr="00A608EE">
        <w:rPr>
          <w:rFonts w:asciiTheme="majorHAnsi" w:hAnsiTheme="majorHAnsi"/>
          <w:sz w:val="20"/>
          <w:szCs w:val="20"/>
          <w:lang w:eastAsia="fr-FR"/>
        </w:rPr>
        <w:t>Standard 6A: The provider manages growth in a way that promotes its social goals and mitigates risks to clients.</w:t>
      </w:r>
    </w:p>
    <w:p w14:paraId="0E1ED3BD" w14:textId="27C43899" w:rsidR="00AC5908" w:rsidRPr="00A608EE" w:rsidRDefault="00AC5908" w:rsidP="00A27AAA">
      <w:pPr>
        <w:numPr>
          <w:ilvl w:val="0"/>
          <w:numId w:val="356"/>
        </w:numPr>
        <w:jc w:val="both"/>
        <w:rPr>
          <w:rFonts w:asciiTheme="majorHAnsi" w:hAnsiTheme="majorHAnsi"/>
          <w:sz w:val="20"/>
          <w:szCs w:val="20"/>
          <w:lang w:eastAsia="fr-FR"/>
        </w:rPr>
      </w:pPr>
      <w:r w:rsidRPr="00A608EE">
        <w:rPr>
          <w:rFonts w:asciiTheme="majorHAnsi" w:hAnsiTheme="majorHAnsi"/>
          <w:sz w:val="20"/>
          <w:szCs w:val="20"/>
          <w:lang w:eastAsia="fr-FR"/>
        </w:rPr>
        <w:t>Standard 6B: The provider sets prices responsibly.</w:t>
      </w:r>
    </w:p>
    <w:p w14:paraId="4FADA68B" w14:textId="417D3D82" w:rsidR="00AC5908" w:rsidRPr="00A608EE" w:rsidRDefault="00AC5908" w:rsidP="00A27AAA">
      <w:pPr>
        <w:numPr>
          <w:ilvl w:val="0"/>
          <w:numId w:val="356"/>
        </w:numPr>
        <w:jc w:val="both"/>
        <w:rPr>
          <w:rFonts w:asciiTheme="majorHAnsi" w:hAnsiTheme="majorHAnsi"/>
          <w:sz w:val="20"/>
          <w:szCs w:val="20"/>
          <w:lang w:eastAsia="fr-FR"/>
        </w:rPr>
      </w:pPr>
      <w:r w:rsidRPr="00A608EE">
        <w:rPr>
          <w:rFonts w:asciiTheme="majorHAnsi" w:hAnsiTheme="majorHAnsi"/>
          <w:sz w:val="20"/>
          <w:szCs w:val="20"/>
          <w:lang w:eastAsia="fr-FR"/>
        </w:rPr>
        <w:t>Standard 6C: The provider uses profits responsibly.</w:t>
      </w:r>
    </w:p>
    <w:p w14:paraId="5CC77900" w14:textId="77777777" w:rsidR="008E4F29" w:rsidRPr="00A608EE" w:rsidRDefault="008E4F29" w:rsidP="00EE208A">
      <w:pPr>
        <w:jc w:val="both"/>
        <w:rPr>
          <w:rFonts w:asciiTheme="majorHAnsi" w:hAnsiTheme="majorHAnsi"/>
          <w:szCs w:val="20"/>
        </w:rPr>
      </w:pPr>
    </w:p>
    <w:p w14:paraId="003254C5" w14:textId="77777777" w:rsidR="00B25978" w:rsidRPr="00A608EE" w:rsidRDefault="00B25978" w:rsidP="00EE208A">
      <w:pPr>
        <w:jc w:val="both"/>
        <w:rPr>
          <w:rFonts w:asciiTheme="majorHAnsi" w:hAnsiTheme="majorHAnsi"/>
          <w:szCs w:val="20"/>
        </w:rPr>
      </w:pPr>
    </w:p>
    <w:p w14:paraId="2CEADF68" w14:textId="691CAB4E" w:rsidR="008E4F29" w:rsidRPr="00A608EE" w:rsidRDefault="00AC5908" w:rsidP="00EE208A">
      <w:pPr>
        <w:pStyle w:val="Heading2"/>
        <w:spacing w:before="0" w:line="240" w:lineRule="auto"/>
        <w:jc w:val="both"/>
      </w:pPr>
      <w:bookmarkStart w:id="100" w:name="_Toc230938821"/>
      <w:r w:rsidRPr="00A608EE">
        <w:t>Standard 6A. The provider manages growth in a way that promotes its social goals and mitigates risks to clients.</w:t>
      </w:r>
      <w:bookmarkEnd w:id="100"/>
    </w:p>
    <w:p w14:paraId="023F8F77" w14:textId="77777777" w:rsidR="008E4F29" w:rsidRPr="00A608EE" w:rsidRDefault="008E4F29" w:rsidP="00EE208A">
      <w:pPr>
        <w:jc w:val="both"/>
        <w:rPr>
          <w:rFonts w:asciiTheme="majorHAnsi" w:hAnsiTheme="majorHAnsi"/>
          <w:szCs w:val="20"/>
        </w:rPr>
      </w:pPr>
    </w:p>
    <w:p w14:paraId="6A959C00" w14:textId="77777777"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This standard has 2 essential practices:</w:t>
      </w:r>
    </w:p>
    <w:p w14:paraId="088EA1A4" w14:textId="5AEBB6A8" w:rsidR="00AC5908" w:rsidRPr="00A608EE" w:rsidRDefault="00AC5908" w:rsidP="00A27AAA">
      <w:pPr>
        <w:numPr>
          <w:ilvl w:val="0"/>
          <w:numId w:val="357"/>
        </w:numPr>
        <w:jc w:val="both"/>
        <w:rPr>
          <w:rFonts w:asciiTheme="majorHAnsi" w:hAnsiTheme="majorHAnsi"/>
          <w:sz w:val="20"/>
          <w:szCs w:val="20"/>
          <w:lang w:eastAsia="fr-FR"/>
        </w:rPr>
      </w:pPr>
      <w:r w:rsidRPr="00A608EE">
        <w:rPr>
          <w:rFonts w:asciiTheme="majorHAnsi" w:hAnsiTheme="majorHAnsi"/>
          <w:sz w:val="20"/>
          <w:szCs w:val="20"/>
          <w:lang w:eastAsia="fr-FR"/>
        </w:rPr>
        <w:t>Essential practice 6.A.1: The provider's strategic and/or business plan establishes responsible growth targets.</w:t>
      </w:r>
    </w:p>
    <w:p w14:paraId="62DBCACC" w14:textId="4FFEC8EC" w:rsidR="00AC5908" w:rsidRPr="00A608EE" w:rsidRDefault="00AC5908" w:rsidP="00A27AAA">
      <w:pPr>
        <w:numPr>
          <w:ilvl w:val="0"/>
          <w:numId w:val="357"/>
        </w:numPr>
        <w:jc w:val="both"/>
        <w:rPr>
          <w:rFonts w:asciiTheme="majorHAnsi" w:hAnsiTheme="majorHAnsi"/>
          <w:sz w:val="20"/>
          <w:szCs w:val="20"/>
          <w:lang w:eastAsia="fr-FR"/>
        </w:rPr>
      </w:pPr>
      <w:r w:rsidRPr="00A608EE">
        <w:rPr>
          <w:rFonts w:asciiTheme="majorHAnsi" w:hAnsiTheme="majorHAnsi"/>
          <w:sz w:val="20"/>
          <w:szCs w:val="20"/>
          <w:lang w:eastAsia="fr-FR"/>
        </w:rPr>
        <w:t>Essential practice 6.A.2: During times of high growth, the provider monitors more frequently data related to responsible growth</w:t>
      </w:r>
    </w:p>
    <w:p w14:paraId="5BFF605E" w14:textId="77777777" w:rsidR="00AC5908" w:rsidRPr="00A608EE" w:rsidRDefault="00AC5908" w:rsidP="00EE208A">
      <w:pPr>
        <w:jc w:val="both"/>
        <w:rPr>
          <w:rFonts w:asciiTheme="majorHAnsi" w:hAnsiTheme="majorHAnsi"/>
          <w:sz w:val="20"/>
          <w:szCs w:val="20"/>
          <w:lang w:eastAsia="fr-FR"/>
        </w:rPr>
      </w:pPr>
    </w:p>
    <w:p w14:paraId="24FFD31F" w14:textId="6A0EFCA6" w:rsidR="00AC5908" w:rsidRPr="00A608EE" w:rsidRDefault="00AC5908" w:rsidP="00EE208A">
      <w:pPr>
        <w:jc w:val="both"/>
        <w:rPr>
          <w:rFonts w:asciiTheme="majorHAnsi" w:hAnsiTheme="majorHAnsi"/>
          <w:b/>
          <w:bCs/>
          <w:sz w:val="20"/>
          <w:szCs w:val="20"/>
          <w:lang w:eastAsia="fr-FR"/>
        </w:rPr>
      </w:pPr>
      <w:bookmarkStart w:id="101" w:name="_Hlk204951319"/>
      <w:r w:rsidRPr="00A608EE">
        <w:rPr>
          <w:rFonts w:asciiTheme="majorHAnsi" w:hAnsiTheme="majorHAnsi"/>
          <w:b/>
          <w:bCs/>
          <w:sz w:val="20"/>
          <w:szCs w:val="20"/>
          <w:lang w:eastAsia="fr-FR"/>
        </w:rPr>
        <w:t>Resources for standard 6A</w:t>
      </w:r>
    </w:p>
    <w:p w14:paraId="05530C08" w14:textId="77777777" w:rsidR="00AC5908" w:rsidRPr="00A608EE" w:rsidRDefault="00AC5908" w:rsidP="00A27AAA">
      <w:pPr>
        <w:numPr>
          <w:ilvl w:val="0"/>
          <w:numId w:val="358"/>
        </w:numPr>
        <w:jc w:val="both"/>
        <w:rPr>
          <w:rFonts w:asciiTheme="majorHAnsi" w:hAnsiTheme="majorHAnsi"/>
          <w:sz w:val="20"/>
          <w:szCs w:val="20"/>
          <w:lang w:eastAsia="fr-FR"/>
        </w:rPr>
      </w:pPr>
      <w:hyperlink r:id="rId297" w:tgtFrame="_blank" w:history="1">
        <w:r w:rsidRPr="00A608EE">
          <w:rPr>
            <w:rStyle w:val="Hyperlink"/>
            <w:rFonts w:asciiTheme="majorHAnsi" w:hAnsiTheme="majorHAnsi"/>
            <w:sz w:val="20"/>
            <w:szCs w:val="20"/>
            <w:lang w:eastAsia="fr-FR"/>
          </w:rPr>
          <w:t>SPM Essentials #4 Responsible Use of Profits</w:t>
        </w:r>
      </w:hyperlink>
    </w:p>
    <w:bookmarkEnd w:id="101"/>
    <w:p w14:paraId="720C4561" w14:textId="77777777" w:rsidR="008E4F29" w:rsidRPr="00A608EE" w:rsidRDefault="008E4F29" w:rsidP="00EE208A">
      <w:pPr>
        <w:jc w:val="both"/>
        <w:rPr>
          <w:rFonts w:asciiTheme="majorHAnsi" w:hAnsiTheme="majorHAnsi"/>
          <w:szCs w:val="20"/>
        </w:rPr>
      </w:pPr>
    </w:p>
    <w:p w14:paraId="61C0B468" w14:textId="77777777" w:rsidR="00B25978" w:rsidRPr="00A608EE" w:rsidRDefault="00B25978" w:rsidP="00EE208A">
      <w:pPr>
        <w:jc w:val="both"/>
        <w:rPr>
          <w:rFonts w:asciiTheme="majorHAnsi" w:hAnsiTheme="majorHAnsi"/>
          <w:szCs w:val="20"/>
        </w:rPr>
      </w:pPr>
    </w:p>
    <w:p w14:paraId="2BE25374" w14:textId="4630948E" w:rsidR="008E4F29" w:rsidRPr="00A608EE" w:rsidRDefault="008E4F29" w:rsidP="00EE208A">
      <w:pPr>
        <w:pStyle w:val="Heading3"/>
        <w:spacing w:before="0" w:line="240" w:lineRule="auto"/>
        <w:jc w:val="both"/>
      </w:pPr>
      <w:bookmarkStart w:id="102" w:name="_Toc230938822"/>
      <w:r w:rsidRPr="00A608EE">
        <w:rPr>
          <w:rStyle w:val="text-primary"/>
        </w:rPr>
        <w:t>6.A.1</w:t>
      </w:r>
      <w:r w:rsidRPr="00A608EE">
        <w:t xml:space="preserve"> </w:t>
      </w:r>
      <w:r w:rsidR="00AC5908" w:rsidRPr="00A608EE">
        <w:t>The provider's strategic and/or business plan establishes responsible growth targets</w:t>
      </w:r>
      <w:r w:rsidR="00493D3C" w:rsidRPr="00A608EE">
        <w:t>.</w:t>
      </w:r>
      <w:bookmarkEnd w:id="102"/>
    </w:p>
    <w:p w14:paraId="3ED5ABA5" w14:textId="77777777" w:rsidR="008E4F29" w:rsidRPr="00A608EE" w:rsidRDefault="008E4F29" w:rsidP="00EE208A">
      <w:pPr>
        <w:jc w:val="both"/>
        <w:rPr>
          <w:rFonts w:asciiTheme="majorHAnsi" w:hAnsiTheme="majorHAnsi"/>
          <w:szCs w:val="20"/>
        </w:rPr>
      </w:pPr>
    </w:p>
    <w:p w14:paraId="23910089" w14:textId="77777777"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Most providers target positive growth rates of their client base and/or portfolio. Average annual growth rates are usually in the range of 5-30%, but they can reach 50% or more in markets where the potential is still very large. Such high growth rates can be appropriate in some contexts—such as when a young provider is expanding its operations—yet they can be very dangerous in others where they can spur client over-indebtedness or weaken the internal control systems of fast-growing providers.</w:t>
      </w:r>
    </w:p>
    <w:p w14:paraId="701BEA6D" w14:textId="77777777" w:rsidR="00AC5908" w:rsidRPr="00A608EE" w:rsidRDefault="00AC5908" w:rsidP="00EE208A">
      <w:pPr>
        <w:jc w:val="both"/>
        <w:rPr>
          <w:rFonts w:asciiTheme="majorHAnsi" w:hAnsiTheme="majorHAnsi"/>
          <w:sz w:val="20"/>
          <w:szCs w:val="20"/>
          <w:lang w:eastAsia="fr-FR"/>
        </w:rPr>
      </w:pPr>
    </w:p>
    <w:p w14:paraId="0CCE4F2E" w14:textId="3BC42DC0"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Regardless of why pursuing growth (e.g., to achieve economies of scale and reach sustainability, to meet social goals of financial inclusion), providers must ensure that their target growth rates are sustainable. Sustainability means growing only as quickly as providers can adapt and expand their quality-control systems, such as employee training and MIS capacity, as well as risk monitoring. Sustainable growth rates will allow to expand while maintaining adequate portfolio quality, providing good customer service, respecting clients’ rights, and giving employees manageable workloads.  </w:t>
      </w:r>
    </w:p>
    <w:p w14:paraId="6091284E" w14:textId="77777777" w:rsidR="00AC5908" w:rsidRPr="00A608EE" w:rsidRDefault="00AC5908" w:rsidP="00EE208A">
      <w:pPr>
        <w:jc w:val="both"/>
        <w:rPr>
          <w:rFonts w:asciiTheme="majorHAnsi" w:hAnsiTheme="majorHAnsi"/>
          <w:szCs w:val="20"/>
          <w:lang w:eastAsia="fr-FR"/>
        </w:rPr>
      </w:pPr>
    </w:p>
    <w:p w14:paraId="61C04F28" w14:textId="5018C02C"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Providers set target growth rates by branch and/or region over a three- to five-year time horizon. During this process, the following factors must be analyzed while keeping in mind the quality of customer service, client protection, and employee satisfaction:</w:t>
      </w:r>
    </w:p>
    <w:p w14:paraId="29A99B42" w14:textId="77777777" w:rsidR="00AC5908" w:rsidRPr="00A608EE" w:rsidRDefault="00AC5908" w:rsidP="00A27AAA">
      <w:pPr>
        <w:numPr>
          <w:ilvl w:val="0"/>
          <w:numId w:val="359"/>
        </w:numPr>
        <w:jc w:val="both"/>
        <w:rPr>
          <w:rFonts w:asciiTheme="majorHAnsi" w:hAnsiTheme="majorHAnsi"/>
          <w:sz w:val="20"/>
          <w:szCs w:val="20"/>
          <w:lang w:eastAsia="fr-FR"/>
        </w:rPr>
      </w:pPr>
      <w:r w:rsidRPr="00A608EE">
        <w:rPr>
          <w:rFonts w:asciiTheme="majorHAnsi" w:hAnsiTheme="majorHAnsi"/>
          <w:sz w:val="20"/>
          <w:szCs w:val="20"/>
          <w:lang w:eastAsia="fr-FR"/>
        </w:rPr>
        <w:t>External factors: client demand, competition, market penetration and saturation, and market infrastructure; and</w:t>
      </w:r>
    </w:p>
    <w:p w14:paraId="6AB5F1C4" w14:textId="77777777" w:rsidR="00AC5908" w:rsidRPr="00A608EE" w:rsidRDefault="00AC5908" w:rsidP="00A27AAA">
      <w:pPr>
        <w:numPr>
          <w:ilvl w:val="0"/>
          <w:numId w:val="359"/>
        </w:numPr>
        <w:jc w:val="both"/>
        <w:rPr>
          <w:rFonts w:asciiTheme="majorHAnsi" w:hAnsiTheme="majorHAnsi"/>
          <w:sz w:val="20"/>
          <w:szCs w:val="20"/>
          <w:lang w:eastAsia="fr-FR"/>
        </w:rPr>
      </w:pPr>
      <w:r w:rsidRPr="00A608EE">
        <w:rPr>
          <w:rFonts w:asciiTheme="majorHAnsi" w:hAnsiTheme="majorHAnsi"/>
          <w:sz w:val="20"/>
          <w:szCs w:val="20"/>
          <w:lang w:eastAsia="fr-FR"/>
        </w:rPr>
        <w:lastRenderedPageBreak/>
        <w:t>Internal factors: internal controls, human resource capability, MIS, and client satisfaction.</w:t>
      </w:r>
    </w:p>
    <w:p w14:paraId="10FCDF8C" w14:textId="77777777" w:rsidR="00AC5908" w:rsidRPr="00A608EE" w:rsidRDefault="00AC5908" w:rsidP="00EE208A">
      <w:pPr>
        <w:jc w:val="both"/>
        <w:rPr>
          <w:rFonts w:asciiTheme="majorHAnsi" w:hAnsiTheme="majorHAnsi"/>
          <w:b/>
          <w:bCs/>
          <w:szCs w:val="20"/>
          <w:lang w:eastAsia="fr-FR"/>
        </w:rPr>
      </w:pPr>
    </w:p>
    <w:p w14:paraId="6108CE48" w14:textId="1E21C7DB" w:rsidR="00AC5908" w:rsidRPr="00A608EE" w:rsidRDefault="00AC5908"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Analyze external factors</w:t>
      </w:r>
    </w:p>
    <w:p w14:paraId="29DE9772" w14:textId="77777777"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For each branch and for each product, client demand, current and future market penetration of competitors, market saturation, and market infrastructure should be analyzed carefully to set sustainable target growth rates. Market information should be segmented by different types of clients and different products because pockets of saturation can exist within an otherwise fairly unsaturated market. Providers should also assess whether an “intensive” or “extensive” growth strategy is most appropriate: an “intensive growth” strategy means adding new clients within existing branches or a limited geographic market, while “extensive growth” strategy focuses on opening new branches and/or entering new markets. In general, more caution is required for intensive growth, which depletes the pool of “good” clients faster than extensive growth. Historical data from the MIX Market shows that intensive growth levels over 168% (growth rate of number of borrowers per branch) are associated with lower portfolio quality; while only extensive growth levels over 631% per year (growth rate of the number of branches per FSP) are associated with worsening portfolio quality. These data do not suggest that providers should never pursue “intensive growth,” but rather consider whether growth in existing branches will promote positive outcomes (e.g., financial inclusion) or may lead to negative outcomes (e.g., client over-indebtedness).</w:t>
      </w:r>
    </w:p>
    <w:p w14:paraId="555DBAD6" w14:textId="77777777" w:rsidR="00AC5908" w:rsidRPr="00A608EE" w:rsidRDefault="00AC5908" w:rsidP="00EE208A">
      <w:pPr>
        <w:jc w:val="both"/>
        <w:rPr>
          <w:rFonts w:asciiTheme="majorHAnsi" w:hAnsiTheme="majorHAnsi"/>
          <w:sz w:val="20"/>
          <w:szCs w:val="20"/>
          <w:lang w:eastAsia="fr-FR"/>
        </w:rPr>
      </w:pPr>
    </w:p>
    <w:p w14:paraId="5B64AA7B" w14:textId="7983EE66"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The table titled </w:t>
      </w:r>
      <w:hyperlink r:id="rId298" w:tgtFrame="_blank" w:history="1">
        <w:r w:rsidRPr="00A608EE">
          <w:rPr>
            <w:rStyle w:val="Hyperlink"/>
            <w:rFonts w:asciiTheme="majorHAnsi" w:hAnsiTheme="majorHAnsi"/>
            <w:sz w:val="20"/>
            <w:szCs w:val="20"/>
            <w:lang w:eastAsia="fr-FR"/>
          </w:rPr>
          <w:t>Analyze External Factors to Inform Your Growth Policy</w:t>
        </w:r>
      </w:hyperlink>
      <w:r w:rsidRPr="00A608EE">
        <w:rPr>
          <w:rFonts w:asciiTheme="majorHAnsi" w:hAnsiTheme="majorHAnsi"/>
          <w:sz w:val="20"/>
          <w:szCs w:val="20"/>
          <w:lang w:eastAsia="fr-FR"/>
        </w:rPr>
        <w:t> sets out the external factors to analyze, the data needed for this analysis (“resources needed”), and what insight to gain from each analysis (“analysis”). Using Global Data to Calculate Market Potential demonstrates how providers can use Global Findex data to help determine their potential market.</w:t>
      </w:r>
    </w:p>
    <w:p w14:paraId="55780C7D" w14:textId="77777777" w:rsidR="00AC5908" w:rsidRPr="00A608EE" w:rsidRDefault="00AC5908" w:rsidP="00EE208A">
      <w:pPr>
        <w:jc w:val="both"/>
        <w:rPr>
          <w:rFonts w:asciiTheme="majorHAnsi" w:hAnsiTheme="majorHAnsi"/>
          <w:sz w:val="20"/>
          <w:szCs w:val="20"/>
          <w:lang w:eastAsia="fr-FR"/>
        </w:rPr>
      </w:pPr>
    </w:p>
    <w:p w14:paraId="3FED281F" w14:textId="09D89926" w:rsidR="00AC5908" w:rsidRPr="00A608EE" w:rsidRDefault="00AC5908"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Analyze internal factors</w:t>
      </w:r>
    </w:p>
    <w:p w14:paraId="0828F546" w14:textId="77777777"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The growth policy must also consider the provider’s internal capacity for balancing growth with service quality. Table </w:t>
      </w:r>
      <w:hyperlink r:id="rId299" w:tgtFrame="_blank" w:history="1">
        <w:r w:rsidRPr="00A608EE">
          <w:rPr>
            <w:rStyle w:val="Hyperlink"/>
            <w:rFonts w:asciiTheme="majorHAnsi" w:hAnsiTheme="majorHAnsi"/>
            <w:sz w:val="20"/>
            <w:szCs w:val="20"/>
            <w:lang w:eastAsia="fr-FR"/>
          </w:rPr>
          <w:t>Analyze Internal Factors to Inform your Growth Policy</w:t>
        </w:r>
      </w:hyperlink>
      <w:r w:rsidRPr="00A608EE">
        <w:rPr>
          <w:rFonts w:asciiTheme="majorHAnsi" w:hAnsiTheme="majorHAnsi"/>
          <w:sz w:val="20"/>
          <w:szCs w:val="20"/>
          <w:lang w:eastAsia="fr-FR"/>
        </w:rPr>
        <w:t> lists the internal factors to examine, and it summarizes the insights to gain from each analysis.</w:t>
      </w:r>
    </w:p>
    <w:p w14:paraId="345DB43F" w14:textId="77777777" w:rsidR="00AC5908" w:rsidRPr="00A608EE" w:rsidRDefault="00AC5908" w:rsidP="00EE208A">
      <w:pPr>
        <w:jc w:val="both"/>
        <w:rPr>
          <w:rFonts w:asciiTheme="majorHAnsi" w:hAnsiTheme="majorHAnsi"/>
          <w:sz w:val="20"/>
          <w:szCs w:val="20"/>
          <w:lang w:eastAsia="fr-FR"/>
        </w:rPr>
      </w:pPr>
    </w:p>
    <w:p w14:paraId="265620E6" w14:textId="1E01566F" w:rsidR="00AC5908" w:rsidRPr="00A608EE" w:rsidRDefault="00AC5908" w:rsidP="00EE208A">
      <w:pPr>
        <w:jc w:val="both"/>
        <w:rPr>
          <w:rFonts w:asciiTheme="majorHAnsi" w:hAnsiTheme="majorHAnsi"/>
          <w:sz w:val="20"/>
          <w:szCs w:val="20"/>
          <w:lang w:eastAsia="fr-FR"/>
        </w:rPr>
      </w:pPr>
      <w:r w:rsidRPr="00A608EE">
        <w:rPr>
          <w:rFonts w:asciiTheme="majorHAnsi" w:hAnsiTheme="majorHAnsi"/>
          <w:sz w:val="20"/>
          <w:szCs w:val="20"/>
          <w:lang w:eastAsia="fr-FR"/>
        </w:rPr>
        <w:t>Field Examples and Resources for 6.A.1</w:t>
      </w:r>
    </w:p>
    <w:p w14:paraId="0F937556" w14:textId="77777777" w:rsidR="00BC60CE" w:rsidRPr="00A608EE" w:rsidRDefault="00BC60CE" w:rsidP="00A27AAA">
      <w:pPr>
        <w:numPr>
          <w:ilvl w:val="0"/>
          <w:numId w:val="38"/>
        </w:numPr>
        <w:jc w:val="both"/>
        <w:rPr>
          <w:rFonts w:asciiTheme="majorHAnsi" w:hAnsiTheme="majorHAnsi"/>
          <w:sz w:val="20"/>
          <w:szCs w:val="20"/>
        </w:rPr>
      </w:pPr>
      <w:hyperlink r:id="rId300" w:history="1">
        <w:r w:rsidRPr="00A608EE">
          <w:rPr>
            <w:rStyle w:val="Hyperlink"/>
            <w:rFonts w:asciiTheme="majorHAnsi" w:hAnsiTheme="majorHAnsi"/>
            <w:color w:val="auto"/>
            <w:sz w:val="20"/>
            <w:szCs w:val="20"/>
          </w:rPr>
          <w:t>Analyze External Factors to Inform your Growth Policy</w:t>
        </w:r>
      </w:hyperlink>
    </w:p>
    <w:p w14:paraId="27092EF3" w14:textId="77777777" w:rsidR="00BC60CE" w:rsidRPr="00A608EE" w:rsidRDefault="00BC60CE" w:rsidP="00A27AAA">
      <w:pPr>
        <w:numPr>
          <w:ilvl w:val="0"/>
          <w:numId w:val="38"/>
        </w:numPr>
        <w:jc w:val="both"/>
        <w:rPr>
          <w:rFonts w:asciiTheme="majorHAnsi" w:hAnsiTheme="majorHAnsi"/>
          <w:sz w:val="20"/>
          <w:szCs w:val="20"/>
        </w:rPr>
      </w:pPr>
      <w:hyperlink r:id="rId301" w:history="1">
        <w:r w:rsidRPr="00A608EE">
          <w:rPr>
            <w:rStyle w:val="Hyperlink"/>
            <w:rFonts w:asciiTheme="majorHAnsi" w:hAnsiTheme="majorHAnsi"/>
            <w:color w:val="auto"/>
            <w:sz w:val="20"/>
            <w:szCs w:val="20"/>
          </w:rPr>
          <w:t>Using Global Data to Calculate Market Potential</w:t>
        </w:r>
      </w:hyperlink>
    </w:p>
    <w:p w14:paraId="265AD76D" w14:textId="77777777" w:rsidR="00BC60CE" w:rsidRPr="00A608EE" w:rsidRDefault="00BC60CE" w:rsidP="00A27AAA">
      <w:pPr>
        <w:numPr>
          <w:ilvl w:val="0"/>
          <w:numId w:val="38"/>
        </w:numPr>
        <w:jc w:val="both"/>
        <w:rPr>
          <w:rFonts w:asciiTheme="majorHAnsi" w:hAnsiTheme="majorHAnsi"/>
          <w:sz w:val="20"/>
          <w:szCs w:val="20"/>
        </w:rPr>
      </w:pPr>
      <w:hyperlink r:id="rId302" w:history="1">
        <w:r w:rsidRPr="00A608EE">
          <w:rPr>
            <w:rStyle w:val="Hyperlink"/>
            <w:rFonts w:asciiTheme="majorHAnsi" w:hAnsiTheme="majorHAnsi"/>
            <w:color w:val="auto"/>
            <w:sz w:val="20"/>
            <w:szCs w:val="20"/>
          </w:rPr>
          <w:t>Analyze Internal Factors to Inform your Growth Policy</w:t>
        </w:r>
      </w:hyperlink>
    </w:p>
    <w:p w14:paraId="3B900E69" w14:textId="77777777" w:rsidR="00AD573C" w:rsidRPr="00A608EE" w:rsidRDefault="00AD573C" w:rsidP="00EE208A">
      <w:pPr>
        <w:pStyle w:val="NormalWeb"/>
        <w:spacing w:before="0" w:beforeAutospacing="0" w:after="0" w:afterAutospacing="0"/>
        <w:jc w:val="both"/>
        <w:rPr>
          <w:rFonts w:asciiTheme="majorHAnsi" w:hAnsiTheme="majorHAnsi"/>
          <w:sz w:val="20"/>
          <w:szCs w:val="20"/>
        </w:rPr>
      </w:pPr>
    </w:p>
    <w:p w14:paraId="07518B7E" w14:textId="77777777" w:rsidR="003452E4" w:rsidRPr="00A608EE" w:rsidRDefault="003452E4" w:rsidP="00EE208A">
      <w:pPr>
        <w:pStyle w:val="NormalWeb"/>
        <w:spacing w:before="0" w:beforeAutospacing="0" w:after="0" w:afterAutospacing="0"/>
        <w:jc w:val="both"/>
        <w:rPr>
          <w:rFonts w:asciiTheme="majorHAnsi" w:hAnsiTheme="majorHAnsi"/>
          <w:sz w:val="20"/>
          <w:szCs w:val="20"/>
        </w:rPr>
      </w:pPr>
    </w:p>
    <w:p w14:paraId="20A73900" w14:textId="6CF61BA8" w:rsidR="008E4F29" w:rsidRPr="00A608EE" w:rsidRDefault="008E4F29" w:rsidP="00EE208A">
      <w:pPr>
        <w:pStyle w:val="Heading4"/>
        <w:spacing w:before="0" w:line="240" w:lineRule="auto"/>
        <w:jc w:val="both"/>
      </w:pPr>
      <w:r w:rsidRPr="00A608EE">
        <w:rPr>
          <w:rStyle w:val="text-primary"/>
        </w:rPr>
        <w:t>6.A.1.3</w:t>
      </w:r>
      <w:r w:rsidRPr="00A608EE">
        <w:t xml:space="preserve"> </w:t>
      </w:r>
      <w:r w:rsidR="00AC5908" w:rsidRPr="00A608EE">
        <w:t>The provider allocates funds and human resources to reinforce the following internal capacities to ensure responsible growth</w:t>
      </w:r>
      <w:r w:rsidR="00194E5F" w:rsidRPr="00A608EE">
        <w:t>:</w:t>
      </w:r>
    </w:p>
    <w:p w14:paraId="49D74DB2" w14:textId="125C00E0" w:rsidR="00AC5908" w:rsidRPr="00A608EE" w:rsidRDefault="00AC5908"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6.A.1.3.1 Internal control mechanisms/internal audit</w:t>
      </w:r>
    </w:p>
    <w:p w14:paraId="63CC8F76" w14:textId="77777777" w:rsidR="00AC5908" w:rsidRPr="00A608EE" w:rsidRDefault="00AC5908"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6.A.1.3.2 Hiring and training employees, and third-party agents as applicable</w:t>
      </w:r>
    </w:p>
    <w:p w14:paraId="420FC0A2" w14:textId="39A88DFD" w:rsidR="00AD573C" w:rsidRPr="00A608EE" w:rsidRDefault="00AC5908"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6.A.1.3.3 Management information system quality and capacity</w:t>
      </w:r>
    </w:p>
    <w:p w14:paraId="627661D9" w14:textId="77777777" w:rsidR="003452E4" w:rsidRPr="00A608EE" w:rsidRDefault="003452E4" w:rsidP="00EE208A">
      <w:pPr>
        <w:pStyle w:val="NormalWeb"/>
        <w:spacing w:before="0" w:beforeAutospacing="0" w:after="0" w:afterAutospacing="0"/>
        <w:jc w:val="both"/>
        <w:rPr>
          <w:rFonts w:ascii="Segoe UI Emoji" w:hAnsi="Segoe UI Emoji" w:cs="Segoe UI Emoji"/>
          <w:b/>
          <w:bCs/>
          <w:sz w:val="20"/>
          <w:szCs w:val="20"/>
        </w:rPr>
      </w:pPr>
    </w:p>
    <w:p w14:paraId="26465EDB" w14:textId="66A508CA" w:rsidR="003452E4" w:rsidRPr="00A608EE" w:rsidRDefault="00E6366C" w:rsidP="00EE208A">
      <w:pPr>
        <w:pStyle w:val="NormalWeb"/>
        <w:spacing w:before="0" w:beforeAutospacing="0" w:after="0" w:afterAutospacing="0"/>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w:t>
      </w:r>
      <w:r w:rsidRPr="00A608EE">
        <w:rPr>
          <w:rFonts w:asciiTheme="majorHAnsi" w:hAnsiTheme="majorHAnsi"/>
          <w:b/>
          <w:bCs/>
          <w:color w:val="2145CC" w:themeColor="accent5" w:themeShade="BF"/>
          <w:szCs w:val="20"/>
        </w:rPr>
        <w:t xml:space="preserve"> </w:t>
      </w:r>
      <w:r w:rsidR="003452E4" w:rsidRPr="00A608EE">
        <w:rPr>
          <w:rFonts w:asciiTheme="majorHAnsi" w:hAnsiTheme="majorHAnsi" w:cstheme="majorHAnsi"/>
          <w:b/>
          <w:bCs/>
          <w:color w:val="2145CC" w:themeColor="accent5" w:themeShade="BF"/>
          <w:sz w:val="20"/>
          <w:szCs w:val="20"/>
        </w:rPr>
        <w:t>SPI5 Entry | 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5E01DA58" w14:textId="77777777" w:rsidR="00E72CFF" w:rsidRPr="00A608EE" w:rsidRDefault="00E72CFF" w:rsidP="00EE208A">
      <w:pPr>
        <w:pStyle w:val="NormalWeb"/>
        <w:spacing w:before="0" w:beforeAutospacing="0" w:after="0" w:afterAutospacing="0"/>
        <w:jc w:val="both"/>
        <w:rPr>
          <w:rFonts w:asciiTheme="majorHAnsi" w:hAnsiTheme="majorHAnsi"/>
          <w:sz w:val="20"/>
          <w:szCs w:val="20"/>
        </w:rPr>
      </w:pPr>
    </w:p>
    <w:p w14:paraId="75EA770B" w14:textId="59BDB627" w:rsidR="00C16BCF" w:rsidRPr="00A608EE" w:rsidRDefault="00C16BCF"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Growth can cause “growing pains” and these details aim to address the main ways in which rapid growth can lead to shortcomings in internal capacity that can affect client protection and customer satisfaction. Providers need sufficient staff, orientation and refresher trainings, data management infrastructure, and monitoring capacity to be able to effectively manage growth while maintaining high standards for client protection. They must ensure that sufficient staff and monetary resources are in place to build and maintain their internal capacity during times of significant growth.</w:t>
      </w:r>
    </w:p>
    <w:p w14:paraId="1E1F728A"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36E2710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14240" behindDoc="1" locked="0" layoutInCell="1" allowOverlap="1" wp14:anchorId="28180BFD" wp14:editId="44701790">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66885228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9874EAF"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75B53AE2" w14:textId="7CBE5814" w:rsidR="00847D81" w:rsidRPr="00A608EE" w:rsidRDefault="00386AB6" w:rsidP="00847D81">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lastRenderedPageBreak/>
        <w:t>DI Indicator:</w:t>
      </w:r>
      <w:r w:rsidRPr="00A608EE">
        <w:rPr>
          <w:rFonts w:ascii="Work Sans" w:hAnsi="Work Sans"/>
          <w:sz w:val="20"/>
          <w:szCs w:val="20"/>
        </w:rPr>
        <w:t xml:space="preserve"> </w:t>
      </w:r>
      <w:r w:rsidR="00847D81" w:rsidRPr="00A608EE">
        <w:rPr>
          <w:rFonts w:asciiTheme="majorHAnsi" w:hAnsiTheme="majorHAnsi"/>
          <w:sz w:val="20"/>
          <w:szCs w:val="20"/>
        </w:rPr>
        <w:t>The provider allocates funds and human resources to reinforce internal capacities for disability inclusion, such as:</w:t>
      </w:r>
    </w:p>
    <w:p w14:paraId="44A0D69A" w14:textId="2736FF81" w:rsidR="00847D81" w:rsidRPr="00A608EE" w:rsidRDefault="00D402B3" w:rsidP="00A27AAA">
      <w:pPr>
        <w:pStyle w:val="NormalWeb"/>
        <w:numPr>
          <w:ilvl w:val="0"/>
          <w:numId w:val="4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w:t>
      </w:r>
      <w:r w:rsidR="00847D81" w:rsidRPr="00A608EE">
        <w:rPr>
          <w:rFonts w:asciiTheme="majorHAnsi" w:hAnsiTheme="majorHAnsi"/>
          <w:sz w:val="20"/>
          <w:szCs w:val="20"/>
        </w:rPr>
        <w:t xml:space="preserve">nclusive hiring and employment practices including provision of reasonable accommodations; </w:t>
      </w:r>
    </w:p>
    <w:p w14:paraId="6955BE5D" w14:textId="780A5736" w:rsidR="00847D81" w:rsidRPr="00A608EE" w:rsidRDefault="00D402B3" w:rsidP="00A27AAA">
      <w:pPr>
        <w:pStyle w:val="NormalWeb"/>
        <w:numPr>
          <w:ilvl w:val="0"/>
          <w:numId w:val="4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w:t>
      </w:r>
      <w:r w:rsidR="00847D81" w:rsidRPr="00A608EE">
        <w:rPr>
          <w:rFonts w:asciiTheme="majorHAnsi" w:hAnsiTheme="majorHAnsi"/>
          <w:sz w:val="20"/>
          <w:szCs w:val="20"/>
        </w:rPr>
        <w:t xml:space="preserve">raining employees and partners on disability inclusion and accessibility; </w:t>
      </w:r>
    </w:p>
    <w:p w14:paraId="4345613F" w14:textId="7F64C8A8" w:rsidR="00C16BCF" w:rsidRPr="00A608EE" w:rsidRDefault="00D402B3" w:rsidP="00A27AAA">
      <w:pPr>
        <w:pStyle w:val="NormalWeb"/>
        <w:numPr>
          <w:ilvl w:val="0"/>
          <w:numId w:val="40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w:t>
      </w:r>
      <w:r w:rsidR="00847D81" w:rsidRPr="00A608EE">
        <w:rPr>
          <w:rFonts w:asciiTheme="majorHAnsi" w:hAnsiTheme="majorHAnsi"/>
          <w:sz w:val="20"/>
          <w:szCs w:val="20"/>
        </w:rPr>
        <w:t>ntegrating disability-related data in management information systems.</w:t>
      </w:r>
    </w:p>
    <w:p w14:paraId="5AAF9013" w14:textId="77777777" w:rsidR="00EB6498" w:rsidRPr="00A608EE" w:rsidRDefault="00EB6498" w:rsidP="00EE208A">
      <w:pPr>
        <w:pStyle w:val="NormalWeb"/>
        <w:spacing w:before="0" w:beforeAutospacing="0" w:after="0" w:afterAutospacing="0"/>
        <w:jc w:val="both"/>
        <w:rPr>
          <w:rFonts w:asciiTheme="majorHAnsi" w:hAnsiTheme="majorHAnsi"/>
          <w:sz w:val="20"/>
          <w:szCs w:val="20"/>
        </w:rPr>
      </w:pPr>
    </w:p>
    <w:p w14:paraId="3EE5D8CF" w14:textId="0E2BD98B" w:rsidR="00C16BCF" w:rsidRPr="00A608EE" w:rsidRDefault="00C16BCF"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12BB41C3" w14:textId="77777777" w:rsidR="00C16BCF" w:rsidRPr="00A608EE" w:rsidRDefault="00C16BCF"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6.A.1.3.1:</w:t>
      </w:r>
    </w:p>
    <w:p w14:paraId="34D69109" w14:textId="77777777" w:rsidR="00C16BCF" w:rsidRPr="00A608EE" w:rsidRDefault="00C16BCF" w:rsidP="00A27AAA">
      <w:pPr>
        <w:pStyle w:val="NormalWeb"/>
        <w:numPr>
          <w:ilvl w:val="0"/>
          <w:numId w:val="36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provider’s internal control and internal audit capabilities keep pace with operational growth in terms of</w:t>
      </w:r>
    </w:p>
    <w:p w14:paraId="2686CCC7" w14:textId="77777777" w:rsidR="00C16BCF" w:rsidRPr="00A608EE" w:rsidRDefault="00C16BCF" w:rsidP="00A27AAA">
      <w:pPr>
        <w:pStyle w:val="NormalWeb"/>
        <w:numPr>
          <w:ilvl w:val="1"/>
          <w:numId w:val="36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maintaining internal control functions in scope and quality at branch level,</w:t>
      </w:r>
    </w:p>
    <w:p w14:paraId="1C6AC536" w14:textId="77777777" w:rsidR="00C16BCF" w:rsidRPr="00A608EE" w:rsidRDefault="00C16BCF" w:rsidP="00A27AAA">
      <w:pPr>
        <w:pStyle w:val="NormalWeb"/>
        <w:numPr>
          <w:ilvl w:val="1"/>
          <w:numId w:val="36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conducting qualified audits of each branch at least annually covering file reviews and interviews of at least 3-5% of total clients.</w:t>
      </w:r>
    </w:p>
    <w:p w14:paraId="471C7711" w14:textId="77777777" w:rsidR="00C16BCF" w:rsidRPr="00A608EE" w:rsidRDefault="00C16BCF" w:rsidP="00A27AAA">
      <w:pPr>
        <w:pStyle w:val="NormalWeb"/>
        <w:numPr>
          <w:ilvl w:val="0"/>
          <w:numId w:val="36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two requirements are not met fully. For instance, at branches with rapid growth over the past 12 months, internal control functions could not be fully maintained or below 3% of total clients were audited.</w:t>
      </w:r>
    </w:p>
    <w:p w14:paraId="2A10A7D6" w14:textId="77777777" w:rsidR="00C16BCF" w:rsidRPr="00A608EE" w:rsidRDefault="00C16BCF" w:rsidP="00A27AAA">
      <w:pPr>
        <w:pStyle w:val="NormalWeb"/>
        <w:numPr>
          <w:ilvl w:val="0"/>
          <w:numId w:val="360"/>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internal control and internal audit capabilities failed to keep pace with operational growth</w:t>
      </w:r>
    </w:p>
    <w:p w14:paraId="28D56D72" w14:textId="77777777" w:rsidR="00C16BCF" w:rsidRPr="00A608EE" w:rsidRDefault="00C16BCF" w:rsidP="00EE208A">
      <w:pPr>
        <w:pStyle w:val="NormalWeb"/>
        <w:spacing w:before="0" w:beforeAutospacing="0" w:after="0" w:afterAutospacing="0"/>
        <w:jc w:val="both"/>
        <w:rPr>
          <w:rFonts w:asciiTheme="majorHAnsi" w:hAnsiTheme="majorHAnsi"/>
          <w:sz w:val="20"/>
          <w:szCs w:val="20"/>
          <w:u w:val="single"/>
        </w:rPr>
      </w:pPr>
    </w:p>
    <w:p w14:paraId="5C037C5B" w14:textId="57B07DC2" w:rsidR="00C16BCF" w:rsidRPr="00A608EE" w:rsidRDefault="00C16BCF"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6.A.1.3.2:</w:t>
      </w:r>
    </w:p>
    <w:p w14:paraId="0CC69111" w14:textId="77777777" w:rsidR="00C16BCF" w:rsidRPr="00A608EE" w:rsidRDefault="00C16BCF" w:rsidP="00A27AAA">
      <w:pPr>
        <w:pStyle w:val="NormalWeb"/>
        <w:numPr>
          <w:ilvl w:val="0"/>
          <w:numId w:val="36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the provider, in keeping pace with operational growth,</w:t>
      </w:r>
    </w:p>
    <w:p w14:paraId="38B80321" w14:textId="77777777" w:rsidR="00C16BCF" w:rsidRPr="00A608EE" w:rsidRDefault="00C16BCF" w:rsidP="00A27AAA">
      <w:pPr>
        <w:pStyle w:val="NormalWeb"/>
        <w:numPr>
          <w:ilvl w:val="1"/>
          <w:numId w:val="36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has sufficient staff (and agents, if applicable) to maintain good client service (i.e. not leave the front line stretched thin, overworked or burned out due to staff shortages. See </w:t>
      </w:r>
      <w:hyperlink r:id="rId303" w:tgtFrame="_blank" w:history="1">
        <w:r w:rsidRPr="00A608EE">
          <w:rPr>
            <w:rStyle w:val="Hyperlink"/>
            <w:rFonts w:asciiTheme="majorHAnsi" w:hAnsiTheme="majorHAnsi"/>
            <w:sz w:val="20"/>
            <w:szCs w:val="20"/>
          </w:rPr>
          <w:t>Guidelines for Case Load Limits</w:t>
        </w:r>
      </w:hyperlink>
      <w:r w:rsidRPr="00A608EE">
        <w:rPr>
          <w:rFonts w:asciiTheme="majorHAnsi" w:hAnsiTheme="majorHAnsi"/>
          <w:sz w:val="20"/>
          <w:szCs w:val="20"/>
        </w:rPr>
        <w:t> for recommended levels for loan officers) and</w:t>
      </w:r>
    </w:p>
    <w:p w14:paraId="065CED8C" w14:textId="77777777" w:rsidR="00C16BCF" w:rsidRPr="00A608EE" w:rsidRDefault="00C16BCF" w:rsidP="00A27AAA">
      <w:pPr>
        <w:pStyle w:val="NormalWeb"/>
        <w:numPr>
          <w:ilvl w:val="1"/>
          <w:numId w:val="36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conducts both a) annual refresher trainings for all existing staff (and agents, if applicable) and b) orientation trainings for all new staff (and agents, if applicable) within three months of their start date.</w:t>
      </w:r>
    </w:p>
    <w:p w14:paraId="3611BE32" w14:textId="77777777" w:rsidR="00C16BCF" w:rsidRPr="00A608EE" w:rsidRDefault="00C16BCF" w:rsidP="00A27AAA">
      <w:pPr>
        <w:pStyle w:val="NormalWeb"/>
        <w:numPr>
          <w:ilvl w:val="0"/>
          <w:numId w:val="36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two requirements are not met fully. For instance, at branches with rapid growth over the past 12 months, staff shortages occurred or not all staff received annual refresher trainings or the orientation trainings for some new staff was shortened.</w:t>
      </w:r>
    </w:p>
    <w:p w14:paraId="61BA4FB1" w14:textId="77777777" w:rsidR="00C16BCF" w:rsidRPr="00A608EE" w:rsidRDefault="00C16BCF" w:rsidP="00A27AAA">
      <w:pPr>
        <w:pStyle w:val="NormalWeb"/>
        <w:numPr>
          <w:ilvl w:val="0"/>
          <w:numId w:val="36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provider failed largely in hiring and/or training staff (and agents, if applicable) while keeping pace with operational growth.</w:t>
      </w:r>
    </w:p>
    <w:p w14:paraId="56518744" w14:textId="77777777" w:rsidR="00C16BCF" w:rsidRPr="00A608EE" w:rsidRDefault="00C16BCF" w:rsidP="00EE208A">
      <w:pPr>
        <w:pStyle w:val="NormalWeb"/>
        <w:spacing w:before="0" w:beforeAutospacing="0" w:after="0" w:afterAutospacing="0"/>
        <w:jc w:val="both"/>
        <w:rPr>
          <w:rFonts w:asciiTheme="majorHAnsi" w:hAnsiTheme="majorHAnsi"/>
          <w:sz w:val="20"/>
          <w:szCs w:val="20"/>
          <w:u w:val="single"/>
        </w:rPr>
      </w:pPr>
    </w:p>
    <w:p w14:paraId="439016BD" w14:textId="1ED46C75" w:rsidR="00C16BCF" w:rsidRPr="00A608EE" w:rsidRDefault="00C16BCF"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u w:val="single"/>
        </w:rPr>
        <w:t>Detail 6.A.1.3.3:</w:t>
      </w:r>
    </w:p>
    <w:p w14:paraId="09C5178C" w14:textId="77777777" w:rsidR="00C16BCF" w:rsidRPr="00A608EE" w:rsidRDefault="00C16BCF" w:rsidP="00A27AAA">
      <w:pPr>
        <w:pStyle w:val="NormalWeb"/>
        <w:numPr>
          <w:ilvl w:val="0"/>
          <w:numId w:val="36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’yes’, if, in keeping pace with operational growth, the MIS capacity allows the provider to</w:t>
      </w:r>
    </w:p>
    <w:p w14:paraId="692502E4" w14:textId="77777777" w:rsidR="00C16BCF" w:rsidRPr="00A608EE" w:rsidRDefault="00C16BCF" w:rsidP="00A27AAA">
      <w:pPr>
        <w:pStyle w:val="NormalWeb"/>
        <w:numPr>
          <w:ilvl w:val="1"/>
          <w:numId w:val="36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keep all social and financial information about all its clients in one stable, secured and complete database (or two databases that are linked by unique client ID) and</w:t>
      </w:r>
    </w:p>
    <w:p w14:paraId="4BECC509" w14:textId="77777777" w:rsidR="00C16BCF" w:rsidRPr="00A608EE" w:rsidRDefault="00C16BCF" w:rsidP="00A27AAA">
      <w:pPr>
        <w:pStyle w:val="NormalWeb"/>
        <w:numPr>
          <w:ilvl w:val="1"/>
          <w:numId w:val="36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monitor regularly the situation of each client, in particular regarding the PAR.</w:t>
      </w:r>
    </w:p>
    <w:p w14:paraId="554FCCCD" w14:textId="77777777" w:rsidR="00C16BCF" w:rsidRPr="00A608EE" w:rsidRDefault="00C16BCF" w:rsidP="00A27AAA">
      <w:pPr>
        <w:pStyle w:val="NormalWeb"/>
        <w:numPr>
          <w:ilvl w:val="0"/>
          <w:numId w:val="36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‘partially’, if the two requirements are not met fully. For instance, the client database is not fully secured with daily back up or not complete as client data input is delayed by a few days.</w:t>
      </w:r>
    </w:p>
    <w:p w14:paraId="7170A8D7" w14:textId="77777777" w:rsidR="00C16BCF" w:rsidRPr="00A608EE" w:rsidRDefault="00C16BCF" w:rsidP="00A27AAA">
      <w:pPr>
        <w:pStyle w:val="NormalWeb"/>
        <w:numPr>
          <w:ilvl w:val="0"/>
          <w:numId w:val="36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Score ‘no’, if the MIS capacity cannot keep up with operational growth.</w:t>
      </w:r>
    </w:p>
    <w:p w14:paraId="0CC171A6" w14:textId="77777777" w:rsidR="00C16BCF" w:rsidRPr="00A608EE" w:rsidRDefault="00C16BCF" w:rsidP="00EE208A">
      <w:pPr>
        <w:pStyle w:val="NormalWeb"/>
        <w:spacing w:before="0" w:beforeAutospacing="0" w:after="0" w:afterAutospacing="0"/>
        <w:jc w:val="both"/>
        <w:rPr>
          <w:rFonts w:asciiTheme="majorHAnsi" w:hAnsiTheme="majorHAnsi"/>
          <w:sz w:val="20"/>
          <w:szCs w:val="20"/>
        </w:rPr>
      </w:pPr>
    </w:p>
    <w:p w14:paraId="0A0A2E2E" w14:textId="743194DD" w:rsidR="00C16BCF" w:rsidRPr="00A608EE" w:rsidRDefault="00C16BCF"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439A47BE" w14:textId="77777777" w:rsidR="00C16BCF" w:rsidRPr="00A608EE" w:rsidRDefault="00C16BCF" w:rsidP="00A27AAA">
      <w:pPr>
        <w:pStyle w:val="NormalWeb"/>
        <w:numPr>
          <w:ilvl w:val="0"/>
          <w:numId w:val="36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the internal audit staff and/or manager.</w:t>
      </w:r>
    </w:p>
    <w:p w14:paraId="10BF243C" w14:textId="77777777" w:rsidR="00C16BCF" w:rsidRPr="00A608EE" w:rsidRDefault="00C16BCF" w:rsidP="00A27AAA">
      <w:pPr>
        <w:pStyle w:val="NormalWeb"/>
        <w:numPr>
          <w:ilvl w:val="0"/>
          <w:numId w:val="36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the IT manager or head of MIS.</w:t>
      </w:r>
    </w:p>
    <w:p w14:paraId="0FDDCDF8" w14:textId="77777777" w:rsidR="00C16BCF" w:rsidRPr="00A608EE" w:rsidRDefault="00C16BCF" w:rsidP="00A27AAA">
      <w:pPr>
        <w:pStyle w:val="NormalWeb"/>
        <w:numPr>
          <w:ilvl w:val="0"/>
          <w:numId w:val="36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the Head of HR and/or Training.</w:t>
      </w:r>
    </w:p>
    <w:p w14:paraId="34983B1C" w14:textId="77777777" w:rsidR="00C16BCF" w:rsidRPr="00A608EE" w:rsidRDefault="00C16BCF" w:rsidP="00EE208A">
      <w:pPr>
        <w:pStyle w:val="NormalWeb"/>
        <w:spacing w:before="0" w:beforeAutospacing="0" w:after="0" w:afterAutospacing="0"/>
        <w:jc w:val="both"/>
        <w:rPr>
          <w:rFonts w:asciiTheme="majorHAnsi" w:hAnsiTheme="majorHAnsi"/>
          <w:sz w:val="20"/>
          <w:szCs w:val="20"/>
        </w:rPr>
      </w:pPr>
    </w:p>
    <w:p w14:paraId="4B335119" w14:textId="5D4ED6ED" w:rsidR="00C16BCF" w:rsidRPr="00A608EE" w:rsidRDefault="00C16BCF"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0ABB1A28" w14:textId="77777777" w:rsidR="00C16BCF" w:rsidRPr="00A608EE" w:rsidRDefault="00C16BCF" w:rsidP="00A27AAA">
      <w:pPr>
        <w:pStyle w:val="NormalWeb"/>
        <w:numPr>
          <w:ilvl w:val="0"/>
          <w:numId w:val="36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How often is each branch visited by the Internal Audit department and what % of clients and/or loan officers receive monitoring visits/calls?</w:t>
      </w:r>
    </w:p>
    <w:p w14:paraId="46E71D7D" w14:textId="77777777" w:rsidR="00C16BCF" w:rsidRPr="00A608EE" w:rsidRDefault="00C16BCF" w:rsidP="00A27AAA">
      <w:pPr>
        <w:pStyle w:val="NormalWeb"/>
        <w:numPr>
          <w:ilvl w:val="0"/>
          <w:numId w:val="36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How often and for how much time per session do staff receive training, what is the rate of turnover in the institution for field staff and overall?</w:t>
      </w:r>
    </w:p>
    <w:p w14:paraId="2B631DA7" w14:textId="77777777" w:rsidR="00C16BCF" w:rsidRPr="00A608EE" w:rsidRDefault="00C16BCF" w:rsidP="00A27AAA">
      <w:pPr>
        <w:pStyle w:val="NormalWeb"/>
        <w:numPr>
          <w:ilvl w:val="0"/>
          <w:numId w:val="36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Whether the MIS is integrated across financial and social performance data.</w:t>
      </w:r>
    </w:p>
    <w:p w14:paraId="285EBED4" w14:textId="77777777" w:rsidR="00C16BCF" w:rsidRPr="00A608EE" w:rsidRDefault="00C16BCF" w:rsidP="00EE208A">
      <w:pPr>
        <w:pStyle w:val="NormalWeb"/>
        <w:spacing w:before="0" w:beforeAutospacing="0" w:after="0" w:afterAutospacing="0"/>
        <w:jc w:val="both"/>
        <w:rPr>
          <w:rFonts w:asciiTheme="majorHAnsi" w:hAnsiTheme="majorHAnsi"/>
          <w:sz w:val="20"/>
          <w:szCs w:val="20"/>
        </w:rPr>
      </w:pPr>
    </w:p>
    <w:p w14:paraId="14754FF6" w14:textId="4F20620F" w:rsidR="00C16BCF" w:rsidRPr="00A608EE" w:rsidRDefault="00C16BCF"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Resources for indicator 6.A.1.3</w:t>
      </w:r>
    </w:p>
    <w:p w14:paraId="79EF2606" w14:textId="006C2E36" w:rsidR="00AD573C" w:rsidRPr="00A608EE" w:rsidRDefault="00E55F3C" w:rsidP="00A27AAA">
      <w:pPr>
        <w:numPr>
          <w:ilvl w:val="0"/>
          <w:numId w:val="39"/>
        </w:numPr>
        <w:jc w:val="both"/>
        <w:rPr>
          <w:rFonts w:asciiTheme="majorHAnsi" w:hAnsiTheme="majorHAnsi"/>
          <w:sz w:val="20"/>
          <w:szCs w:val="20"/>
        </w:rPr>
      </w:pPr>
      <w:hyperlink r:id="rId304" w:history="1">
        <w:r w:rsidRPr="00A608EE">
          <w:rPr>
            <w:rStyle w:val="Hyperlink"/>
            <w:rFonts w:asciiTheme="majorHAnsi" w:hAnsiTheme="majorHAnsi"/>
            <w:color w:val="auto"/>
            <w:sz w:val="20"/>
            <w:szCs w:val="20"/>
          </w:rPr>
          <w:t>Guidelines for Case Load Limits</w:t>
        </w:r>
      </w:hyperlink>
    </w:p>
    <w:p w14:paraId="0D418069" w14:textId="77777777" w:rsidR="003452E4" w:rsidRPr="00A608EE" w:rsidRDefault="003452E4" w:rsidP="00EE208A">
      <w:pPr>
        <w:tabs>
          <w:tab w:val="left" w:pos="720"/>
        </w:tabs>
        <w:jc w:val="both"/>
        <w:rPr>
          <w:rFonts w:asciiTheme="majorHAnsi" w:hAnsiTheme="majorHAnsi"/>
          <w:szCs w:val="20"/>
        </w:rPr>
      </w:pPr>
    </w:p>
    <w:p w14:paraId="76C9819E" w14:textId="77777777" w:rsidR="008E2BC6" w:rsidRPr="00A608EE" w:rsidRDefault="008E2BC6" w:rsidP="00EE208A">
      <w:pPr>
        <w:jc w:val="both"/>
        <w:rPr>
          <w:rFonts w:asciiTheme="majorHAnsi" w:hAnsiTheme="majorHAnsi"/>
          <w:szCs w:val="20"/>
        </w:rPr>
      </w:pPr>
    </w:p>
    <w:p w14:paraId="289746F1" w14:textId="4AE7BFB3" w:rsidR="003C1E14" w:rsidRPr="00A608EE" w:rsidRDefault="003C1E14" w:rsidP="00EE208A">
      <w:pPr>
        <w:jc w:val="both"/>
        <w:rPr>
          <w:rFonts w:asciiTheme="majorHAnsi" w:eastAsiaTheme="majorEastAsia" w:hAnsiTheme="majorHAnsi" w:cstheme="majorHAnsi"/>
          <w:szCs w:val="20"/>
        </w:rPr>
      </w:pPr>
      <w:r w:rsidRPr="00A608EE">
        <w:rPr>
          <w:rFonts w:cstheme="majorHAnsi"/>
          <w:szCs w:val="20"/>
        </w:rPr>
        <w:br w:type="page"/>
      </w:r>
    </w:p>
    <w:p w14:paraId="693A7BD3" w14:textId="3FCE12B7" w:rsidR="00996327" w:rsidRPr="00A608EE" w:rsidRDefault="00996327" w:rsidP="00EE208A">
      <w:pPr>
        <w:pStyle w:val="Heading1"/>
        <w:spacing w:before="0" w:line="240" w:lineRule="auto"/>
        <w:jc w:val="both"/>
      </w:pPr>
      <w:bookmarkStart w:id="103" w:name="_Toc230938823"/>
      <w:r w:rsidRPr="00A608EE">
        <w:lastRenderedPageBreak/>
        <w:t xml:space="preserve">Dimension 7. </w:t>
      </w:r>
      <w:r w:rsidR="00567D3B" w:rsidRPr="00A608EE">
        <w:t>Environmental Performance Management</w:t>
      </w:r>
      <w:bookmarkEnd w:id="103"/>
    </w:p>
    <w:p w14:paraId="653530C9" w14:textId="77777777" w:rsidR="006C3CCD" w:rsidRPr="00A608EE" w:rsidRDefault="006C3CCD" w:rsidP="00EE208A">
      <w:pPr>
        <w:jc w:val="both"/>
        <w:rPr>
          <w:rFonts w:asciiTheme="majorHAnsi" w:hAnsiTheme="majorHAnsi"/>
          <w:szCs w:val="20"/>
        </w:rPr>
      </w:pPr>
    </w:p>
    <w:p w14:paraId="5A508022" w14:textId="6995456C" w:rsidR="00B04432" w:rsidRPr="00A608EE" w:rsidRDefault="00567D3B" w:rsidP="00EE208A">
      <w:pPr>
        <w:jc w:val="both"/>
        <w:rPr>
          <w:rFonts w:asciiTheme="majorHAnsi" w:hAnsiTheme="majorHAnsi"/>
          <w:sz w:val="20"/>
          <w:szCs w:val="20"/>
          <w:lang w:eastAsia="fr-FR"/>
        </w:rPr>
      </w:pPr>
      <w:r w:rsidRPr="00A608EE">
        <w:rPr>
          <w:rFonts w:asciiTheme="majorHAnsi" w:hAnsiTheme="majorHAnsi"/>
          <w:sz w:val="20"/>
          <w:szCs w:val="20"/>
          <w:lang w:eastAsia="fr-FR"/>
        </w:rPr>
        <w:t>In a context where climate change and environmental degradation are already affecting every region of our planet, and in particular the most vulnerable populations, it is clear that financial and social sustainability objectives will not be achieved without considering environmental issues. FSPs should seriously engage in improving their environmental performance, avoiding generating negative environmental impacts and contributing to foster climate change adaptation, environmental risk mitigation and regenerative solutions.</w:t>
      </w:r>
    </w:p>
    <w:p w14:paraId="071B3CE2" w14:textId="77777777" w:rsidR="00567D3B" w:rsidRPr="00A608EE" w:rsidRDefault="00567D3B" w:rsidP="00EE208A">
      <w:pPr>
        <w:pStyle w:val="NormalWeb"/>
        <w:spacing w:before="0" w:beforeAutospacing="0" w:after="0" w:afterAutospacing="0"/>
        <w:jc w:val="both"/>
        <w:rPr>
          <w:rFonts w:asciiTheme="majorHAnsi" w:hAnsiTheme="majorHAnsi"/>
          <w:sz w:val="20"/>
          <w:szCs w:val="20"/>
        </w:rPr>
      </w:pPr>
    </w:p>
    <w:p w14:paraId="2C3F08E0" w14:textId="0719E2B7" w:rsidR="00567D3B" w:rsidRPr="00A608EE" w:rsidRDefault="00567D3B"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Dimension 7, which Cerise+SPTF co-developed with the </w:t>
      </w:r>
      <w:hyperlink r:id="rId305" w:tgtFrame="_blank" w:history="1">
        <w:r w:rsidRPr="00A608EE">
          <w:rPr>
            <w:rStyle w:val="Hyperlink"/>
            <w:rFonts w:asciiTheme="majorHAnsi" w:hAnsiTheme="majorHAnsi"/>
            <w:sz w:val="20"/>
            <w:szCs w:val="20"/>
          </w:rPr>
          <w:t>e-MFP Green Inclusive and Climate Smart Finance Action Group (GICSF-AG)</w:t>
        </w:r>
      </w:hyperlink>
      <w:r w:rsidRPr="00A608EE">
        <w:rPr>
          <w:rFonts w:asciiTheme="majorHAnsi" w:hAnsiTheme="majorHAnsi"/>
          <w:sz w:val="20"/>
          <w:szCs w:val="20"/>
        </w:rPr>
        <w:t>, lays out the key practices that FSPs should implement to manage their environmental performance.*</w:t>
      </w:r>
    </w:p>
    <w:p w14:paraId="578410F9" w14:textId="77777777" w:rsidR="00567D3B" w:rsidRPr="00A608EE" w:rsidRDefault="00567D3B" w:rsidP="00EE208A">
      <w:pPr>
        <w:pStyle w:val="NormalWeb"/>
        <w:spacing w:before="0" w:beforeAutospacing="0" w:after="0" w:afterAutospacing="0"/>
        <w:jc w:val="both"/>
        <w:rPr>
          <w:rFonts w:asciiTheme="majorHAnsi" w:hAnsiTheme="majorHAnsi"/>
          <w:sz w:val="20"/>
          <w:szCs w:val="20"/>
        </w:rPr>
      </w:pPr>
    </w:p>
    <w:p w14:paraId="094442A9" w14:textId="3AFB58A2" w:rsidR="00567D3B" w:rsidRPr="00A608EE" w:rsidRDefault="00567D3B"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dimension has 3 standards:</w:t>
      </w:r>
    </w:p>
    <w:p w14:paraId="1ABDF33C" w14:textId="2E635E33" w:rsidR="00567D3B" w:rsidRPr="00A608EE" w:rsidRDefault="00567D3B" w:rsidP="00A27AAA">
      <w:pPr>
        <w:pStyle w:val="NormalWeb"/>
        <w:numPr>
          <w:ilvl w:val="0"/>
          <w:numId w:val="36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Standard 7A: The provider has an environmental strategy and systems in place to implement it.</w:t>
      </w:r>
    </w:p>
    <w:p w14:paraId="0429143A" w14:textId="6641209A" w:rsidR="00567D3B" w:rsidRPr="00A608EE" w:rsidRDefault="00567D3B" w:rsidP="00A27AAA">
      <w:pPr>
        <w:pStyle w:val="NormalWeb"/>
        <w:numPr>
          <w:ilvl w:val="0"/>
          <w:numId w:val="36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Standard 7B: The provider identifies and manages environmental risks and opportunities.</w:t>
      </w:r>
    </w:p>
    <w:p w14:paraId="36F996DD" w14:textId="0FB149F0" w:rsidR="00567D3B" w:rsidRPr="00A608EE" w:rsidRDefault="00567D3B" w:rsidP="00A27AAA">
      <w:pPr>
        <w:pStyle w:val="NormalWeb"/>
        <w:numPr>
          <w:ilvl w:val="0"/>
          <w:numId w:val="36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Standard 7C: The provider offers financial and non-financial products and services to achieve its environmental goals.</w:t>
      </w:r>
    </w:p>
    <w:p w14:paraId="1581021C" w14:textId="77777777" w:rsidR="00567D3B" w:rsidRPr="00A608EE" w:rsidRDefault="00567D3B" w:rsidP="00EE208A">
      <w:pPr>
        <w:pStyle w:val="NormalWeb"/>
        <w:spacing w:before="0" w:beforeAutospacing="0" w:after="0" w:afterAutospacing="0"/>
        <w:jc w:val="both"/>
        <w:rPr>
          <w:rFonts w:asciiTheme="majorHAnsi" w:hAnsiTheme="majorHAnsi"/>
          <w:i/>
          <w:iCs/>
          <w:sz w:val="20"/>
          <w:szCs w:val="20"/>
        </w:rPr>
      </w:pPr>
    </w:p>
    <w:p w14:paraId="201D730E" w14:textId="03D85703" w:rsidR="00567D3B" w:rsidRPr="00A608EE" w:rsidRDefault="00567D3B"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i/>
          <w:iCs/>
          <w:sz w:val="20"/>
          <w:szCs w:val="20"/>
        </w:rPr>
        <w:t>* Note – The standards and essential practices of Dimension 7 are fully aligned with the Green Index 3.0 developed by the GICSF-AG of e-MFP. The Green Index 3.0 provides an in-depth analysis to providers willing to develop a detailed action plan; Dimension 7 provides a practical analysis for providers willing to develop an action plan consistent with their social performance management strategy, in the frame of the Universal Standards.</w:t>
      </w:r>
    </w:p>
    <w:p w14:paraId="6AEABE69" w14:textId="77777777" w:rsidR="00567D3B" w:rsidRPr="00A608EE" w:rsidRDefault="00567D3B" w:rsidP="00EE208A">
      <w:pPr>
        <w:pStyle w:val="NormalWeb"/>
        <w:spacing w:before="0" w:beforeAutospacing="0" w:after="0" w:afterAutospacing="0"/>
        <w:jc w:val="both"/>
        <w:rPr>
          <w:rFonts w:asciiTheme="majorHAnsi" w:hAnsiTheme="majorHAnsi"/>
          <w:sz w:val="20"/>
          <w:szCs w:val="20"/>
        </w:rPr>
      </w:pPr>
    </w:p>
    <w:p w14:paraId="211B99B7" w14:textId="4A97BCF4" w:rsidR="00273347" w:rsidRPr="00A608EE" w:rsidRDefault="00567D3B"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External Resources for Dimension 7</w:t>
      </w:r>
    </w:p>
    <w:p w14:paraId="75C5ACC0" w14:textId="77777777" w:rsidR="00F415F2" w:rsidRPr="00A608EE" w:rsidRDefault="00F415F2" w:rsidP="00A27AAA">
      <w:pPr>
        <w:pStyle w:val="NormalWeb"/>
        <w:numPr>
          <w:ilvl w:val="0"/>
          <w:numId w:val="50"/>
        </w:numPr>
        <w:spacing w:before="0" w:beforeAutospacing="0" w:after="0" w:afterAutospacing="0"/>
        <w:jc w:val="both"/>
        <w:rPr>
          <w:rFonts w:asciiTheme="majorHAnsi" w:hAnsiTheme="majorHAnsi"/>
          <w:sz w:val="20"/>
          <w:szCs w:val="20"/>
        </w:rPr>
      </w:pPr>
      <w:hyperlink r:id="rId306" w:tgtFrame="_blank" w:history="1">
        <w:r w:rsidRPr="00A608EE">
          <w:rPr>
            <w:rStyle w:val="Hyperlink"/>
            <w:rFonts w:asciiTheme="majorHAnsi" w:hAnsiTheme="majorHAnsi"/>
            <w:sz w:val="20"/>
            <w:szCs w:val="20"/>
          </w:rPr>
          <w:t>GICSF AG webinars on green inclusive and climate-smart finance</w:t>
        </w:r>
      </w:hyperlink>
    </w:p>
    <w:p w14:paraId="3B813DAF" w14:textId="77777777" w:rsidR="00F415F2" w:rsidRPr="00A608EE" w:rsidRDefault="00F415F2" w:rsidP="00A27AAA">
      <w:pPr>
        <w:pStyle w:val="NormalWeb"/>
        <w:numPr>
          <w:ilvl w:val="0"/>
          <w:numId w:val="50"/>
        </w:numPr>
        <w:spacing w:before="0" w:beforeAutospacing="0" w:after="0" w:afterAutospacing="0"/>
        <w:jc w:val="both"/>
        <w:rPr>
          <w:rFonts w:asciiTheme="majorHAnsi" w:hAnsiTheme="majorHAnsi"/>
          <w:sz w:val="20"/>
          <w:szCs w:val="20"/>
        </w:rPr>
      </w:pPr>
      <w:hyperlink r:id="rId307" w:anchor="/papers/search" w:tgtFrame="_blank" w:history="1">
        <w:r w:rsidRPr="00A608EE">
          <w:rPr>
            <w:rStyle w:val="Hyperlink"/>
            <w:rFonts w:asciiTheme="majorHAnsi" w:hAnsiTheme="majorHAnsi"/>
            <w:sz w:val="20"/>
            <w:szCs w:val="20"/>
          </w:rPr>
          <w:t>GICSF AG online library on Green Inclusive and Climate-Smart Finance</w:t>
        </w:r>
      </w:hyperlink>
    </w:p>
    <w:p w14:paraId="682826D5" w14:textId="77777777" w:rsidR="00F415F2" w:rsidRPr="00A608EE" w:rsidRDefault="00F415F2" w:rsidP="00A27AAA">
      <w:pPr>
        <w:pStyle w:val="NormalWeb"/>
        <w:numPr>
          <w:ilvl w:val="0"/>
          <w:numId w:val="50"/>
        </w:numPr>
        <w:spacing w:before="0" w:beforeAutospacing="0" w:after="0" w:afterAutospacing="0"/>
        <w:jc w:val="both"/>
        <w:rPr>
          <w:rFonts w:asciiTheme="majorHAnsi" w:hAnsiTheme="majorHAnsi"/>
          <w:sz w:val="20"/>
          <w:szCs w:val="20"/>
        </w:rPr>
      </w:pPr>
      <w:hyperlink r:id="rId308" w:tgtFrame="_blank" w:history="1">
        <w:r w:rsidRPr="00A608EE">
          <w:rPr>
            <w:rStyle w:val="Hyperlink"/>
            <w:rFonts w:asciiTheme="majorHAnsi" w:hAnsiTheme="majorHAnsi"/>
            <w:sz w:val="20"/>
            <w:szCs w:val="20"/>
          </w:rPr>
          <w:t>European Dialogue - 5th European Microfinance Award - Microfinance and the Environment</w:t>
        </w:r>
      </w:hyperlink>
    </w:p>
    <w:p w14:paraId="6766A56C" w14:textId="77777777" w:rsidR="00F415F2" w:rsidRPr="00A608EE" w:rsidRDefault="00F415F2" w:rsidP="00A27AAA">
      <w:pPr>
        <w:pStyle w:val="NormalWeb"/>
        <w:numPr>
          <w:ilvl w:val="0"/>
          <w:numId w:val="50"/>
        </w:numPr>
        <w:spacing w:before="0" w:beforeAutospacing="0" w:after="0" w:afterAutospacing="0"/>
        <w:jc w:val="both"/>
        <w:rPr>
          <w:rFonts w:asciiTheme="majorHAnsi" w:hAnsiTheme="majorHAnsi"/>
          <w:sz w:val="20"/>
          <w:szCs w:val="20"/>
        </w:rPr>
      </w:pPr>
      <w:hyperlink r:id="rId309">
        <w:r w:rsidRPr="00A608EE">
          <w:rPr>
            <w:rStyle w:val="Hyperlink"/>
            <w:rFonts w:asciiTheme="majorHAnsi" w:hAnsiTheme="majorHAnsi"/>
            <w:sz w:val="20"/>
            <w:szCs w:val="20"/>
          </w:rPr>
          <w:t>Adapting to a New Normal - Strengthening Resilience to Climate Change: Best Practices from the European Microfinance Award 2019</w:t>
        </w:r>
      </w:hyperlink>
    </w:p>
    <w:p w14:paraId="1E3BA720" w14:textId="77777777" w:rsidR="002477C0" w:rsidRPr="00A608EE" w:rsidRDefault="002477C0" w:rsidP="00EE208A">
      <w:pPr>
        <w:jc w:val="both"/>
        <w:rPr>
          <w:rFonts w:asciiTheme="majorHAnsi" w:hAnsiTheme="majorHAnsi"/>
          <w:szCs w:val="20"/>
        </w:rPr>
      </w:pPr>
    </w:p>
    <w:p w14:paraId="135C3BF4" w14:textId="77777777" w:rsidR="00B24C94" w:rsidRPr="00A608EE" w:rsidRDefault="00B24C94" w:rsidP="00EE208A">
      <w:pPr>
        <w:jc w:val="both"/>
        <w:rPr>
          <w:rFonts w:asciiTheme="majorHAnsi" w:hAnsiTheme="majorHAnsi"/>
          <w:szCs w:val="20"/>
        </w:rPr>
      </w:pPr>
    </w:p>
    <w:p w14:paraId="4CB60C92" w14:textId="7C32B35E" w:rsidR="002477C0" w:rsidRPr="00A608EE" w:rsidRDefault="00567D3B" w:rsidP="00EE208A">
      <w:pPr>
        <w:pStyle w:val="Heading2"/>
        <w:spacing w:before="0" w:line="240" w:lineRule="auto"/>
        <w:jc w:val="both"/>
      </w:pPr>
      <w:bookmarkStart w:id="104" w:name="_Toc230938824"/>
      <w:r w:rsidRPr="00A608EE">
        <w:t>Standard 7A. The provider has an environmental strategy and systems in place to implement it.</w:t>
      </w:r>
      <w:bookmarkEnd w:id="104"/>
    </w:p>
    <w:p w14:paraId="5AE3D81A" w14:textId="77777777" w:rsidR="006F0022" w:rsidRPr="00A608EE" w:rsidRDefault="006F0022" w:rsidP="00EE208A">
      <w:pPr>
        <w:jc w:val="both"/>
        <w:rPr>
          <w:rFonts w:asciiTheme="majorHAnsi" w:hAnsiTheme="majorHAnsi"/>
          <w:szCs w:val="20"/>
        </w:rPr>
      </w:pPr>
    </w:p>
    <w:p w14:paraId="0B9480DD" w14:textId="77777777" w:rsidR="00567D3B" w:rsidRPr="00A608EE" w:rsidRDefault="00567D3B" w:rsidP="00EE208A">
      <w:pPr>
        <w:jc w:val="both"/>
        <w:rPr>
          <w:rFonts w:asciiTheme="majorHAnsi" w:hAnsiTheme="majorHAnsi"/>
          <w:sz w:val="20"/>
          <w:szCs w:val="20"/>
          <w:lang w:eastAsia="fr-FR"/>
        </w:rPr>
      </w:pPr>
      <w:r w:rsidRPr="00A608EE">
        <w:rPr>
          <w:rFonts w:asciiTheme="majorHAnsi" w:hAnsiTheme="majorHAnsi"/>
          <w:sz w:val="20"/>
          <w:szCs w:val="20"/>
          <w:lang w:eastAsia="fr-FR"/>
        </w:rPr>
        <w:t>In line with Dimension 1 and Standard 1A expecting the provider to have a strategy to achieve its social goals, having an environmental strategy and systems in place to implement it enables the provider to manage environmental performance in a well-thought, global and systematic way, according to its priorities, context of operations and resources, and in consistency with its financial and social objectives.</w:t>
      </w:r>
    </w:p>
    <w:p w14:paraId="2E325867" w14:textId="77777777" w:rsidR="00567D3B" w:rsidRPr="00A608EE" w:rsidRDefault="00567D3B" w:rsidP="00EE208A">
      <w:pPr>
        <w:jc w:val="both"/>
        <w:rPr>
          <w:rFonts w:asciiTheme="majorHAnsi" w:hAnsiTheme="majorHAnsi"/>
          <w:sz w:val="20"/>
          <w:szCs w:val="20"/>
          <w:lang w:eastAsia="fr-FR"/>
        </w:rPr>
      </w:pPr>
    </w:p>
    <w:p w14:paraId="5B204D44" w14:textId="0732429E" w:rsidR="00567D3B" w:rsidRPr="00A608EE" w:rsidRDefault="00567D3B" w:rsidP="00EE208A">
      <w:pPr>
        <w:jc w:val="both"/>
        <w:rPr>
          <w:rFonts w:asciiTheme="majorHAnsi" w:hAnsiTheme="majorHAnsi"/>
          <w:sz w:val="20"/>
          <w:szCs w:val="20"/>
          <w:lang w:eastAsia="fr-FR"/>
        </w:rPr>
      </w:pPr>
      <w:r w:rsidRPr="00A608EE">
        <w:rPr>
          <w:rFonts w:asciiTheme="majorHAnsi" w:hAnsiTheme="majorHAnsi"/>
          <w:sz w:val="20"/>
          <w:szCs w:val="20"/>
          <w:lang w:eastAsia="fr-FR"/>
        </w:rPr>
        <w:t>This standard has 3 essential practices:</w:t>
      </w:r>
    </w:p>
    <w:p w14:paraId="0140FF46" w14:textId="61555C5C" w:rsidR="00567D3B" w:rsidRPr="00A608EE" w:rsidRDefault="00567D3B" w:rsidP="00A27AAA">
      <w:pPr>
        <w:numPr>
          <w:ilvl w:val="0"/>
          <w:numId w:val="366"/>
        </w:numPr>
        <w:jc w:val="both"/>
        <w:rPr>
          <w:rFonts w:asciiTheme="majorHAnsi" w:hAnsiTheme="majorHAnsi"/>
          <w:sz w:val="20"/>
          <w:szCs w:val="20"/>
          <w:lang w:eastAsia="fr-FR"/>
        </w:rPr>
      </w:pPr>
      <w:r w:rsidRPr="00A608EE">
        <w:rPr>
          <w:rFonts w:asciiTheme="majorHAnsi" w:hAnsiTheme="majorHAnsi"/>
          <w:sz w:val="20"/>
          <w:szCs w:val="20"/>
          <w:lang w:eastAsia="fr-FR"/>
        </w:rPr>
        <w:t>Essential Practice 7.A.1: The provider has a strategy to achieve its environmental goals.</w:t>
      </w:r>
    </w:p>
    <w:p w14:paraId="358DE48A" w14:textId="7E73FD29" w:rsidR="00567D3B" w:rsidRPr="00A608EE" w:rsidRDefault="00567D3B" w:rsidP="00A27AAA">
      <w:pPr>
        <w:numPr>
          <w:ilvl w:val="0"/>
          <w:numId w:val="366"/>
        </w:numPr>
        <w:jc w:val="both"/>
        <w:rPr>
          <w:rFonts w:asciiTheme="majorHAnsi" w:hAnsiTheme="majorHAnsi"/>
          <w:sz w:val="20"/>
          <w:szCs w:val="20"/>
          <w:lang w:eastAsia="fr-FR"/>
        </w:rPr>
      </w:pPr>
      <w:r w:rsidRPr="00A608EE">
        <w:rPr>
          <w:rFonts w:asciiTheme="majorHAnsi" w:hAnsiTheme="majorHAnsi"/>
          <w:sz w:val="20"/>
          <w:szCs w:val="20"/>
          <w:lang w:eastAsia="fr-FR"/>
        </w:rPr>
        <w:t>Essential Practice 7.A.2: The provider collects, analyzes, and reports data that are specific to its environmental goals.</w:t>
      </w:r>
    </w:p>
    <w:p w14:paraId="1F85603F" w14:textId="774F1BF6" w:rsidR="00567D3B" w:rsidRPr="00A608EE" w:rsidRDefault="00567D3B" w:rsidP="00A27AAA">
      <w:pPr>
        <w:numPr>
          <w:ilvl w:val="0"/>
          <w:numId w:val="366"/>
        </w:numPr>
        <w:jc w:val="both"/>
        <w:rPr>
          <w:rFonts w:asciiTheme="majorHAnsi" w:hAnsiTheme="majorHAnsi"/>
          <w:sz w:val="20"/>
          <w:szCs w:val="20"/>
          <w:lang w:eastAsia="fr-FR"/>
        </w:rPr>
      </w:pPr>
      <w:r w:rsidRPr="00A608EE">
        <w:rPr>
          <w:rFonts w:asciiTheme="majorHAnsi" w:hAnsiTheme="majorHAnsi"/>
          <w:sz w:val="20"/>
          <w:szCs w:val="20"/>
          <w:lang w:eastAsia="fr-FR"/>
        </w:rPr>
        <w:t>Essential Practice 7.A.3: The provider's governance and management structure ensures the implementation and oversight of the environmental strategy.</w:t>
      </w:r>
    </w:p>
    <w:p w14:paraId="167E5680" w14:textId="77777777" w:rsidR="00273347" w:rsidRPr="00A608EE" w:rsidRDefault="00273347" w:rsidP="00EE208A">
      <w:pPr>
        <w:jc w:val="both"/>
        <w:rPr>
          <w:rFonts w:asciiTheme="majorHAnsi" w:hAnsiTheme="majorHAnsi"/>
          <w:szCs w:val="20"/>
        </w:rPr>
      </w:pPr>
    </w:p>
    <w:p w14:paraId="198C643A" w14:textId="77777777" w:rsidR="003C1E14" w:rsidRPr="00A608EE" w:rsidRDefault="003C1E14" w:rsidP="00EE208A">
      <w:pPr>
        <w:pStyle w:val="NormalWeb"/>
        <w:spacing w:before="0" w:beforeAutospacing="0" w:after="0" w:afterAutospacing="0"/>
        <w:jc w:val="both"/>
        <w:rPr>
          <w:rFonts w:asciiTheme="majorHAnsi" w:hAnsiTheme="majorHAnsi"/>
          <w:sz w:val="20"/>
          <w:szCs w:val="20"/>
        </w:rPr>
      </w:pPr>
    </w:p>
    <w:p w14:paraId="384F35AB" w14:textId="1E2B3D77" w:rsidR="002477C0" w:rsidRPr="00A608EE" w:rsidRDefault="002477C0" w:rsidP="00EE208A">
      <w:pPr>
        <w:pStyle w:val="Heading3"/>
        <w:spacing w:before="0" w:line="240" w:lineRule="auto"/>
        <w:jc w:val="both"/>
      </w:pPr>
      <w:bookmarkStart w:id="105" w:name="_Toc230938825"/>
      <w:r w:rsidRPr="00A608EE">
        <w:rPr>
          <w:rStyle w:val="text-primary"/>
        </w:rPr>
        <w:lastRenderedPageBreak/>
        <w:t>7.A.2</w:t>
      </w:r>
      <w:r w:rsidRPr="00A608EE">
        <w:t xml:space="preserve"> </w:t>
      </w:r>
      <w:r w:rsidR="00567D3B" w:rsidRPr="00A608EE">
        <w:t>The provider collects, analyzes, and reports data that are specific to its environmental goals</w:t>
      </w:r>
      <w:r w:rsidR="00FE48D8" w:rsidRPr="00A608EE">
        <w:t>.</w:t>
      </w:r>
      <w:bookmarkEnd w:id="105"/>
    </w:p>
    <w:p w14:paraId="62FEF4CE" w14:textId="77777777" w:rsidR="008B741A" w:rsidRPr="00A608EE" w:rsidRDefault="008B741A" w:rsidP="00EE208A">
      <w:pPr>
        <w:jc w:val="both"/>
        <w:rPr>
          <w:rFonts w:asciiTheme="majorHAnsi" w:hAnsiTheme="majorHAnsi"/>
          <w:szCs w:val="20"/>
        </w:rPr>
      </w:pPr>
    </w:p>
    <w:p w14:paraId="7289DE95" w14:textId="626C940D" w:rsidR="007123D8" w:rsidRPr="00A608EE" w:rsidRDefault="00567D3B" w:rsidP="00EE208A">
      <w:pPr>
        <w:pStyle w:val="NormalWeb"/>
        <w:spacing w:before="0" w:beforeAutospacing="0" w:after="0" w:afterAutospacing="0"/>
        <w:jc w:val="both"/>
        <w:rPr>
          <w:rFonts w:asciiTheme="majorHAnsi" w:hAnsiTheme="majorHAnsi" w:cstheme="majorHAnsi"/>
          <w:sz w:val="20"/>
          <w:szCs w:val="20"/>
        </w:rPr>
      </w:pPr>
      <w:r w:rsidRPr="00A608EE">
        <w:rPr>
          <w:rFonts w:asciiTheme="majorHAnsi" w:hAnsiTheme="majorHAnsi"/>
          <w:sz w:val="20"/>
          <w:szCs w:val="20"/>
        </w:rPr>
        <w:t>Collecting, analyzing and reporting environmental performance data is a strong signal that the provider is indeed committed to achieving its environmental goals. It enables the provider to track progress towards objectives, identify gaps, and define follow-up actions to improve its performance. It also allows communicating on results both internally and externally and building an image of environmental responsibility.</w:t>
      </w:r>
    </w:p>
    <w:p w14:paraId="34FB4B32" w14:textId="77777777" w:rsidR="00E67FFA" w:rsidRPr="00A608EE" w:rsidRDefault="00E67FFA" w:rsidP="00EE208A">
      <w:pPr>
        <w:pStyle w:val="NormalWeb"/>
        <w:spacing w:before="0" w:beforeAutospacing="0" w:after="0" w:afterAutospacing="0"/>
        <w:jc w:val="both"/>
        <w:rPr>
          <w:rFonts w:asciiTheme="majorHAnsi" w:hAnsiTheme="majorHAnsi" w:cstheme="majorHAnsi"/>
          <w:sz w:val="20"/>
          <w:szCs w:val="20"/>
        </w:rPr>
      </w:pPr>
    </w:p>
    <w:p w14:paraId="64690559" w14:textId="77777777" w:rsidR="00567D3B" w:rsidRPr="00A608EE" w:rsidRDefault="00567D3B" w:rsidP="00EE208A">
      <w:pPr>
        <w:pStyle w:val="NormalWeb"/>
        <w:spacing w:before="0" w:beforeAutospacing="0" w:after="0" w:afterAutospacing="0"/>
        <w:jc w:val="both"/>
        <w:rPr>
          <w:rFonts w:asciiTheme="majorHAnsi" w:hAnsiTheme="majorHAnsi" w:cstheme="majorHAnsi"/>
          <w:sz w:val="20"/>
          <w:szCs w:val="20"/>
        </w:rPr>
      </w:pPr>
    </w:p>
    <w:p w14:paraId="6AE8F039" w14:textId="64DB6124" w:rsidR="002477C0" w:rsidRPr="00A608EE" w:rsidRDefault="002477C0" w:rsidP="00EE208A">
      <w:pPr>
        <w:pStyle w:val="Heading4"/>
        <w:spacing w:before="0" w:line="240" w:lineRule="auto"/>
        <w:jc w:val="both"/>
      </w:pPr>
      <w:r w:rsidRPr="00A608EE">
        <w:rPr>
          <w:rStyle w:val="text-primary"/>
        </w:rPr>
        <w:t>7.A.2.1</w:t>
      </w:r>
      <w:r w:rsidR="005E79C8" w:rsidRPr="00A608EE">
        <w:t xml:space="preserve"> </w:t>
      </w:r>
      <w:r w:rsidR="00567D3B" w:rsidRPr="00A608EE">
        <w:t>The provider collects the following data on an ongoing basis to measure whether it is achieving its environmental goals. Minimum frequency: annually.</w:t>
      </w:r>
    </w:p>
    <w:p w14:paraId="3B86920D" w14:textId="0C15F07D" w:rsidR="00567D3B" w:rsidRPr="00A608EE" w:rsidRDefault="00567D3B"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7.A.2.1.1 The provider's own adverse impacts on the environment</w:t>
      </w:r>
    </w:p>
    <w:p w14:paraId="349DDDFB" w14:textId="77777777" w:rsidR="00567D3B" w:rsidRPr="00A608EE" w:rsidRDefault="00567D3B"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7.A.2.1.2 Clients' vulnerability to climate change and environmental degradation</w:t>
      </w:r>
    </w:p>
    <w:p w14:paraId="2759B72F" w14:textId="77777777" w:rsidR="00567D3B" w:rsidRPr="00A608EE" w:rsidRDefault="00567D3B"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7.A.2.1.3 Clients' adverse impacts on the environment</w:t>
      </w:r>
    </w:p>
    <w:p w14:paraId="32C0167A" w14:textId="37D5471D" w:rsidR="002477C0" w:rsidRPr="00A608EE" w:rsidRDefault="00567D3B"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szCs w:val="20"/>
        </w:rPr>
        <w:t>7.A.2.1.4 Outcomes related to its green products and services, including both positive and negative changes for clients, their households, and the environment</w:t>
      </w:r>
    </w:p>
    <w:p w14:paraId="547B79E1" w14:textId="77777777" w:rsidR="007123D8" w:rsidRPr="00A608EE" w:rsidRDefault="007123D8" w:rsidP="00EE208A">
      <w:pPr>
        <w:jc w:val="both"/>
        <w:rPr>
          <w:rFonts w:asciiTheme="majorHAnsi" w:hAnsiTheme="majorHAnsi"/>
          <w:szCs w:val="20"/>
        </w:rPr>
      </w:pPr>
    </w:p>
    <w:p w14:paraId="42033A91" w14:textId="44F89E29" w:rsidR="00B24C94" w:rsidRPr="00A608EE" w:rsidRDefault="00E6366C"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B24C94" w:rsidRPr="00A608EE">
        <w:rPr>
          <w:rFonts w:asciiTheme="majorHAnsi" w:hAnsiTheme="majorHAnsi" w:cstheme="majorHAnsi"/>
          <w:b/>
          <w:bCs/>
          <w:color w:val="2145CC" w:themeColor="accent5" w:themeShade="BF"/>
          <w:sz w:val="20"/>
          <w:szCs w:val="20"/>
        </w:rPr>
        <w:t>ALINUS | SPI5 Entry | 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4B1F7965" w14:textId="20849AEF" w:rsidR="00B24C94" w:rsidRPr="00A608EE" w:rsidRDefault="00B24C94" w:rsidP="00EE208A">
      <w:pPr>
        <w:jc w:val="both"/>
        <w:rPr>
          <w:rFonts w:asciiTheme="majorHAnsi" w:hAnsiTheme="majorHAnsi" w:cstheme="majorHAnsi"/>
          <w:b/>
          <w:bCs/>
          <w:color w:val="2145CC" w:themeColor="accent5" w:themeShade="BF"/>
          <w:sz w:val="20"/>
          <w:szCs w:val="20"/>
        </w:rPr>
      </w:pPr>
      <w:r w:rsidRPr="00A608EE">
        <w:rPr>
          <w:rFonts w:asciiTheme="majorHAnsi" w:hAnsiTheme="majorHAnsi" w:cstheme="majorHAnsi"/>
          <w:b/>
          <w:bCs/>
          <w:color w:val="2145CC" w:themeColor="accent5" w:themeShade="BF"/>
          <w:sz w:val="20"/>
          <w:szCs w:val="20"/>
        </w:rPr>
        <w:t>D</w:t>
      </w:r>
      <w:r w:rsidR="00E6366C" w:rsidRPr="00A608EE">
        <w:rPr>
          <w:rFonts w:asciiTheme="majorHAnsi" w:hAnsiTheme="majorHAnsi" w:cstheme="majorHAnsi"/>
          <w:b/>
          <w:bCs/>
          <w:color w:val="2145CC" w:themeColor="accent5" w:themeShade="BF"/>
          <w:sz w:val="20"/>
          <w:szCs w:val="20"/>
        </w:rPr>
        <w:t>e</w:t>
      </w:r>
      <w:r w:rsidRPr="00A608EE">
        <w:rPr>
          <w:rFonts w:asciiTheme="majorHAnsi" w:hAnsiTheme="majorHAnsi" w:cstheme="majorHAnsi"/>
          <w:b/>
          <w:bCs/>
          <w:color w:val="2145CC" w:themeColor="accent5" w:themeShade="BF"/>
          <w:sz w:val="20"/>
          <w:szCs w:val="20"/>
        </w:rPr>
        <w:t>tail 7.A.2.1.4: SPI5 Full</w:t>
      </w:r>
    </w:p>
    <w:p w14:paraId="672999EE" w14:textId="17A45ECC" w:rsidR="00B24C94" w:rsidRPr="00A608EE" w:rsidRDefault="00847D81"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75908D0D" w14:textId="6C81C374" w:rsidR="00567D3B" w:rsidRPr="00A608EE" w:rsidRDefault="00567D3B" w:rsidP="00EE208A">
      <w:pPr>
        <w:jc w:val="both"/>
        <w:rPr>
          <w:rFonts w:asciiTheme="majorHAnsi" w:hAnsiTheme="majorHAnsi"/>
          <w:sz w:val="20"/>
          <w:szCs w:val="20"/>
          <w:lang w:eastAsia="fr-FR"/>
        </w:rPr>
      </w:pPr>
      <w:r w:rsidRPr="00A608EE">
        <w:rPr>
          <w:rFonts w:asciiTheme="majorHAnsi" w:hAnsiTheme="majorHAnsi"/>
          <w:sz w:val="20"/>
          <w:szCs w:val="20"/>
          <w:lang w:eastAsia="fr-FR"/>
        </w:rPr>
        <w:t>Collecting data is critical to monitor progress towards environmental goals, identify gaps, and define follow-up actions to improve environmental performance. The provider should have a formal process to collect quality data on a regular basis (at least annually) for each of the environmental goals defined by the provider. In particular, the providers should collect data on its internal ecological footprint (i.e. its own adverse impacts on the environment / the negative impacts generated at the level of the provider’s head office and branches) and on environmental risks at portfolio level (i.e. clients’ vulnerabilities to climate change and environmental degradation and clients’ adverse impacts on the environment). When a provider offers “green” products and services, it is also important to measure not only the outreach, but also the outcomes of these products and services, in order to check that they do bring the expected benefits to clients, their households, and the environment.</w:t>
      </w:r>
    </w:p>
    <w:p w14:paraId="25F167E8" w14:textId="77777777" w:rsidR="00672763" w:rsidRPr="00A608EE" w:rsidRDefault="00672763" w:rsidP="00EE208A">
      <w:pPr>
        <w:jc w:val="both"/>
        <w:rPr>
          <w:rFonts w:asciiTheme="majorHAnsi" w:hAnsiTheme="majorHAnsi"/>
          <w:sz w:val="20"/>
          <w:szCs w:val="20"/>
          <w:lang w:eastAsia="fr-FR"/>
        </w:rPr>
      </w:pPr>
    </w:p>
    <w:p w14:paraId="25449937"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16288" behindDoc="1" locked="0" layoutInCell="1" allowOverlap="1" wp14:anchorId="53B6A134" wp14:editId="2E6DC6CB">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94469455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966BBEE" w14:textId="77777777" w:rsidR="00672763" w:rsidRPr="00A608EE" w:rsidRDefault="00672763" w:rsidP="00EE208A">
      <w:pPr>
        <w:jc w:val="both"/>
        <w:rPr>
          <w:rFonts w:asciiTheme="majorHAnsi" w:hAnsiTheme="majorHAnsi"/>
          <w:sz w:val="20"/>
          <w:szCs w:val="20"/>
          <w:lang w:eastAsia="fr-FR"/>
        </w:rPr>
      </w:pPr>
    </w:p>
    <w:p w14:paraId="017072E1" w14:textId="642E52C7" w:rsidR="00847D81" w:rsidRPr="00A608EE" w:rsidRDefault="00386AB6" w:rsidP="00847D81">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847D81" w:rsidRPr="00A608EE">
        <w:rPr>
          <w:rFonts w:asciiTheme="majorHAnsi" w:hAnsiTheme="majorHAnsi"/>
          <w:sz w:val="20"/>
          <w:szCs w:val="20"/>
          <w:lang w:eastAsia="fr-FR"/>
        </w:rPr>
        <w:t>The provider collects, analyzes and reports data on clients' vulnerability to climate change disaggregated by gender, age and disability status.</w:t>
      </w:r>
    </w:p>
    <w:p w14:paraId="39FB4070" w14:textId="51F3D417" w:rsidR="00847D81" w:rsidRPr="00A608EE" w:rsidRDefault="00847D81" w:rsidP="00847D81">
      <w:pPr>
        <w:jc w:val="both"/>
        <w:rPr>
          <w:rFonts w:asciiTheme="majorHAnsi" w:hAnsiTheme="majorHAnsi"/>
          <w:sz w:val="20"/>
          <w:szCs w:val="20"/>
          <w:lang w:eastAsia="fr-FR"/>
        </w:rPr>
      </w:pPr>
      <w:r w:rsidRPr="00A608EE">
        <w:rPr>
          <w:rFonts w:asciiTheme="majorHAnsi" w:hAnsiTheme="majorHAnsi"/>
          <w:sz w:val="20"/>
          <w:szCs w:val="20"/>
          <w:lang w:eastAsia="fr-FR"/>
        </w:rPr>
        <w:t>The provider collects, analyzes and reports data on client outcomes related to its green products and services disaggregated by gender, age and disability status.</w:t>
      </w:r>
    </w:p>
    <w:p w14:paraId="32A69862" w14:textId="77777777" w:rsidR="00A772A7" w:rsidRPr="00A608EE" w:rsidRDefault="00A772A7" w:rsidP="00847D81">
      <w:pPr>
        <w:jc w:val="both"/>
        <w:rPr>
          <w:rFonts w:asciiTheme="majorHAnsi" w:hAnsiTheme="majorHAnsi"/>
          <w:sz w:val="20"/>
          <w:szCs w:val="20"/>
          <w:lang w:eastAsia="fr-FR"/>
        </w:rPr>
      </w:pPr>
    </w:p>
    <w:p w14:paraId="61378D89" w14:textId="7728A98B" w:rsidR="009B6060" w:rsidRPr="00A608EE" w:rsidRDefault="009B6060" w:rsidP="00847D81">
      <w:pPr>
        <w:jc w:val="both"/>
        <w:rPr>
          <w:rFonts w:asciiTheme="majorHAnsi" w:hAnsiTheme="majorHAnsi"/>
          <w:sz w:val="20"/>
          <w:szCs w:val="20"/>
          <w:lang w:eastAsia="fr-FR"/>
        </w:rPr>
      </w:pPr>
      <w:r w:rsidRPr="00A608EE">
        <w:rPr>
          <w:noProof/>
        </w:rPr>
        <mc:AlternateContent>
          <mc:Choice Requires="wps">
            <w:drawing>
              <wp:anchor distT="0" distB="0" distL="114300" distR="114300" simplePos="0" relativeHeight="251771904" behindDoc="0" locked="0" layoutInCell="1" allowOverlap="1" wp14:anchorId="6DFD2DDB" wp14:editId="10B6A3C0">
                <wp:simplePos x="0" y="0"/>
                <wp:positionH relativeFrom="column">
                  <wp:posOffset>0</wp:posOffset>
                </wp:positionH>
                <wp:positionV relativeFrom="paragraph">
                  <wp:posOffset>127000</wp:posOffset>
                </wp:positionV>
                <wp:extent cx="1828800" cy="1828800"/>
                <wp:effectExtent l="0" t="0" r="24130" b="15875"/>
                <wp:wrapSquare wrapText="bothSides"/>
                <wp:docPr id="1223862931"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3F2F2B5" w14:textId="035B6543" w:rsidR="007C6B8F" w:rsidRPr="00820B09" w:rsidRDefault="0084416A" w:rsidP="007C6B8F">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7C6B8F" w:rsidRPr="00820B09">
                              <w:rPr>
                                <w:rFonts w:asciiTheme="majorHAnsi" w:hAnsiTheme="majorHAnsi"/>
                                <w:b/>
                                <w:bCs/>
                                <w:sz w:val="20"/>
                                <w:szCs w:val="20"/>
                                <w:lang w:eastAsia="fr-FR"/>
                              </w:rPr>
                              <w:t>7.A.2.1</w:t>
                            </w:r>
                          </w:p>
                          <w:p w14:paraId="090EAB9E" w14:textId="77777777" w:rsidR="009B6060" w:rsidRPr="00820B09" w:rsidRDefault="009B6060" w:rsidP="009B6060">
                            <w:pPr>
                              <w:jc w:val="both"/>
                              <w:rPr>
                                <w:rFonts w:asciiTheme="majorHAnsi" w:hAnsiTheme="majorHAnsi"/>
                                <w:sz w:val="20"/>
                                <w:szCs w:val="20"/>
                                <w:lang w:eastAsia="fr-FR"/>
                              </w:rPr>
                            </w:pPr>
                          </w:p>
                          <w:p w14:paraId="70935933" w14:textId="77777777" w:rsidR="00F51EE7" w:rsidRPr="00820B09" w:rsidRDefault="009B6060" w:rsidP="009B6060">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vulnerable to the impacts of climate-change, and are at greater risk during climate-related disasters and emergencies. It is therefore important that the provider includes persons with </w:t>
                            </w:r>
                            <w:r w:rsidR="00F51EE7" w:rsidRPr="00820B09">
                              <w:rPr>
                                <w:rFonts w:asciiTheme="majorHAnsi" w:hAnsiTheme="majorHAnsi"/>
                                <w:sz w:val="20"/>
                                <w:szCs w:val="20"/>
                                <w:lang w:eastAsia="fr-FR"/>
                              </w:rPr>
                              <w:t xml:space="preserve">diverse </w:t>
                            </w:r>
                            <w:r w:rsidRPr="00820B09">
                              <w:rPr>
                                <w:rFonts w:asciiTheme="majorHAnsi" w:hAnsiTheme="majorHAnsi"/>
                                <w:sz w:val="20"/>
                                <w:szCs w:val="20"/>
                                <w:lang w:eastAsia="fr-FR"/>
                              </w:rPr>
                              <w:t xml:space="preserve">disabilities in </w:t>
                            </w:r>
                            <w:r w:rsidR="00F51EE7" w:rsidRPr="00820B09">
                              <w:rPr>
                                <w:rFonts w:asciiTheme="majorHAnsi" w:hAnsiTheme="majorHAnsi"/>
                                <w:sz w:val="20"/>
                                <w:szCs w:val="20"/>
                                <w:lang w:eastAsia="fr-FR"/>
                              </w:rPr>
                              <w:t xml:space="preserve">data </w:t>
                            </w:r>
                            <w:r w:rsidRPr="00820B09">
                              <w:rPr>
                                <w:rFonts w:asciiTheme="majorHAnsi" w:hAnsiTheme="majorHAnsi"/>
                                <w:sz w:val="20"/>
                                <w:szCs w:val="20"/>
                                <w:lang w:eastAsia="fr-FR"/>
                              </w:rPr>
                              <w:t>collecti</w:t>
                            </w:r>
                            <w:r w:rsidR="00F51EE7" w:rsidRPr="00820B09">
                              <w:rPr>
                                <w:rFonts w:asciiTheme="majorHAnsi" w:hAnsiTheme="majorHAnsi"/>
                                <w:sz w:val="20"/>
                                <w:szCs w:val="20"/>
                                <w:lang w:eastAsia="fr-FR"/>
                              </w:rPr>
                              <w:t>on</w:t>
                            </w:r>
                            <w:r w:rsidRPr="00820B09">
                              <w:rPr>
                                <w:rFonts w:asciiTheme="majorHAnsi" w:hAnsiTheme="majorHAnsi"/>
                                <w:sz w:val="20"/>
                                <w:szCs w:val="20"/>
                                <w:lang w:eastAsia="fr-FR"/>
                              </w:rPr>
                              <w:t>, analy</w:t>
                            </w:r>
                            <w:r w:rsidR="00F51EE7" w:rsidRPr="00820B09">
                              <w:rPr>
                                <w:rFonts w:asciiTheme="majorHAnsi" w:hAnsiTheme="majorHAnsi"/>
                                <w:sz w:val="20"/>
                                <w:szCs w:val="20"/>
                                <w:lang w:eastAsia="fr-FR"/>
                              </w:rPr>
                              <w:t>sis</w:t>
                            </w:r>
                            <w:r w:rsidRPr="00820B09">
                              <w:rPr>
                                <w:rFonts w:asciiTheme="majorHAnsi" w:hAnsiTheme="majorHAnsi"/>
                                <w:sz w:val="20"/>
                                <w:szCs w:val="20"/>
                                <w:lang w:eastAsia="fr-FR"/>
                              </w:rPr>
                              <w:t xml:space="preserve"> and reporting </w:t>
                            </w:r>
                            <w:r w:rsidR="00F51EE7" w:rsidRPr="00820B09">
                              <w:rPr>
                                <w:rFonts w:asciiTheme="majorHAnsi" w:hAnsiTheme="majorHAnsi"/>
                                <w:sz w:val="20"/>
                                <w:szCs w:val="20"/>
                                <w:lang w:eastAsia="fr-FR"/>
                              </w:rPr>
                              <w:t xml:space="preserve">relating to </w:t>
                            </w:r>
                            <w:r w:rsidRPr="00820B09">
                              <w:rPr>
                                <w:rFonts w:asciiTheme="majorHAnsi" w:hAnsiTheme="majorHAnsi"/>
                                <w:sz w:val="20"/>
                                <w:szCs w:val="20"/>
                                <w:lang w:eastAsia="fr-FR"/>
                              </w:rPr>
                              <w:t>clients' vulnerability to climate change</w:t>
                            </w:r>
                            <w:r w:rsidR="00F51EE7" w:rsidRPr="00820B09">
                              <w:rPr>
                                <w:rFonts w:asciiTheme="majorHAnsi" w:hAnsiTheme="majorHAnsi"/>
                                <w:sz w:val="20"/>
                                <w:szCs w:val="20"/>
                                <w:lang w:eastAsia="fr-FR"/>
                              </w:rPr>
                              <w:t xml:space="preserve"> and client outcomes, in order to design effective responses.  Collect and analyze gender=, age- and disability-disaggregated data, in order to identify intersectional vulnerabilities. </w:t>
                            </w:r>
                          </w:p>
                          <w:p w14:paraId="16B43548" w14:textId="77777777" w:rsidR="00F51EE7" w:rsidRPr="00820B09" w:rsidRDefault="00F51EE7" w:rsidP="009B6060">
                            <w:pPr>
                              <w:jc w:val="both"/>
                              <w:rPr>
                                <w:rFonts w:asciiTheme="majorHAnsi" w:hAnsiTheme="majorHAnsi"/>
                                <w:sz w:val="20"/>
                                <w:szCs w:val="20"/>
                                <w:lang w:eastAsia="fr-FR"/>
                              </w:rPr>
                            </w:pPr>
                          </w:p>
                          <w:p w14:paraId="2A7CB951" w14:textId="6A8F4E1A" w:rsidR="009B6060" w:rsidRPr="00820B09" w:rsidRDefault="00F51EE7" w:rsidP="009B6060">
                            <w:pPr>
                              <w:jc w:val="both"/>
                              <w:rPr>
                                <w:rFonts w:asciiTheme="majorHAnsi" w:hAnsiTheme="majorHAnsi"/>
                                <w:sz w:val="20"/>
                                <w:szCs w:val="20"/>
                                <w:lang w:eastAsia="fr-FR"/>
                              </w:rPr>
                            </w:pPr>
                            <w:r w:rsidRPr="00820B09">
                              <w:rPr>
                                <w:rFonts w:asciiTheme="majorHAnsi" w:hAnsiTheme="majorHAnsi"/>
                                <w:sz w:val="20"/>
                                <w:szCs w:val="20"/>
                                <w:lang w:eastAsia="fr-FR"/>
                              </w:rPr>
                              <w:t xml:space="preserve">See indicator 1.B.1.3 for more information about tools and methodologies for disability data collection and analysis. </w:t>
                            </w:r>
                          </w:p>
                          <w:p w14:paraId="1F7D74EA" w14:textId="39A32254" w:rsidR="009B6060" w:rsidRPr="00820B09" w:rsidRDefault="009B6060" w:rsidP="009B6060">
                            <w:pPr>
                              <w:jc w:val="both"/>
                              <w:rPr>
                                <w:rFonts w:asciiTheme="majorHAnsi" w:hAnsiTheme="majorHAnsi"/>
                                <w:sz w:val="20"/>
                                <w:szCs w:val="20"/>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DFD2DDB" id="_x0000_s1071" type="#_x0000_t202" style="position:absolute;left:0;text-align:left;margin-left:0;margin-top:10pt;width:2in;height:2in;z-index:2517719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" filled="f" strokeweight=".5pt">
                <v:textbox style="mso-fit-shape-to-text:t">
                  <w:txbxContent>
                    <w:p w14:paraId="33F2F2B5" w14:textId="035B6543" w:rsidR="007C6B8F" w:rsidRPr="00820B09" w:rsidRDefault="0084416A" w:rsidP="007C6B8F">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7C6B8F" w:rsidRPr="00820B09">
                        <w:rPr>
                          <w:rFonts w:asciiTheme="majorHAnsi" w:hAnsiTheme="majorHAnsi"/>
                          <w:b/>
                          <w:bCs/>
                          <w:sz w:val="20"/>
                          <w:szCs w:val="20"/>
                          <w:lang w:eastAsia="fr-FR"/>
                        </w:rPr>
                        <w:t>7.A.2.1</w:t>
                      </w:r>
                    </w:p>
                    <w:p w14:paraId="090EAB9E" w14:textId="77777777" w:rsidR="009B6060" w:rsidRPr="00820B09" w:rsidRDefault="009B6060" w:rsidP="009B6060">
                      <w:pPr>
                        <w:jc w:val="both"/>
                        <w:rPr>
                          <w:rFonts w:asciiTheme="majorHAnsi" w:hAnsiTheme="majorHAnsi"/>
                          <w:sz w:val="20"/>
                          <w:szCs w:val="20"/>
                          <w:lang w:eastAsia="fr-FR"/>
                        </w:rPr>
                      </w:pPr>
                    </w:p>
                    <w:p w14:paraId="70935933" w14:textId="77777777" w:rsidR="00F51EE7" w:rsidRPr="00820B09" w:rsidRDefault="009B6060" w:rsidP="009B6060">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vulnerable to the impacts of climate-change, and are at greater risk during climate-related disasters and emergencies. It is therefore important that the provider includes persons with </w:t>
                      </w:r>
                      <w:r w:rsidR="00F51EE7" w:rsidRPr="00820B09">
                        <w:rPr>
                          <w:rFonts w:asciiTheme="majorHAnsi" w:hAnsiTheme="majorHAnsi"/>
                          <w:sz w:val="20"/>
                          <w:szCs w:val="20"/>
                          <w:lang w:eastAsia="fr-FR"/>
                        </w:rPr>
                        <w:t xml:space="preserve">diverse </w:t>
                      </w:r>
                      <w:r w:rsidRPr="00820B09">
                        <w:rPr>
                          <w:rFonts w:asciiTheme="majorHAnsi" w:hAnsiTheme="majorHAnsi"/>
                          <w:sz w:val="20"/>
                          <w:szCs w:val="20"/>
                          <w:lang w:eastAsia="fr-FR"/>
                        </w:rPr>
                        <w:t xml:space="preserve">disabilities in </w:t>
                      </w:r>
                      <w:r w:rsidR="00F51EE7" w:rsidRPr="00820B09">
                        <w:rPr>
                          <w:rFonts w:asciiTheme="majorHAnsi" w:hAnsiTheme="majorHAnsi"/>
                          <w:sz w:val="20"/>
                          <w:szCs w:val="20"/>
                          <w:lang w:eastAsia="fr-FR"/>
                        </w:rPr>
                        <w:t xml:space="preserve">data </w:t>
                      </w:r>
                      <w:r w:rsidRPr="00820B09">
                        <w:rPr>
                          <w:rFonts w:asciiTheme="majorHAnsi" w:hAnsiTheme="majorHAnsi"/>
                          <w:sz w:val="20"/>
                          <w:szCs w:val="20"/>
                          <w:lang w:eastAsia="fr-FR"/>
                        </w:rPr>
                        <w:t>collecti</w:t>
                      </w:r>
                      <w:r w:rsidR="00F51EE7" w:rsidRPr="00820B09">
                        <w:rPr>
                          <w:rFonts w:asciiTheme="majorHAnsi" w:hAnsiTheme="majorHAnsi"/>
                          <w:sz w:val="20"/>
                          <w:szCs w:val="20"/>
                          <w:lang w:eastAsia="fr-FR"/>
                        </w:rPr>
                        <w:t>on</w:t>
                      </w:r>
                      <w:r w:rsidRPr="00820B09">
                        <w:rPr>
                          <w:rFonts w:asciiTheme="majorHAnsi" w:hAnsiTheme="majorHAnsi"/>
                          <w:sz w:val="20"/>
                          <w:szCs w:val="20"/>
                          <w:lang w:eastAsia="fr-FR"/>
                        </w:rPr>
                        <w:t>, analy</w:t>
                      </w:r>
                      <w:r w:rsidR="00F51EE7" w:rsidRPr="00820B09">
                        <w:rPr>
                          <w:rFonts w:asciiTheme="majorHAnsi" w:hAnsiTheme="majorHAnsi"/>
                          <w:sz w:val="20"/>
                          <w:szCs w:val="20"/>
                          <w:lang w:eastAsia="fr-FR"/>
                        </w:rPr>
                        <w:t>sis</w:t>
                      </w:r>
                      <w:r w:rsidRPr="00820B09">
                        <w:rPr>
                          <w:rFonts w:asciiTheme="majorHAnsi" w:hAnsiTheme="majorHAnsi"/>
                          <w:sz w:val="20"/>
                          <w:szCs w:val="20"/>
                          <w:lang w:eastAsia="fr-FR"/>
                        </w:rPr>
                        <w:t xml:space="preserve"> and reporting </w:t>
                      </w:r>
                      <w:r w:rsidR="00F51EE7" w:rsidRPr="00820B09">
                        <w:rPr>
                          <w:rFonts w:asciiTheme="majorHAnsi" w:hAnsiTheme="majorHAnsi"/>
                          <w:sz w:val="20"/>
                          <w:szCs w:val="20"/>
                          <w:lang w:eastAsia="fr-FR"/>
                        </w:rPr>
                        <w:t xml:space="preserve">relating to </w:t>
                      </w:r>
                      <w:r w:rsidRPr="00820B09">
                        <w:rPr>
                          <w:rFonts w:asciiTheme="majorHAnsi" w:hAnsiTheme="majorHAnsi"/>
                          <w:sz w:val="20"/>
                          <w:szCs w:val="20"/>
                          <w:lang w:eastAsia="fr-FR"/>
                        </w:rPr>
                        <w:t>clients' vulnerability to climate change</w:t>
                      </w:r>
                      <w:r w:rsidR="00F51EE7" w:rsidRPr="00820B09">
                        <w:rPr>
                          <w:rFonts w:asciiTheme="majorHAnsi" w:hAnsiTheme="majorHAnsi"/>
                          <w:sz w:val="20"/>
                          <w:szCs w:val="20"/>
                          <w:lang w:eastAsia="fr-FR"/>
                        </w:rPr>
                        <w:t xml:space="preserve"> and client outcomes, in order to design effective responses.  Collect and analyze gender=, age- and disability-disaggregated data, in order to identify intersectional vulnerabilities. </w:t>
                      </w:r>
                    </w:p>
                    <w:p w14:paraId="16B43548" w14:textId="77777777" w:rsidR="00F51EE7" w:rsidRPr="00820B09" w:rsidRDefault="00F51EE7" w:rsidP="009B6060">
                      <w:pPr>
                        <w:jc w:val="both"/>
                        <w:rPr>
                          <w:rFonts w:asciiTheme="majorHAnsi" w:hAnsiTheme="majorHAnsi"/>
                          <w:sz w:val="20"/>
                          <w:szCs w:val="20"/>
                          <w:lang w:eastAsia="fr-FR"/>
                        </w:rPr>
                      </w:pPr>
                    </w:p>
                    <w:p w14:paraId="2A7CB951" w14:textId="6A8F4E1A" w:rsidR="009B6060" w:rsidRPr="00820B09" w:rsidRDefault="00F51EE7" w:rsidP="009B6060">
                      <w:pPr>
                        <w:jc w:val="both"/>
                        <w:rPr>
                          <w:rFonts w:asciiTheme="majorHAnsi" w:hAnsiTheme="majorHAnsi"/>
                          <w:sz w:val="20"/>
                          <w:szCs w:val="20"/>
                          <w:lang w:eastAsia="fr-FR"/>
                        </w:rPr>
                      </w:pPr>
                      <w:r w:rsidRPr="00820B09">
                        <w:rPr>
                          <w:rFonts w:asciiTheme="majorHAnsi" w:hAnsiTheme="majorHAnsi"/>
                          <w:sz w:val="20"/>
                          <w:szCs w:val="20"/>
                          <w:lang w:eastAsia="fr-FR"/>
                        </w:rPr>
                        <w:t xml:space="preserve">See indicator 1.B.1.3 for more information about tools and methodologies for disability data collection and analysis. </w:t>
                      </w:r>
                    </w:p>
                    <w:p w14:paraId="1F7D74EA" w14:textId="39A32254" w:rsidR="009B6060" w:rsidRPr="00820B09" w:rsidRDefault="009B6060" w:rsidP="009B6060">
                      <w:pPr>
                        <w:jc w:val="both"/>
                        <w:rPr>
                          <w:rFonts w:asciiTheme="majorHAnsi" w:hAnsiTheme="majorHAnsi"/>
                          <w:sz w:val="20"/>
                          <w:szCs w:val="20"/>
                          <w:lang w:eastAsia="fr-FR"/>
                        </w:rPr>
                      </w:pPr>
                    </w:p>
                  </w:txbxContent>
                </v:textbox>
                <w10:wrap type="square"/>
              </v:shape>
            </w:pict>
          </mc:Fallback>
        </mc:AlternateContent>
      </w:r>
    </w:p>
    <w:p w14:paraId="2D928CA5" w14:textId="77777777" w:rsidR="00CB2F38" w:rsidRPr="00A608EE" w:rsidRDefault="00CB2F38" w:rsidP="00EE208A">
      <w:pPr>
        <w:jc w:val="both"/>
        <w:rPr>
          <w:rFonts w:asciiTheme="majorHAnsi" w:hAnsiTheme="majorHAnsi"/>
          <w:b/>
          <w:bCs/>
          <w:sz w:val="20"/>
          <w:szCs w:val="20"/>
          <w:lang w:eastAsia="fr-FR"/>
        </w:rPr>
      </w:pPr>
    </w:p>
    <w:p w14:paraId="1D265883" w14:textId="77777777" w:rsidR="00CB2F38" w:rsidRPr="00A608EE" w:rsidRDefault="00CB2F38" w:rsidP="00EE208A">
      <w:pPr>
        <w:jc w:val="both"/>
        <w:rPr>
          <w:rFonts w:asciiTheme="majorHAnsi" w:hAnsiTheme="majorHAnsi"/>
          <w:b/>
          <w:bCs/>
          <w:sz w:val="20"/>
          <w:szCs w:val="20"/>
          <w:lang w:eastAsia="fr-FR"/>
        </w:rPr>
      </w:pPr>
    </w:p>
    <w:p w14:paraId="34D75B40" w14:textId="77777777" w:rsidR="00CB2F38" w:rsidRPr="00A608EE" w:rsidRDefault="00CB2F38" w:rsidP="00EE208A">
      <w:pPr>
        <w:jc w:val="both"/>
        <w:rPr>
          <w:rFonts w:asciiTheme="majorHAnsi" w:hAnsiTheme="majorHAnsi"/>
          <w:b/>
          <w:bCs/>
          <w:sz w:val="20"/>
          <w:szCs w:val="20"/>
          <w:lang w:eastAsia="fr-FR"/>
        </w:rPr>
      </w:pPr>
    </w:p>
    <w:p w14:paraId="1A2B245B" w14:textId="3F0B7013" w:rsidR="00567D3B" w:rsidRPr="00A608EE" w:rsidRDefault="00567D3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041E7687" w14:textId="77777777" w:rsidR="00567D3B" w:rsidRPr="00A608EE" w:rsidRDefault="00567D3B" w:rsidP="00A27AAA">
      <w:pPr>
        <w:pStyle w:val="ListParagraph"/>
        <w:numPr>
          <w:ilvl w:val="0"/>
          <w:numId w:val="368"/>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To answer ‘yes’, the provider must have a formal system/process in place for regular data collection and analysis, and it must have collected data on a regular basis, at least annually.</w:t>
      </w:r>
    </w:p>
    <w:p w14:paraId="1FB5C6C0" w14:textId="77777777" w:rsidR="00567D3B" w:rsidRPr="00A608EE" w:rsidRDefault="00567D3B" w:rsidP="00A27AAA">
      <w:pPr>
        <w:pStyle w:val="ListParagraph"/>
        <w:numPr>
          <w:ilvl w:val="0"/>
          <w:numId w:val="368"/>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If the provider only collects environmental performance data informally (e.g. through qualitative feedback from field officers), or if the provider does not collect such data every year, or if the provider only collected such data once, then the answer should be ‘partially.’</w:t>
      </w:r>
    </w:p>
    <w:p w14:paraId="1B9685F3" w14:textId="77777777" w:rsidR="00567D3B" w:rsidRPr="00A608EE" w:rsidRDefault="00567D3B" w:rsidP="00A27AAA">
      <w:pPr>
        <w:pStyle w:val="ListParagraph"/>
        <w:numPr>
          <w:ilvl w:val="0"/>
          <w:numId w:val="368"/>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If data is just focusing on portfolio/volume allocated to “green” products, and not on the outcomes for clients, their households and the environment, the answer should be ‘no’.</w:t>
      </w:r>
    </w:p>
    <w:p w14:paraId="237961EC" w14:textId="77777777" w:rsidR="00567D3B" w:rsidRPr="00A608EE" w:rsidRDefault="00567D3B" w:rsidP="00EE208A">
      <w:pPr>
        <w:jc w:val="both"/>
        <w:rPr>
          <w:rFonts w:asciiTheme="majorHAnsi" w:hAnsiTheme="majorHAnsi"/>
          <w:szCs w:val="20"/>
          <w:lang w:eastAsia="fr-FR"/>
        </w:rPr>
      </w:pPr>
    </w:p>
    <w:p w14:paraId="789D78B7" w14:textId="2DE0C885" w:rsidR="00567D3B" w:rsidRPr="00A608EE" w:rsidRDefault="00567D3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4C2D0296" w14:textId="77777777" w:rsidR="00567D3B" w:rsidRPr="00A608EE" w:rsidRDefault="00567D3B" w:rsidP="00A27AAA">
      <w:pPr>
        <w:numPr>
          <w:ilvl w:val="0"/>
          <w:numId w:val="367"/>
        </w:numPr>
        <w:jc w:val="both"/>
        <w:rPr>
          <w:rFonts w:asciiTheme="majorHAnsi" w:hAnsiTheme="majorHAnsi"/>
          <w:sz w:val="20"/>
          <w:szCs w:val="20"/>
          <w:lang w:eastAsia="fr-FR"/>
        </w:rPr>
      </w:pPr>
      <w:r w:rsidRPr="00A608EE">
        <w:rPr>
          <w:rFonts w:asciiTheme="majorHAnsi" w:hAnsiTheme="majorHAnsi"/>
          <w:sz w:val="20"/>
          <w:szCs w:val="20"/>
          <w:lang w:eastAsia="fr-FR"/>
        </w:rPr>
        <w:t>MIS</w:t>
      </w:r>
    </w:p>
    <w:p w14:paraId="75C902F0" w14:textId="77777777" w:rsidR="00567D3B" w:rsidRPr="00A608EE" w:rsidRDefault="00567D3B" w:rsidP="00A27AAA">
      <w:pPr>
        <w:numPr>
          <w:ilvl w:val="0"/>
          <w:numId w:val="367"/>
        </w:numPr>
        <w:jc w:val="both"/>
        <w:rPr>
          <w:rFonts w:asciiTheme="majorHAnsi" w:hAnsiTheme="majorHAnsi"/>
          <w:sz w:val="20"/>
          <w:szCs w:val="20"/>
          <w:lang w:eastAsia="fr-FR"/>
        </w:rPr>
      </w:pPr>
      <w:r w:rsidRPr="00A608EE">
        <w:rPr>
          <w:rFonts w:asciiTheme="majorHAnsi" w:hAnsiTheme="majorHAnsi"/>
          <w:sz w:val="20"/>
          <w:szCs w:val="20"/>
          <w:lang w:eastAsia="fr-FR"/>
        </w:rPr>
        <w:t>Management reports</w:t>
      </w:r>
    </w:p>
    <w:p w14:paraId="3B82B835" w14:textId="77777777" w:rsidR="00567D3B" w:rsidRPr="00A608EE" w:rsidRDefault="00567D3B" w:rsidP="00A27AAA">
      <w:pPr>
        <w:numPr>
          <w:ilvl w:val="0"/>
          <w:numId w:val="367"/>
        </w:numPr>
        <w:jc w:val="both"/>
        <w:rPr>
          <w:rFonts w:asciiTheme="majorHAnsi" w:hAnsiTheme="majorHAnsi"/>
          <w:sz w:val="20"/>
          <w:szCs w:val="20"/>
          <w:lang w:eastAsia="fr-FR"/>
        </w:rPr>
      </w:pPr>
      <w:r w:rsidRPr="00A608EE">
        <w:rPr>
          <w:rFonts w:asciiTheme="majorHAnsi" w:hAnsiTheme="majorHAnsi"/>
          <w:sz w:val="20"/>
          <w:szCs w:val="20"/>
          <w:lang w:eastAsia="fr-FR"/>
        </w:rPr>
        <w:t>Carbon audit / Evaluations / Clients’ surveys</w:t>
      </w:r>
    </w:p>
    <w:p w14:paraId="20E1AF62" w14:textId="77777777" w:rsidR="00567D3B" w:rsidRPr="00A608EE" w:rsidRDefault="00567D3B" w:rsidP="00A27AAA">
      <w:pPr>
        <w:numPr>
          <w:ilvl w:val="0"/>
          <w:numId w:val="367"/>
        </w:numPr>
        <w:jc w:val="both"/>
        <w:rPr>
          <w:rFonts w:asciiTheme="majorHAnsi" w:hAnsiTheme="majorHAnsi"/>
          <w:sz w:val="20"/>
          <w:szCs w:val="20"/>
          <w:lang w:eastAsia="fr-FR"/>
        </w:rPr>
      </w:pPr>
      <w:r w:rsidRPr="00A608EE">
        <w:rPr>
          <w:rFonts w:asciiTheme="majorHAnsi" w:hAnsiTheme="majorHAnsi"/>
          <w:sz w:val="20"/>
          <w:szCs w:val="20"/>
          <w:lang w:eastAsia="fr-FR"/>
        </w:rPr>
        <w:t>Interviews with IT / Marketing Department / SEPM Manager</w:t>
      </w:r>
    </w:p>
    <w:p w14:paraId="0A8866EA" w14:textId="77777777" w:rsidR="00567D3B" w:rsidRPr="00A608EE" w:rsidRDefault="00567D3B" w:rsidP="00EE208A">
      <w:pPr>
        <w:jc w:val="both"/>
        <w:rPr>
          <w:rFonts w:asciiTheme="majorHAnsi" w:hAnsiTheme="majorHAnsi"/>
          <w:sz w:val="20"/>
          <w:szCs w:val="20"/>
          <w:lang w:eastAsia="fr-FR"/>
        </w:rPr>
      </w:pPr>
    </w:p>
    <w:p w14:paraId="0D120C2F" w14:textId="60E9F5D2" w:rsidR="00567D3B" w:rsidRPr="00A608EE" w:rsidRDefault="00567D3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086A28CA" w14:textId="77777777" w:rsidR="00567D3B" w:rsidRPr="00A608EE" w:rsidRDefault="00567D3B" w:rsidP="00EE208A">
      <w:pPr>
        <w:jc w:val="both"/>
        <w:rPr>
          <w:rFonts w:asciiTheme="majorHAnsi" w:hAnsiTheme="majorHAnsi"/>
          <w:sz w:val="20"/>
          <w:szCs w:val="20"/>
          <w:lang w:eastAsia="fr-FR"/>
        </w:rPr>
      </w:pPr>
      <w:r w:rsidRPr="00A608EE">
        <w:rPr>
          <w:rFonts w:asciiTheme="majorHAnsi" w:hAnsiTheme="majorHAnsi"/>
          <w:sz w:val="20"/>
          <w:szCs w:val="20"/>
          <w:lang w:eastAsia="fr-FR"/>
        </w:rPr>
        <w:t>Specify what data is collected, through which channels and at what frequency.</w:t>
      </w:r>
    </w:p>
    <w:p w14:paraId="727A8269" w14:textId="77777777" w:rsidR="00567D3B" w:rsidRPr="00A608EE" w:rsidRDefault="00567D3B" w:rsidP="00EE208A">
      <w:pPr>
        <w:jc w:val="both"/>
        <w:rPr>
          <w:rFonts w:asciiTheme="majorHAnsi" w:hAnsiTheme="majorHAnsi"/>
          <w:sz w:val="20"/>
          <w:szCs w:val="20"/>
          <w:lang w:eastAsia="fr-FR"/>
        </w:rPr>
      </w:pPr>
    </w:p>
    <w:p w14:paraId="1633D4B8" w14:textId="2B623AE7" w:rsidR="002477C0" w:rsidRPr="00A608EE" w:rsidRDefault="00567D3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 xml:space="preserve">Resources for indicator </w:t>
      </w:r>
      <w:r w:rsidR="00F800BC" w:rsidRPr="00A608EE">
        <w:rPr>
          <w:rFonts w:asciiTheme="majorHAnsi" w:hAnsiTheme="majorHAnsi"/>
          <w:b/>
          <w:bCs/>
          <w:sz w:val="20"/>
          <w:szCs w:val="20"/>
        </w:rPr>
        <w:t>7.A.2.1</w:t>
      </w:r>
    </w:p>
    <w:p w14:paraId="32BD53C8" w14:textId="77777777" w:rsidR="009D780C" w:rsidRPr="00A608EE" w:rsidRDefault="009D780C" w:rsidP="00A27AAA">
      <w:pPr>
        <w:pStyle w:val="NormalWeb"/>
        <w:numPr>
          <w:ilvl w:val="0"/>
          <w:numId w:val="51"/>
        </w:numPr>
        <w:spacing w:before="0" w:beforeAutospacing="0" w:after="0" w:afterAutospacing="0"/>
        <w:jc w:val="both"/>
        <w:rPr>
          <w:rFonts w:asciiTheme="majorHAnsi" w:hAnsiTheme="majorHAnsi"/>
          <w:sz w:val="20"/>
          <w:szCs w:val="20"/>
        </w:rPr>
      </w:pPr>
      <w:hyperlink r:id="rId310" w:history="1">
        <w:r w:rsidRPr="00A608EE">
          <w:rPr>
            <w:rStyle w:val="Hyperlink"/>
            <w:rFonts w:asciiTheme="majorHAnsi" w:hAnsiTheme="majorHAnsi"/>
            <w:sz w:val="20"/>
            <w:szCs w:val="20"/>
          </w:rPr>
          <w:t>ACLEDA Environmental &amp; Social Sustainability Report</w:t>
        </w:r>
      </w:hyperlink>
    </w:p>
    <w:p w14:paraId="2443F84C" w14:textId="77777777" w:rsidR="009D780C" w:rsidRPr="00A608EE" w:rsidRDefault="009D780C" w:rsidP="00A27AAA">
      <w:pPr>
        <w:pStyle w:val="NormalWeb"/>
        <w:numPr>
          <w:ilvl w:val="0"/>
          <w:numId w:val="51"/>
        </w:numPr>
        <w:spacing w:before="0" w:beforeAutospacing="0" w:after="0" w:afterAutospacing="0"/>
        <w:jc w:val="both"/>
        <w:rPr>
          <w:rFonts w:asciiTheme="majorHAnsi" w:hAnsiTheme="majorHAnsi"/>
          <w:sz w:val="20"/>
          <w:szCs w:val="20"/>
        </w:rPr>
      </w:pPr>
      <w:hyperlink r:id="rId311">
        <w:r w:rsidRPr="00A608EE">
          <w:rPr>
            <w:rStyle w:val="Hyperlink"/>
            <w:rFonts w:asciiTheme="majorHAnsi" w:hAnsiTheme="majorHAnsi"/>
            <w:sz w:val="20"/>
            <w:szCs w:val="20"/>
          </w:rPr>
          <w:t>ESAF Green Protocol Audit Checklist</w:t>
        </w:r>
      </w:hyperlink>
    </w:p>
    <w:p w14:paraId="124637A2" w14:textId="77777777" w:rsidR="00F67EDD" w:rsidRPr="00A608EE" w:rsidRDefault="00F67EDD" w:rsidP="00EE208A">
      <w:pPr>
        <w:pStyle w:val="NormalWeb"/>
        <w:spacing w:before="0" w:beforeAutospacing="0" w:after="0" w:afterAutospacing="0"/>
        <w:jc w:val="both"/>
        <w:rPr>
          <w:rFonts w:asciiTheme="majorHAnsi" w:hAnsiTheme="majorHAnsi"/>
          <w:sz w:val="20"/>
          <w:szCs w:val="20"/>
        </w:rPr>
      </w:pPr>
    </w:p>
    <w:p w14:paraId="2E2EF4D3" w14:textId="324CC2D3" w:rsidR="004636FA" w:rsidRPr="00A608EE" w:rsidRDefault="00CF46F8" w:rsidP="00EE208A">
      <w:pPr>
        <w:pStyle w:val="Heading2"/>
        <w:spacing w:before="0" w:line="240" w:lineRule="auto"/>
        <w:jc w:val="both"/>
      </w:pPr>
      <w:bookmarkStart w:id="106" w:name="_Toc230938826"/>
      <w:r w:rsidRPr="00A608EE">
        <w:t>Standard</w:t>
      </w:r>
      <w:r w:rsidR="00AC4F78" w:rsidRPr="00A608EE">
        <w:t xml:space="preserve"> 7B</w:t>
      </w:r>
      <w:r w:rsidRPr="00A608EE">
        <w:t>. The provider identifies and manages environmental risks and opportunities.</w:t>
      </w:r>
      <w:bookmarkEnd w:id="106"/>
    </w:p>
    <w:p w14:paraId="2ED219F7" w14:textId="77777777" w:rsidR="00FB3894" w:rsidRPr="00A608EE" w:rsidRDefault="00FB3894" w:rsidP="00EE208A">
      <w:pPr>
        <w:jc w:val="both"/>
        <w:rPr>
          <w:rFonts w:asciiTheme="majorHAnsi" w:hAnsiTheme="majorHAnsi"/>
          <w:szCs w:val="20"/>
        </w:rPr>
      </w:pPr>
    </w:p>
    <w:p w14:paraId="566630BA" w14:textId="77777777" w:rsidR="00CF46F8" w:rsidRPr="00A608EE" w:rsidRDefault="00CF46F8" w:rsidP="00EE208A">
      <w:pPr>
        <w:jc w:val="both"/>
        <w:rPr>
          <w:rFonts w:asciiTheme="majorHAnsi" w:hAnsiTheme="majorHAnsi"/>
          <w:sz w:val="20"/>
          <w:szCs w:val="20"/>
          <w:lang w:eastAsia="fr-FR"/>
        </w:rPr>
      </w:pPr>
      <w:r w:rsidRPr="00A608EE">
        <w:rPr>
          <w:rFonts w:asciiTheme="majorHAnsi" w:hAnsiTheme="majorHAnsi"/>
          <w:sz w:val="20"/>
          <w:szCs w:val="20"/>
          <w:lang w:eastAsia="fr-FR"/>
        </w:rPr>
        <w:t>Environmental issues are broad and very diverse. To engage in environmental performance management, it is important that the provider first identifies the environmental risks and opportunities relevant to its context of operations. Then it can define relevant strategies to mitigate these risks and/or grasp potential opportunities.</w:t>
      </w:r>
    </w:p>
    <w:p w14:paraId="3D5370B7" w14:textId="77777777" w:rsidR="00CF46F8" w:rsidRPr="00A608EE" w:rsidRDefault="00CF46F8" w:rsidP="00EE208A">
      <w:pPr>
        <w:jc w:val="both"/>
        <w:rPr>
          <w:rFonts w:asciiTheme="majorHAnsi" w:hAnsiTheme="majorHAnsi"/>
          <w:sz w:val="20"/>
          <w:szCs w:val="20"/>
          <w:lang w:eastAsia="fr-FR"/>
        </w:rPr>
      </w:pPr>
    </w:p>
    <w:p w14:paraId="29682883" w14:textId="1FD15916" w:rsidR="00CF46F8" w:rsidRPr="00A608EE" w:rsidRDefault="00CF46F8" w:rsidP="00EE208A">
      <w:pPr>
        <w:jc w:val="both"/>
        <w:rPr>
          <w:rFonts w:asciiTheme="majorHAnsi" w:hAnsiTheme="majorHAnsi"/>
          <w:sz w:val="20"/>
          <w:szCs w:val="20"/>
          <w:lang w:eastAsia="fr-FR"/>
        </w:rPr>
      </w:pPr>
      <w:r w:rsidRPr="00A608EE">
        <w:rPr>
          <w:rFonts w:asciiTheme="majorHAnsi" w:hAnsiTheme="majorHAnsi"/>
          <w:sz w:val="20"/>
          <w:szCs w:val="20"/>
          <w:lang w:eastAsia="fr-FR"/>
        </w:rPr>
        <w:t>This standard has 3 essential practices:</w:t>
      </w:r>
    </w:p>
    <w:p w14:paraId="1BE6F45F" w14:textId="5E6381E2" w:rsidR="00CF46F8" w:rsidRPr="00A608EE" w:rsidRDefault="00CF46F8" w:rsidP="00A27AAA">
      <w:pPr>
        <w:numPr>
          <w:ilvl w:val="0"/>
          <w:numId w:val="369"/>
        </w:numPr>
        <w:jc w:val="both"/>
        <w:rPr>
          <w:rFonts w:asciiTheme="majorHAnsi" w:hAnsiTheme="majorHAnsi"/>
          <w:sz w:val="20"/>
          <w:szCs w:val="20"/>
          <w:lang w:eastAsia="fr-FR"/>
        </w:rPr>
      </w:pPr>
      <w:r w:rsidRPr="00A608EE">
        <w:rPr>
          <w:rFonts w:asciiTheme="majorHAnsi" w:hAnsiTheme="majorHAnsi"/>
          <w:sz w:val="20"/>
          <w:szCs w:val="20"/>
          <w:lang w:eastAsia="fr-FR"/>
        </w:rPr>
        <w:t>Essential Practice 7.B.1: The provider identifies and manages its own environmental risks at headquarters and branch level.</w:t>
      </w:r>
    </w:p>
    <w:p w14:paraId="06399EA2" w14:textId="3DC75B2B" w:rsidR="00CF46F8" w:rsidRPr="00A608EE" w:rsidRDefault="00CF46F8" w:rsidP="00A27AAA">
      <w:pPr>
        <w:numPr>
          <w:ilvl w:val="0"/>
          <w:numId w:val="369"/>
        </w:numPr>
        <w:jc w:val="both"/>
        <w:rPr>
          <w:rFonts w:asciiTheme="majorHAnsi" w:hAnsiTheme="majorHAnsi"/>
          <w:sz w:val="20"/>
          <w:szCs w:val="20"/>
          <w:lang w:eastAsia="fr-FR"/>
        </w:rPr>
      </w:pPr>
      <w:r w:rsidRPr="00A608EE">
        <w:rPr>
          <w:rFonts w:asciiTheme="majorHAnsi" w:hAnsiTheme="majorHAnsi"/>
          <w:sz w:val="20"/>
          <w:szCs w:val="20"/>
          <w:lang w:eastAsia="fr-FR"/>
        </w:rPr>
        <w:t>Essential Practice 7.B.2: The provider identifies and manages client-level environmental risks.</w:t>
      </w:r>
    </w:p>
    <w:p w14:paraId="6B875037" w14:textId="6303B205" w:rsidR="00CF46F8" w:rsidRPr="00A608EE" w:rsidRDefault="00CF46F8" w:rsidP="00A27AAA">
      <w:pPr>
        <w:numPr>
          <w:ilvl w:val="0"/>
          <w:numId w:val="369"/>
        </w:numPr>
        <w:jc w:val="both"/>
        <w:rPr>
          <w:rFonts w:asciiTheme="majorHAnsi" w:hAnsiTheme="majorHAnsi"/>
          <w:sz w:val="20"/>
          <w:szCs w:val="20"/>
          <w:lang w:eastAsia="fr-FR"/>
        </w:rPr>
      </w:pPr>
      <w:r w:rsidRPr="00A608EE">
        <w:rPr>
          <w:rFonts w:asciiTheme="majorHAnsi" w:hAnsiTheme="majorHAnsi"/>
          <w:sz w:val="20"/>
          <w:szCs w:val="20"/>
          <w:lang w:eastAsia="fr-FR"/>
        </w:rPr>
        <w:t>Essential Practice 7.B.3: The provider identifies opportunities to finance green practices and technologies.</w:t>
      </w:r>
    </w:p>
    <w:p w14:paraId="45C677C3" w14:textId="77777777" w:rsidR="0045247B" w:rsidRPr="00A608EE" w:rsidRDefault="0045247B" w:rsidP="00EE208A">
      <w:pPr>
        <w:jc w:val="both"/>
        <w:rPr>
          <w:rFonts w:asciiTheme="majorHAnsi" w:hAnsiTheme="majorHAnsi"/>
          <w:sz w:val="20"/>
          <w:szCs w:val="20"/>
        </w:rPr>
      </w:pPr>
    </w:p>
    <w:p w14:paraId="2F1B1546" w14:textId="77777777" w:rsidR="00F67EDD" w:rsidRPr="00A608EE" w:rsidRDefault="00F67EDD" w:rsidP="00EE208A">
      <w:pPr>
        <w:jc w:val="both"/>
        <w:rPr>
          <w:rFonts w:asciiTheme="majorHAnsi" w:hAnsiTheme="majorHAnsi"/>
          <w:szCs w:val="20"/>
        </w:rPr>
      </w:pPr>
    </w:p>
    <w:p w14:paraId="7D7A38BE" w14:textId="6D009B0C" w:rsidR="004636FA" w:rsidRPr="00A608EE" w:rsidRDefault="004636FA" w:rsidP="00EE208A">
      <w:pPr>
        <w:pStyle w:val="Heading3"/>
        <w:spacing w:before="0" w:line="240" w:lineRule="auto"/>
        <w:jc w:val="both"/>
      </w:pPr>
      <w:bookmarkStart w:id="107" w:name="_Toc230938827"/>
      <w:r w:rsidRPr="00A608EE">
        <w:rPr>
          <w:rStyle w:val="text-primary"/>
        </w:rPr>
        <w:t>7.B.1</w:t>
      </w:r>
      <w:r w:rsidRPr="00A608EE">
        <w:t xml:space="preserve"> </w:t>
      </w:r>
      <w:r w:rsidR="00B41543" w:rsidRPr="00A608EE">
        <w:t>The provider identifies and manages its own environmental risks at headquarters and branch level</w:t>
      </w:r>
      <w:r w:rsidR="007E1EFC" w:rsidRPr="00A608EE">
        <w:t>.</w:t>
      </w:r>
      <w:bookmarkEnd w:id="107"/>
    </w:p>
    <w:p w14:paraId="51BE0761" w14:textId="77777777" w:rsidR="0045247B" w:rsidRPr="00A608EE" w:rsidRDefault="0045247B" w:rsidP="00EE208A">
      <w:pPr>
        <w:jc w:val="both"/>
        <w:rPr>
          <w:rFonts w:asciiTheme="majorHAnsi" w:hAnsiTheme="majorHAnsi"/>
          <w:szCs w:val="20"/>
        </w:rPr>
      </w:pPr>
    </w:p>
    <w:p w14:paraId="51560744" w14:textId="646CE4C0" w:rsidR="00BC5564" w:rsidRPr="00A608EE" w:rsidRDefault="00B41543" w:rsidP="00D12738">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Essential Practice focuses on environmental risks at the provider’s level (while 7.B.2 focuses on environmental risks at portfolio or client level). It looks both at the environmental risks faced by the provider (i.e. the vulnerability of its headquarters and branches to climate change) and the environmental risks generated by the provider’s activities (i.e. the adverse impacts of its internal activities on the environment).</w:t>
      </w:r>
    </w:p>
    <w:p w14:paraId="51A8FAF3" w14:textId="77777777" w:rsidR="00452C15" w:rsidRPr="00A608EE" w:rsidRDefault="00452C15" w:rsidP="00EE208A">
      <w:pPr>
        <w:jc w:val="both"/>
        <w:rPr>
          <w:rFonts w:asciiTheme="majorHAnsi" w:hAnsiTheme="majorHAnsi"/>
          <w:szCs w:val="20"/>
        </w:rPr>
      </w:pPr>
    </w:p>
    <w:p w14:paraId="2CA13B0C" w14:textId="13DE461A" w:rsidR="004636FA" w:rsidRPr="00A608EE" w:rsidRDefault="004636FA" w:rsidP="00EE208A">
      <w:pPr>
        <w:pStyle w:val="Heading4"/>
        <w:spacing w:before="0" w:line="240" w:lineRule="auto"/>
        <w:jc w:val="both"/>
      </w:pPr>
      <w:r w:rsidRPr="00A608EE">
        <w:rPr>
          <w:rStyle w:val="text-primary"/>
        </w:rPr>
        <w:lastRenderedPageBreak/>
        <w:t>7.B.1.2</w:t>
      </w:r>
      <w:r w:rsidRPr="00A608EE">
        <w:t xml:space="preserve"> </w:t>
      </w:r>
      <w:r w:rsidR="008647AB" w:rsidRPr="00A608EE">
        <w:t>The provider has a contingency plan to mitigate the vulnerability of its properties, buildings, and human resources to climate shocks</w:t>
      </w:r>
      <w:r w:rsidR="004E4598" w:rsidRPr="00A608EE">
        <w:t>.</w:t>
      </w:r>
    </w:p>
    <w:p w14:paraId="72BA4FE9" w14:textId="77777777" w:rsidR="00BC5564" w:rsidRPr="00A608EE" w:rsidRDefault="00BC5564" w:rsidP="00EE208A">
      <w:pPr>
        <w:jc w:val="both"/>
        <w:rPr>
          <w:rFonts w:asciiTheme="majorHAnsi" w:hAnsiTheme="majorHAnsi"/>
          <w:szCs w:val="20"/>
        </w:rPr>
      </w:pPr>
    </w:p>
    <w:p w14:paraId="5A4F1648" w14:textId="77777777" w:rsidR="00CB2F38" w:rsidRPr="00A608EE" w:rsidRDefault="00CB2F38" w:rsidP="00EE208A">
      <w:pPr>
        <w:jc w:val="both"/>
        <w:rPr>
          <w:rFonts w:ascii="Segoe UI Emoji" w:hAnsi="Segoe UI Emoji" w:cs="Segoe UI Emoji"/>
          <w:b/>
          <w:bCs/>
          <w:sz w:val="20"/>
          <w:szCs w:val="20"/>
        </w:rPr>
      </w:pPr>
    </w:p>
    <w:p w14:paraId="3FF50018" w14:textId="033318E7" w:rsidR="00452C15" w:rsidRPr="00A608EE" w:rsidRDefault="00C8735D"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452C15" w:rsidRPr="00A608EE">
        <w:rPr>
          <w:rFonts w:asciiTheme="majorHAnsi" w:hAnsiTheme="majorHAnsi" w:cstheme="majorHAnsi"/>
          <w:b/>
          <w:bCs/>
          <w:color w:val="2145CC" w:themeColor="accent5" w:themeShade="BF"/>
          <w:sz w:val="20"/>
          <w:szCs w:val="20"/>
        </w:rPr>
        <w:t>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7760ACFF" w14:textId="54B2DE4E" w:rsidR="00847D81" w:rsidRPr="00A608EE" w:rsidRDefault="00847D81" w:rsidP="00D402B3">
      <w:pPr>
        <w:spacing w:before="120" w:after="120"/>
        <w:jc w:val="both"/>
        <w:rPr>
          <w:rFonts w:asciiTheme="majorHAnsi" w:hAnsiTheme="majorHAnsi"/>
          <w:sz w:val="20"/>
          <w:szCs w:val="20"/>
        </w:rPr>
      </w:pPr>
    </w:p>
    <w:p w14:paraId="5723BCC6" w14:textId="77777777" w:rsidR="008647AB" w:rsidRPr="00A608EE" w:rsidRDefault="008647AB" w:rsidP="00EE208A">
      <w:pPr>
        <w:jc w:val="both"/>
        <w:rPr>
          <w:rFonts w:asciiTheme="majorHAnsi" w:hAnsiTheme="majorHAnsi"/>
          <w:sz w:val="20"/>
          <w:szCs w:val="20"/>
          <w:lang w:eastAsia="fr-FR"/>
        </w:rPr>
      </w:pPr>
      <w:r w:rsidRPr="00A608EE">
        <w:rPr>
          <w:rFonts w:asciiTheme="majorHAnsi" w:hAnsiTheme="majorHAnsi"/>
          <w:sz w:val="20"/>
          <w:szCs w:val="20"/>
          <w:lang w:eastAsia="fr-FR"/>
        </w:rPr>
        <w:t xml:space="preserve">Having a contingency plan helps the provider prepare for future climate shocks, by </w:t>
      </w:r>
    </w:p>
    <w:p w14:paraId="02BA8A5C" w14:textId="2DF876B8" w:rsidR="00847D81" w:rsidRPr="00A608EE" w:rsidRDefault="008647AB" w:rsidP="00EE208A">
      <w:pPr>
        <w:jc w:val="both"/>
        <w:rPr>
          <w:rFonts w:asciiTheme="majorHAnsi" w:hAnsiTheme="majorHAnsi"/>
          <w:sz w:val="20"/>
          <w:szCs w:val="20"/>
          <w:lang w:eastAsia="fr-FR"/>
        </w:rPr>
      </w:pPr>
      <w:r w:rsidRPr="00A608EE">
        <w:rPr>
          <w:rFonts w:asciiTheme="majorHAnsi" w:hAnsiTheme="majorHAnsi"/>
          <w:sz w:val="20"/>
          <w:szCs w:val="20"/>
          <w:lang w:eastAsia="fr-FR"/>
        </w:rPr>
        <w:t>anticipating climate shocks and outlining the systematic measures by which the provider will effectively respond before, during or immediately after a disaster. Its main objective is to ensure the safety of clients and personnel once a disaster strikes.</w:t>
      </w:r>
    </w:p>
    <w:p w14:paraId="0E5FA4CA" w14:textId="77777777" w:rsidR="00672763" w:rsidRPr="00A608EE" w:rsidRDefault="00672763" w:rsidP="00EE208A">
      <w:pPr>
        <w:jc w:val="both"/>
        <w:rPr>
          <w:rFonts w:asciiTheme="majorHAnsi" w:hAnsiTheme="majorHAnsi"/>
          <w:sz w:val="20"/>
          <w:szCs w:val="20"/>
          <w:lang w:eastAsia="fr-FR"/>
        </w:rPr>
      </w:pPr>
    </w:p>
    <w:p w14:paraId="60D045F0"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18336" behindDoc="1" locked="0" layoutInCell="1" allowOverlap="1" wp14:anchorId="3118053E" wp14:editId="305B0223">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50906890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D2CF56E" w14:textId="77777777" w:rsidR="00672763" w:rsidRPr="00A608EE" w:rsidRDefault="00672763" w:rsidP="00EE208A">
      <w:pPr>
        <w:jc w:val="both"/>
        <w:rPr>
          <w:rFonts w:asciiTheme="majorHAnsi" w:hAnsiTheme="majorHAnsi"/>
          <w:sz w:val="20"/>
          <w:szCs w:val="20"/>
          <w:lang w:eastAsia="fr-FR"/>
        </w:rPr>
      </w:pPr>
    </w:p>
    <w:p w14:paraId="33C29869" w14:textId="28158D5B" w:rsidR="00847D81" w:rsidRPr="00A608EE" w:rsidRDefault="00386AB6"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847D81" w:rsidRPr="00A608EE">
        <w:rPr>
          <w:rFonts w:asciiTheme="majorHAnsi" w:hAnsiTheme="majorHAnsi"/>
          <w:sz w:val="20"/>
          <w:szCs w:val="20"/>
          <w:lang w:eastAsia="fr-FR"/>
        </w:rPr>
        <w:t>The provider's disaster contingency plan is provided in formats that are accessible for employees with different types of impairments (e.g., Easy-read, large print, braille, audio formats, oral information, sign language, accessible digital channels).</w:t>
      </w:r>
    </w:p>
    <w:p w14:paraId="3EE40D55" w14:textId="6D072E13" w:rsidR="00847D81" w:rsidRPr="00A608EE" w:rsidRDefault="00F8422A" w:rsidP="00EE208A">
      <w:pPr>
        <w:jc w:val="both"/>
        <w:rPr>
          <w:rFonts w:asciiTheme="majorHAnsi" w:hAnsiTheme="majorHAnsi"/>
          <w:szCs w:val="20"/>
          <w:lang w:eastAsia="fr-FR"/>
        </w:rPr>
      </w:pPr>
      <w:r w:rsidRPr="00A608EE">
        <w:rPr>
          <w:noProof/>
        </w:rPr>
        <mc:AlternateContent>
          <mc:Choice Requires="wps">
            <w:drawing>
              <wp:anchor distT="0" distB="0" distL="114300" distR="114300" simplePos="0" relativeHeight="251737088" behindDoc="0" locked="0" layoutInCell="1" allowOverlap="1" wp14:anchorId="7576E9F3" wp14:editId="73561D62">
                <wp:simplePos x="0" y="0"/>
                <wp:positionH relativeFrom="margin">
                  <wp:align>left</wp:align>
                </wp:positionH>
                <wp:positionV relativeFrom="paragraph">
                  <wp:posOffset>325755</wp:posOffset>
                </wp:positionV>
                <wp:extent cx="1828800" cy="2984500"/>
                <wp:effectExtent l="0" t="0" r="24130" b="25400"/>
                <wp:wrapSquare wrapText="bothSides"/>
                <wp:docPr id="918421340" name="Cuadro de texto 1"/>
                <wp:cNvGraphicFramePr/>
                <a:graphic xmlns:a="http://schemas.openxmlformats.org/drawingml/2006/main">
                  <a:graphicData uri="http://schemas.microsoft.com/office/word/2010/wordprocessingShape">
                    <wps:wsp>
                      <wps:cNvSpPr txBox="1"/>
                      <wps:spPr>
                        <a:xfrm>
                          <a:off x="0" y="0"/>
                          <a:ext cx="1828800" cy="2984500"/>
                        </a:xfrm>
                        <a:prstGeom prst="rect">
                          <a:avLst/>
                        </a:prstGeom>
                        <a:noFill/>
                        <a:ln w="6350">
                          <a:solidFill>
                            <a:prstClr val="black"/>
                          </a:solidFill>
                        </a:ln>
                      </wps:spPr>
                      <wps:txbx>
                        <w:txbxContent>
                          <w:p w14:paraId="386A5BB0" w14:textId="2A434E49" w:rsidR="00847D81" w:rsidRPr="00820B09" w:rsidRDefault="0084416A"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9B6060" w:rsidRPr="00820B09">
                              <w:rPr>
                                <w:rFonts w:asciiTheme="majorHAnsi" w:hAnsiTheme="majorHAnsi"/>
                                <w:b/>
                                <w:bCs/>
                                <w:sz w:val="20"/>
                                <w:szCs w:val="20"/>
                                <w:lang w:eastAsia="fr-FR"/>
                              </w:rPr>
                              <w:t xml:space="preserve">7.B.1.2 </w:t>
                            </w:r>
                          </w:p>
                          <w:p w14:paraId="7205FE50" w14:textId="77777777" w:rsidR="009B6060" w:rsidRPr="00820B09" w:rsidRDefault="009B6060" w:rsidP="00EE208A">
                            <w:pPr>
                              <w:jc w:val="both"/>
                              <w:rPr>
                                <w:rFonts w:asciiTheme="majorHAnsi" w:hAnsiTheme="majorHAnsi"/>
                                <w:b/>
                                <w:bCs/>
                                <w:sz w:val="20"/>
                                <w:szCs w:val="20"/>
                                <w:lang w:eastAsia="fr-FR"/>
                              </w:rPr>
                            </w:pPr>
                          </w:p>
                          <w:p w14:paraId="5D3E0BEC" w14:textId="00D7B7E0" w:rsidR="00F8422A" w:rsidRPr="00820B09" w:rsidRDefault="00F8422A" w:rsidP="00F8422A">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at </w:t>
                            </w:r>
                            <w:r w:rsidR="009B6060" w:rsidRPr="00820B09">
                              <w:rPr>
                                <w:rFonts w:asciiTheme="majorHAnsi" w:hAnsiTheme="majorHAnsi"/>
                                <w:sz w:val="20"/>
                                <w:szCs w:val="20"/>
                                <w:lang w:eastAsia="fr-FR"/>
                              </w:rPr>
                              <w:t xml:space="preserve">greater </w:t>
                            </w:r>
                            <w:r w:rsidRPr="00820B09">
                              <w:rPr>
                                <w:rFonts w:asciiTheme="majorHAnsi" w:hAnsiTheme="majorHAnsi"/>
                                <w:sz w:val="20"/>
                                <w:szCs w:val="20"/>
                                <w:lang w:eastAsia="fr-FR"/>
                              </w:rPr>
                              <w:t xml:space="preserve">risk during climate-related disasters and emergencies, as they may be unable to access critical information, move away from danger, or access support services. In many cases, their needs are not considered in disaster risk management and emergency plans (including warning, evacuation, and recovery), and they are often overlooked during responses. </w:t>
                            </w:r>
                          </w:p>
                          <w:p w14:paraId="567D2026" w14:textId="77777777" w:rsidR="00F8422A" w:rsidRPr="00820B09" w:rsidRDefault="00F8422A" w:rsidP="009F4C54">
                            <w:pPr>
                              <w:jc w:val="both"/>
                              <w:rPr>
                                <w:rFonts w:asciiTheme="majorHAnsi" w:hAnsiTheme="majorHAnsi"/>
                                <w:sz w:val="20"/>
                                <w:szCs w:val="20"/>
                                <w:lang w:eastAsia="fr-FR"/>
                              </w:rPr>
                            </w:pPr>
                          </w:p>
                          <w:p w14:paraId="25A83970" w14:textId="39090B0D" w:rsidR="00847D81" w:rsidRPr="00820B09" w:rsidRDefault="009B6060" w:rsidP="009F4C54">
                            <w:pPr>
                              <w:jc w:val="both"/>
                              <w:rPr>
                                <w:rFonts w:asciiTheme="majorHAnsi" w:hAnsiTheme="majorHAnsi"/>
                                <w:sz w:val="20"/>
                                <w:szCs w:val="20"/>
                                <w:lang w:eastAsia="fr-FR"/>
                              </w:rPr>
                            </w:pPr>
                            <w:r w:rsidRPr="00820B09">
                              <w:rPr>
                                <w:rFonts w:asciiTheme="majorHAnsi" w:hAnsiTheme="majorHAnsi"/>
                                <w:sz w:val="20"/>
                                <w:szCs w:val="20"/>
                                <w:lang w:eastAsia="fr-FR"/>
                              </w:rPr>
                              <w:t>The provider’s d</w:t>
                            </w:r>
                            <w:r w:rsidR="00847D81" w:rsidRPr="00820B09">
                              <w:rPr>
                                <w:rFonts w:asciiTheme="majorHAnsi" w:hAnsiTheme="majorHAnsi"/>
                                <w:sz w:val="20"/>
                                <w:szCs w:val="20"/>
                                <w:lang w:eastAsia="fr-FR"/>
                              </w:rPr>
                              <w:t>isaster contingency plans should be developed in a gender-sensitive and accessible manner, ensuring that diverse needs are considered</w:t>
                            </w:r>
                            <w:r w:rsidRPr="00820B09">
                              <w:rPr>
                                <w:rFonts w:asciiTheme="majorHAnsi" w:hAnsiTheme="majorHAnsi"/>
                                <w:sz w:val="20"/>
                                <w:szCs w:val="20"/>
                                <w:lang w:eastAsia="fr-FR"/>
                              </w:rPr>
                              <w:t>,</w:t>
                            </w:r>
                            <w:r w:rsidR="00847D81" w:rsidRPr="00820B09">
                              <w:rPr>
                                <w:rFonts w:asciiTheme="majorHAnsi" w:hAnsiTheme="majorHAnsi"/>
                                <w:sz w:val="20"/>
                                <w:szCs w:val="20"/>
                                <w:lang w:eastAsia="fr-FR"/>
                              </w:rPr>
                              <w:t xml:space="preserve"> and </w:t>
                            </w:r>
                            <w:r w:rsidRPr="00820B09">
                              <w:rPr>
                                <w:rFonts w:asciiTheme="majorHAnsi" w:hAnsiTheme="majorHAnsi"/>
                                <w:sz w:val="20"/>
                                <w:szCs w:val="20"/>
                                <w:lang w:eastAsia="fr-FR"/>
                              </w:rPr>
                              <w:t xml:space="preserve">specific risks and accessibility issues </w:t>
                            </w:r>
                            <w:r w:rsidR="00847D81" w:rsidRPr="00820B09">
                              <w:rPr>
                                <w:rFonts w:asciiTheme="majorHAnsi" w:hAnsiTheme="majorHAnsi"/>
                                <w:sz w:val="20"/>
                                <w:szCs w:val="20"/>
                                <w:lang w:eastAsia="fr-FR"/>
                              </w:rPr>
                              <w:t xml:space="preserve">for persons with disabilities are </w:t>
                            </w:r>
                            <w:r w:rsidRPr="00820B09">
                              <w:rPr>
                                <w:rFonts w:asciiTheme="majorHAnsi" w:hAnsiTheme="majorHAnsi"/>
                                <w:sz w:val="20"/>
                                <w:szCs w:val="20"/>
                                <w:lang w:eastAsia="fr-FR"/>
                              </w:rPr>
                              <w:t>identified and mitigated</w:t>
                            </w:r>
                            <w:r w:rsidR="00847D81" w:rsidRPr="00820B09">
                              <w:rPr>
                                <w:rFonts w:asciiTheme="majorHAnsi" w:hAnsiTheme="majorHAnsi"/>
                                <w:sz w:val="20"/>
                                <w:szCs w:val="20"/>
                                <w:lang w:eastAsia="fr-FR"/>
                              </w:rPr>
                              <w:t>.</w:t>
                            </w:r>
                            <w:r w:rsidR="00F8422A"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Risk assessments should be undertaken and contingency plans developed in consultation with employees with disabilities,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and specialized experts or service providers. I</w:t>
                            </w:r>
                            <w:r w:rsidR="00F8422A" w:rsidRPr="00820B09">
                              <w:rPr>
                                <w:rFonts w:asciiTheme="majorHAnsi" w:hAnsiTheme="majorHAnsi"/>
                                <w:sz w:val="20"/>
                                <w:szCs w:val="20"/>
                                <w:lang w:eastAsia="fr-FR"/>
                              </w:rPr>
                              <w:t>nformation about contingency plans should be provided in accessible and alternative formats for persons with disabilities</w:t>
                            </w:r>
                            <w:r w:rsidRPr="00820B09">
                              <w:rPr>
                                <w:rFonts w:asciiTheme="majorHAnsi" w:hAnsiTheme="majorHAnsi"/>
                                <w:sz w:val="20"/>
                                <w:szCs w:val="20"/>
                                <w:lang w:eastAsia="fr-FR"/>
                              </w:rPr>
                              <w:t xml:space="preserve">. </w:t>
                            </w:r>
                          </w:p>
                          <w:p w14:paraId="16E500E9" w14:textId="77777777" w:rsidR="00A772A7" w:rsidRPr="00820B09" w:rsidRDefault="00A772A7" w:rsidP="009F4C54">
                            <w:pPr>
                              <w:jc w:val="both"/>
                              <w:rPr>
                                <w:rFonts w:asciiTheme="majorHAnsi" w:hAnsiTheme="majorHAnsi"/>
                                <w:sz w:val="20"/>
                                <w:szCs w:val="20"/>
                                <w:lang w:eastAsia="fr-FR"/>
                              </w:rPr>
                            </w:pPr>
                          </w:p>
                          <w:p w14:paraId="3B0E9216" w14:textId="619ED973" w:rsidR="00A772A7" w:rsidRPr="00820B09" w:rsidRDefault="00A772A7" w:rsidP="009F4C54">
                            <w:pPr>
                              <w:jc w:val="both"/>
                              <w:rPr>
                                <w:rFonts w:asciiTheme="majorHAnsi" w:hAnsiTheme="majorHAnsi"/>
                                <w:sz w:val="20"/>
                                <w:szCs w:val="20"/>
                                <w:lang w:eastAsia="fr-FR"/>
                              </w:rPr>
                            </w:pPr>
                            <w:r w:rsidRPr="00820B09">
                              <w:rPr>
                                <w:rFonts w:asciiTheme="majorHAnsi" w:hAnsiTheme="majorHAnsi"/>
                                <w:sz w:val="20"/>
                                <w:szCs w:val="20"/>
                                <w:lang w:eastAsia="fr-FR"/>
                              </w:rPr>
                              <w:t>See indicator 5.A.3.3 for more information about including persons with disabilities in emergency and disaster response plans, and indicator 4.B.1.4 for more information about accessible information formats</w:t>
                            </w:r>
                            <w:r w:rsidR="0084416A" w:rsidRPr="00820B09">
                              <w:rPr>
                                <w:rFonts w:asciiTheme="majorHAnsi" w:hAnsiTheme="majorHAnsi"/>
                                <w:sz w:val="20"/>
                                <w:szCs w:val="20"/>
                                <w:lang w:eastAsia="fr-FR"/>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76E9F3" id="_x0000_s1072" type="#_x0000_t202" style="position:absolute;left:0;text-align:left;margin-left:0;margin-top:25.65pt;width:2in;height:235pt;z-index:251737088;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" filled="f" strokeweight=".5pt">
                <v:textbox>
                  <w:txbxContent>
                    <w:p w14:paraId="386A5BB0" w14:textId="2A434E49" w:rsidR="00847D81" w:rsidRPr="00820B09" w:rsidRDefault="0084416A"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9B6060" w:rsidRPr="00820B09">
                        <w:rPr>
                          <w:rFonts w:asciiTheme="majorHAnsi" w:hAnsiTheme="majorHAnsi"/>
                          <w:b/>
                          <w:bCs/>
                          <w:sz w:val="20"/>
                          <w:szCs w:val="20"/>
                          <w:lang w:eastAsia="fr-FR"/>
                        </w:rPr>
                        <w:t xml:space="preserve">7.B.1.2 </w:t>
                      </w:r>
                    </w:p>
                    <w:p w14:paraId="7205FE50" w14:textId="77777777" w:rsidR="009B6060" w:rsidRPr="00820B09" w:rsidRDefault="009B6060" w:rsidP="00EE208A">
                      <w:pPr>
                        <w:jc w:val="both"/>
                        <w:rPr>
                          <w:rFonts w:asciiTheme="majorHAnsi" w:hAnsiTheme="majorHAnsi"/>
                          <w:b/>
                          <w:bCs/>
                          <w:sz w:val="20"/>
                          <w:szCs w:val="20"/>
                          <w:lang w:eastAsia="fr-FR"/>
                        </w:rPr>
                      </w:pPr>
                    </w:p>
                    <w:p w14:paraId="5D3E0BEC" w14:textId="00D7B7E0" w:rsidR="00F8422A" w:rsidRPr="00820B09" w:rsidRDefault="00F8422A" w:rsidP="00F8422A">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at </w:t>
                      </w:r>
                      <w:r w:rsidR="009B6060" w:rsidRPr="00820B09">
                        <w:rPr>
                          <w:rFonts w:asciiTheme="majorHAnsi" w:hAnsiTheme="majorHAnsi"/>
                          <w:sz w:val="20"/>
                          <w:szCs w:val="20"/>
                          <w:lang w:eastAsia="fr-FR"/>
                        </w:rPr>
                        <w:t xml:space="preserve">greater </w:t>
                      </w:r>
                      <w:r w:rsidRPr="00820B09">
                        <w:rPr>
                          <w:rFonts w:asciiTheme="majorHAnsi" w:hAnsiTheme="majorHAnsi"/>
                          <w:sz w:val="20"/>
                          <w:szCs w:val="20"/>
                          <w:lang w:eastAsia="fr-FR"/>
                        </w:rPr>
                        <w:t xml:space="preserve">risk during climate-related disasters and emergencies, as they may be unable to access critical information, move away from danger, or access support services. In many cases, their needs are not considered in disaster risk management and emergency plans (including warning, evacuation, and recovery), and they are often overlooked during responses. </w:t>
                      </w:r>
                    </w:p>
                    <w:p w14:paraId="567D2026" w14:textId="77777777" w:rsidR="00F8422A" w:rsidRPr="00820B09" w:rsidRDefault="00F8422A" w:rsidP="009F4C54">
                      <w:pPr>
                        <w:jc w:val="both"/>
                        <w:rPr>
                          <w:rFonts w:asciiTheme="majorHAnsi" w:hAnsiTheme="majorHAnsi"/>
                          <w:sz w:val="20"/>
                          <w:szCs w:val="20"/>
                          <w:lang w:eastAsia="fr-FR"/>
                        </w:rPr>
                      </w:pPr>
                    </w:p>
                    <w:p w14:paraId="25A83970" w14:textId="39090B0D" w:rsidR="00847D81" w:rsidRPr="00820B09" w:rsidRDefault="009B6060" w:rsidP="009F4C54">
                      <w:pPr>
                        <w:jc w:val="both"/>
                        <w:rPr>
                          <w:rFonts w:asciiTheme="majorHAnsi" w:hAnsiTheme="majorHAnsi"/>
                          <w:sz w:val="20"/>
                          <w:szCs w:val="20"/>
                          <w:lang w:eastAsia="fr-FR"/>
                        </w:rPr>
                      </w:pPr>
                      <w:r w:rsidRPr="00820B09">
                        <w:rPr>
                          <w:rFonts w:asciiTheme="majorHAnsi" w:hAnsiTheme="majorHAnsi"/>
                          <w:sz w:val="20"/>
                          <w:szCs w:val="20"/>
                          <w:lang w:eastAsia="fr-FR"/>
                        </w:rPr>
                        <w:t>The provider’s d</w:t>
                      </w:r>
                      <w:r w:rsidR="00847D81" w:rsidRPr="00820B09">
                        <w:rPr>
                          <w:rFonts w:asciiTheme="majorHAnsi" w:hAnsiTheme="majorHAnsi"/>
                          <w:sz w:val="20"/>
                          <w:szCs w:val="20"/>
                          <w:lang w:eastAsia="fr-FR"/>
                        </w:rPr>
                        <w:t>isaster contingency plans should be developed in a gender-sensitive and accessible manner, ensuring that diverse needs are considered</w:t>
                      </w:r>
                      <w:r w:rsidRPr="00820B09">
                        <w:rPr>
                          <w:rFonts w:asciiTheme="majorHAnsi" w:hAnsiTheme="majorHAnsi"/>
                          <w:sz w:val="20"/>
                          <w:szCs w:val="20"/>
                          <w:lang w:eastAsia="fr-FR"/>
                        </w:rPr>
                        <w:t>,</w:t>
                      </w:r>
                      <w:r w:rsidR="00847D81" w:rsidRPr="00820B09">
                        <w:rPr>
                          <w:rFonts w:asciiTheme="majorHAnsi" w:hAnsiTheme="majorHAnsi"/>
                          <w:sz w:val="20"/>
                          <w:szCs w:val="20"/>
                          <w:lang w:eastAsia="fr-FR"/>
                        </w:rPr>
                        <w:t xml:space="preserve"> and </w:t>
                      </w:r>
                      <w:r w:rsidRPr="00820B09">
                        <w:rPr>
                          <w:rFonts w:asciiTheme="majorHAnsi" w:hAnsiTheme="majorHAnsi"/>
                          <w:sz w:val="20"/>
                          <w:szCs w:val="20"/>
                          <w:lang w:eastAsia="fr-FR"/>
                        </w:rPr>
                        <w:t xml:space="preserve">specific risks and accessibility issues </w:t>
                      </w:r>
                      <w:r w:rsidR="00847D81" w:rsidRPr="00820B09">
                        <w:rPr>
                          <w:rFonts w:asciiTheme="majorHAnsi" w:hAnsiTheme="majorHAnsi"/>
                          <w:sz w:val="20"/>
                          <w:szCs w:val="20"/>
                          <w:lang w:eastAsia="fr-FR"/>
                        </w:rPr>
                        <w:t xml:space="preserve">for persons with disabilities are </w:t>
                      </w:r>
                      <w:r w:rsidRPr="00820B09">
                        <w:rPr>
                          <w:rFonts w:asciiTheme="majorHAnsi" w:hAnsiTheme="majorHAnsi"/>
                          <w:sz w:val="20"/>
                          <w:szCs w:val="20"/>
                          <w:lang w:eastAsia="fr-FR"/>
                        </w:rPr>
                        <w:t>identified and mitigated</w:t>
                      </w:r>
                      <w:r w:rsidR="00847D81" w:rsidRPr="00820B09">
                        <w:rPr>
                          <w:rFonts w:asciiTheme="majorHAnsi" w:hAnsiTheme="majorHAnsi"/>
                          <w:sz w:val="20"/>
                          <w:szCs w:val="20"/>
                          <w:lang w:eastAsia="fr-FR"/>
                        </w:rPr>
                        <w:t>.</w:t>
                      </w:r>
                      <w:r w:rsidR="00F8422A" w:rsidRPr="00820B09">
                        <w:rPr>
                          <w:rFonts w:asciiTheme="majorHAnsi" w:hAnsiTheme="majorHAnsi"/>
                          <w:sz w:val="20"/>
                          <w:szCs w:val="20"/>
                          <w:lang w:eastAsia="fr-FR"/>
                        </w:rPr>
                        <w:t xml:space="preserve"> </w:t>
                      </w:r>
                      <w:r w:rsidRPr="00820B09">
                        <w:rPr>
                          <w:rFonts w:asciiTheme="majorHAnsi" w:hAnsiTheme="majorHAnsi"/>
                          <w:sz w:val="20"/>
                          <w:szCs w:val="20"/>
                          <w:lang w:eastAsia="fr-FR"/>
                        </w:rPr>
                        <w:t xml:space="preserve">Risk assessments should be undertaken and contingency plans developed in consultation with employees with disabilities,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and specialized experts or service providers. I</w:t>
                      </w:r>
                      <w:r w:rsidR="00F8422A" w:rsidRPr="00820B09">
                        <w:rPr>
                          <w:rFonts w:asciiTheme="majorHAnsi" w:hAnsiTheme="majorHAnsi"/>
                          <w:sz w:val="20"/>
                          <w:szCs w:val="20"/>
                          <w:lang w:eastAsia="fr-FR"/>
                        </w:rPr>
                        <w:t>nformation about contingency plans should be provided in accessible and alternative formats for persons with disabilities</w:t>
                      </w:r>
                      <w:r w:rsidRPr="00820B09">
                        <w:rPr>
                          <w:rFonts w:asciiTheme="majorHAnsi" w:hAnsiTheme="majorHAnsi"/>
                          <w:sz w:val="20"/>
                          <w:szCs w:val="20"/>
                          <w:lang w:eastAsia="fr-FR"/>
                        </w:rPr>
                        <w:t xml:space="preserve">. </w:t>
                      </w:r>
                    </w:p>
                    <w:p w14:paraId="16E500E9" w14:textId="77777777" w:rsidR="00A772A7" w:rsidRPr="00820B09" w:rsidRDefault="00A772A7" w:rsidP="009F4C54">
                      <w:pPr>
                        <w:jc w:val="both"/>
                        <w:rPr>
                          <w:rFonts w:asciiTheme="majorHAnsi" w:hAnsiTheme="majorHAnsi"/>
                          <w:sz w:val="20"/>
                          <w:szCs w:val="20"/>
                          <w:lang w:eastAsia="fr-FR"/>
                        </w:rPr>
                      </w:pPr>
                    </w:p>
                    <w:p w14:paraId="3B0E9216" w14:textId="619ED973" w:rsidR="00A772A7" w:rsidRPr="00820B09" w:rsidRDefault="00A772A7" w:rsidP="009F4C54">
                      <w:pPr>
                        <w:jc w:val="both"/>
                        <w:rPr>
                          <w:rFonts w:asciiTheme="majorHAnsi" w:hAnsiTheme="majorHAnsi"/>
                          <w:sz w:val="20"/>
                          <w:szCs w:val="20"/>
                          <w:lang w:eastAsia="fr-FR"/>
                        </w:rPr>
                      </w:pPr>
                      <w:r w:rsidRPr="00820B09">
                        <w:rPr>
                          <w:rFonts w:asciiTheme="majorHAnsi" w:hAnsiTheme="majorHAnsi"/>
                          <w:sz w:val="20"/>
                          <w:szCs w:val="20"/>
                          <w:lang w:eastAsia="fr-FR"/>
                        </w:rPr>
                        <w:t>See indicator 5.A.3.3 for more information about including persons with disabilities in emergency and disaster response plans, and indicator 4.B.1.4 for more information about accessible information formats</w:t>
                      </w:r>
                      <w:r w:rsidR="0084416A" w:rsidRPr="00820B09">
                        <w:rPr>
                          <w:rFonts w:asciiTheme="majorHAnsi" w:hAnsiTheme="majorHAnsi"/>
                          <w:sz w:val="20"/>
                          <w:szCs w:val="20"/>
                          <w:lang w:eastAsia="fr-FR"/>
                        </w:rPr>
                        <w:t>.</w:t>
                      </w:r>
                    </w:p>
                  </w:txbxContent>
                </v:textbox>
                <w10:wrap type="square" anchorx="margin"/>
              </v:shape>
            </w:pict>
          </mc:Fallback>
        </mc:AlternateContent>
      </w:r>
    </w:p>
    <w:p w14:paraId="5AA55F31" w14:textId="3C7522F1" w:rsidR="008647AB" w:rsidRPr="00A608EE" w:rsidRDefault="008647AB" w:rsidP="00EE208A">
      <w:pPr>
        <w:jc w:val="both"/>
        <w:rPr>
          <w:rFonts w:asciiTheme="majorHAnsi" w:hAnsiTheme="majorHAnsi"/>
          <w:szCs w:val="20"/>
          <w:lang w:eastAsia="fr-FR"/>
        </w:rPr>
      </w:pPr>
    </w:p>
    <w:p w14:paraId="0F4CB4DD" w14:textId="110DD4B2" w:rsidR="008647AB" w:rsidRPr="00A608EE" w:rsidRDefault="008647A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019B4F57" w14:textId="77777777" w:rsidR="00E648E7" w:rsidRPr="00A608EE" w:rsidRDefault="00E648E7" w:rsidP="00A27AAA">
      <w:pPr>
        <w:pStyle w:val="ListParagraph"/>
        <w:numPr>
          <w:ilvl w:val="0"/>
          <w:numId w:val="371"/>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To answer ‘yes’, the provider must have a documented disaster contingency plan or disaster risk reduction and management plan, with clear distribution of roles and responsibilities and definition of procedures to follow before, during and immediately after a disaster (e.g. warning system, communication protocol, evacuation procedures, emergency procedures, etc.). The plan should be known from all employees.</w:t>
      </w:r>
    </w:p>
    <w:p w14:paraId="4BF495A9" w14:textId="77777777" w:rsidR="00E648E7" w:rsidRPr="00A608EE" w:rsidRDefault="00E648E7" w:rsidP="00A27AAA">
      <w:pPr>
        <w:pStyle w:val="ListParagraph"/>
        <w:numPr>
          <w:ilvl w:val="0"/>
          <w:numId w:val="371"/>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If the provider has a documented disaster contingency plan, but the latter is not known from employees at all level, then the answer should be ‘partially.’</w:t>
      </w:r>
    </w:p>
    <w:p w14:paraId="421A47EB" w14:textId="2605EA27" w:rsidR="008647AB" w:rsidRPr="00A608EE" w:rsidRDefault="008647AB" w:rsidP="00A27AAA">
      <w:pPr>
        <w:pStyle w:val="ListParagraph"/>
        <w:numPr>
          <w:ilvl w:val="0"/>
          <w:numId w:val="371"/>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Assign ‘no’ if the plan remains very vague or does not exist.</w:t>
      </w:r>
    </w:p>
    <w:p w14:paraId="0545E667" w14:textId="77777777" w:rsidR="008647AB" w:rsidRPr="00A608EE" w:rsidRDefault="008647AB" w:rsidP="00EE208A">
      <w:pPr>
        <w:jc w:val="both"/>
        <w:rPr>
          <w:rFonts w:asciiTheme="majorHAnsi" w:hAnsiTheme="majorHAnsi"/>
          <w:sz w:val="20"/>
          <w:szCs w:val="20"/>
          <w:lang w:eastAsia="fr-FR"/>
        </w:rPr>
      </w:pPr>
    </w:p>
    <w:p w14:paraId="02A8E2B1" w14:textId="1541D34A" w:rsidR="008647AB" w:rsidRPr="00A608EE" w:rsidRDefault="008647A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240D41A5" w14:textId="77777777" w:rsidR="008647AB" w:rsidRPr="00A608EE" w:rsidRDefault="008647AB" w:rsidP="00A27AAA">
      <w:pPr>
        <w:numPr>
          <w:ilvl w:val="0"/>
          <w:numId w:val="370"/>
        </w:numPr>
        <w:jc w:val="both"/>
        <w:rPr>
          <w:rFonts w:asciiTheme="majorHAnsi" w:hAnsiTheme="majorHAnsi"/>
          <w:sz w:val="20"/>
          <w:szCs w:val="20"/>
          <w:lang w:eastAsia="fr-FR"/>
        </w:rPr>
      </w:pPr>
      <w:r w:rsidRPr="00A608EE">
        <w:rPr>
          <w:rFonts w:asciiTheme="majorHAnsi" w:hAnsiTheme="majorHAnsi"/>
          <w:sz w:val="20"/>
          <w:szCs w:val="20"/>
          <w:lang w:eastAsia="fr-FR"/>
        </w:rPr>
        <w:t>Disaster contingency plan</w:t>
      </w:r>
    </w:p>
    <w:p w14:paraId="2B9C2A44" w14:textId="77777777" w:rsidR="008647AB" w:rsidRPr="00A608EE" w:rsidRDefault="008647AB" w:rsidP="00A27AAA">
      <w:pPr>
        <w:numPr>
          <w:ilvl w:val="0"/>
          <w:numId w:val="370"/>
        </w:numPr>
        <w:jc w:val="both"/>
        <w:rPr>
          <w:rFonts w:asciiTheme="majorHAnsi" w:hAnsiTheme="majorHAnsi"/>
          <w:sz w:val="20"/>
          <w:szCs w:val="20"/>
          <w:lang w:eastAsia="fr-FR"/>
        </w:rPr>
      </w:pPr>
      <w:r w:rsidRPr="00A608EE">
        <w:rPr>
          <w:rFonts w:asciiTheme="majorHAnsi" w:hAnsiTheme="majorHAnsi"/>
          <w:sz w:val="20"/>
          <w:szCs w:val="20"/>
          <w:lang w:eastAsia="fr-FR"/>
        </w:rPr>
        <w:t>Interviews with CEO/operations manager</w:t>
      </w:r>
    </w:p>
    <w:p w14:paraId="210E3C96" w14:textId="77777777" w:rsidR="008647AB" w:rsidRPr="00A608EE" w:rsidRDefault="008647AB" w:rsidP="00A27AAA">
      <w:pPr>
        <w:numPr>
          <w:ilvl w:val="0"/>
          <w:numId w:val="370"/>
        </w:numPr>
        <w:jc w:val="both"/>
        <w:rPr>
          <w:rFonts w:asciiTheme="majorHAnsi" w:hAnsiTheme="majorHAnsi"/>
          <w:sz w:val="20"/>
          <w:szCs w:val="20"/>
          <w:lang w:eastAsia="fr-FR"/>
        </w:rPr>
      </w:pPr>
      <w:r w:rsidRPr="00A608EE">
        <w:rPr>
          <w:rFonts w:asciiTheme="majorHAnsi" w:hAnsiTheme="majorHAnsi"/>
          <w:sz w:val="20"/>
          <w:szCs w:val="20"/>
          <w:lang w:eastAsia="fr-FR"/>
        </w:rPr>
        <w:t>Interviews with the dedicated person on environmental strategy (if applicable)</w:t>
      </w:r>
    </w:p>
    <w:p w14:paraId="3A36FDB7" w14:textId="77777777" w:rsidR="008647AB" w:rsidRPr="00A608EE" w:rsidRDefault="008647AB" w:rsidP="00A27AAA">
      <w:pPr>
        <w:numPr>
          <w:ilvl w:val="0"/>
          <w:numId w:val="370"/>
        </w:numPr>
        <w:jc w:val="both"/>
        <w:rPr>
          <w:rFonts w:asciiTheme="majorHAnsi" w:hAnsiTheme="majorHAnsi"/>
          <w:sz w:val="20"/>
          <w:szCs w:val="20"/>
          <w:lang w:eastAsia="fr-FR"/>
        </w:rPr>
      </w:pPr>
      <w:r w:rsidRPr="00A608EE">
        <w:rPr>
          <w:rFonts w:asciiTheme="majorHAnsi" w:hAnsiTheme="majorHAnsi"/>
          <w:sz w:val="20"/>
          <w:szCs w:val="20"/>
          <w:lang w:eastAsia="fr-FR"/>
        </w:rPr>
        <w:t>Interviews with branch managers/field officers</w:t>
      </w:r>
    </w:p>
    <w:p w14:paraId="7B0EFD71" w14:textId="77777777" w:rsidR="008647AB" w:rsidRPr="00A608EE" w:rsidRDefault="008647AB" w:rsidP="00EE208A">
      <w:pPr>
        <w:jc w:val="both"/>
        <w:rPr>
          <w:rFonts w:asciiTheme="majorHAnsi" w:hAnsiTheme="majorHAnsi"/>
          <w:sz w:val="20"/>
          <w:szCs w:val="20"/>
          <w:lang w:eastAsia="fr-FR"/>
        </w:rPr>
      </w:pPr>
    </w:p>
    <w:p w14:paraId="6AB02A4C" w14:textId="15D72E11" w:rsidR="008647AB" w:rsidRPr="00A608EE" w:rsidRDefault="008647A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03539721" w14:textId="77777777" w:rsidR="008647AB" w:rsidRPr="00A608EE" w:rsidRDefault="008647AB" w:rsidP="00EE208A">
      <w:pPr>
        <w:jc w:val="both"/>
        <w:rPr>
          <w:rFonts w:asciiTheme="majorHAnsi" w:hAnsiTheme="majorHAnsi"/>
          <w:sz w:val="20"/>
          <w:szCs w:val="20"/>
          <w:lang w:eastAsia="fr-FR"/>
        </w:rPr>
      </w:pPr>
      <w:r w:rsidRPr="00A608EE">
        <w:rPr>
          <w:rFonts w:asciiTheme="majorHAnsi" w:hAnsiTheme="majorHAnsi"/>
          <w:sz w:val="20"/>
          <w:szCs w:val="20"/>
          <w:lang w:eastAsia="fr-FR"/>
        </w:rPr>
        <w:t>Mention the contingency plan and what year it was published. Specify how the contingency plan is shared with employees at all levels (e.g. Is it only by providing access to the document? Are there trainings or awareness-raising sessions on the roles/responsibilities/actions to be taken in case of disaster? Is it included in the induction training of the staff? etc.)</w:t>
      </w:r>
    </w:p>
    <w:p w14:paraId="71564663" w14:textId="77777777" w:rsidR="008647AB" w:rsidRPr="00A608EE" w:rsidRDefault="008647AB" w:rsidP="00EE208A">
      <w:pPr>
        <w:jc w:val="both"/>
        <w:rPr>
          <w:rFonts w:asciiTheme="majorHAnsi" w:hAnsiTheme="majorHAnsi"/>
          <w:b/>
          <w:bCs/>
          <w:sz w:val="20"/>
          <w:szCs w:val="20"/>
          <w:lang w:eastAsia="fr-FR"/>
        </w:rPr>
      </w:pPr>
    </w:p>
    <w:p w14:paraId="19ECAF43" w14:textId="096E8E50" w:rsidR="004636FA" w:rsidRPr="00A608EE" w:rsidRDefault="008647AB"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 xml:space="preserve">Resources for indicator </w:t>
      </w:r>
      <w:r w:rsidR="00F800BC" w:rsidRPr="00A608EE">
        <w:rPr>
          <w:rFonts w:asciiTheme="majorHAnsi" w:hAnsiTheme="majorHAnsi"/>
          <w:b/>
          <w:bCs/>
          <w:sz w:val="20"/>
          <w:szCs w:val="20"/>
        </w:rPr>
        <w:t>7.B.1.2</w:t>
      </w:r>
    </w:p>
    <w:p w14:paraId="11AB8DDC" w14:textId="77777777" w:rsidR="00452C15" w:rsidRPr="00A608EE" w:rsidRDefault="00452C15" w:rsidP="00A27AAA">
      <w:pPr>
        <w:pStyle w:val="NormalWeb"/>
        <w:numPr>
          <w:ilvl w:val="0"/>
          <w:numId w:val="49"/>
        </w:numPr>
        <w:spacing w:before="0" w:beforeAutospacing="0" w:after="0" w:afterAutospacing="0"/>
        <w:jc w:val="both"/>
        <w:rPr>
          <w:rFonts w:asciiTheme="majorHAnsi" w:hAnsiTheme="majorHAnsi"/>
          <w:sz w:val="20"/>
          <w:szCs w:val="20"/>
        </w:rPr>
      </w:pPr>
      <w:hyperlink r:id="rId312" w:history="1">
        <w:r w:rsidRPr="00A608EE">
          <w:rPr>
            <w:rStyle w:val="Hyperlink"/>
            <w:rFonts w:asciiTheme="majorHAnsi" w:hAnsiTheme="majorHAnsi"/>
            <w:sz w:val="20"/>
            <w:szCs w:val="20"/>
          </w:rPr>
          <w:t>12 Steps to Resiliency - A Guidebook on Disaster Risk Reduction and Business Continuity Planning for Microfinance Institutions</w:t>
        </w:r>
      </w:hyperlink>
    </w:p>
    <w:p w14:paraId="7D6DF9C0" w14:textId="77777777" w:rsidR="00452C15" w:rsidRPr="00A608EE" w:rsidRDefault="00452C15" w:rsidP="00A27AAA">
      <w:pPr>
        <w:pStyle w:val="NormalWeb"/>
        <w:numPr>
          <w:ilvl w:val="0"/>
          <w:numId w:val="49"/>
        </w:numPr>
        <w:spacing w:before="0" w:beforeAutospacing="0" w:after="0" w:afterAutospacing="0"/>
        <w:jc w:val="both"/>
        <w:rPr>
          <w:rFonts w:asciiTheme="majorHAnsi" w:hAnsiTheme="majorHAnsi"/>
          <w:sz w:val="20"/>
          <w:szCs w:val="20"/>
        </w:rPr>
      </w:pPr>
      <w:hyperlink r:id="rId313">
        <w:r w:rsidRPr="00A608EE">
          <w:rPr>
            <w:rStyle w:val="Hyperlink"/>
            <w:rFonts w:asciiTheme="majorHAnsi" w:hAnsiTheme="majorHAnsi"/>
            <w:sz w:val="20"/>
            <w:szCs w:val="20"/>
          </w:rPr>
          <w:t>Climate Risk Management framework of First MicroFinance Bank Pakistan</w:t>
        </w:r>
      </w:hyperlink>
    </w:p>
    <w:p w14:paraId="3C7D2223" w14:textId="77777777" w:rsidR="00606074" w:rsidRPr="00A608EE" w:rsidRDefault="00606074" w:rsidP="00EE208A">
      <w:pPr>
        <w:jc w:val="both"/>
        <w:rPr>
          <w:rFonts w:asciiTheme="majorHAnsi" w:hAnsiTheme="majorHAnsi"/>
          <w:szCs w:val="20"/>
        </w:rPr>
      </w:pPr>
    </w:p>
    <w:p w14:paraId="4573C324" w14:textId="1A257D9E" w:rsidR="004636FA" w:rsidRPr="00A608EE" w:rsidRDefault="004636FA" w:rsidP="00EE208A">
      <w:pPr>
        <w:pStyle w:val="Heading3"/>
        <w:spacing w:before="0" w:line="240" w:lineRule="auto"/>
        <w:jc w:val="both"/>
      </w:pPr>
      <w:bookmarkStart w:id="108" w:name="_Toc230938828"/>
      <w:r w:rsidRPr="00A608EE">
        <w:rPr>
          <w:rStyle w:val="text-primary"/>
        </w:rPr>
        <w:t>7.B.2</w:t>
      </w:r>
      <w:r w:rsidRPr="00A608EE">
        <w:t xml:space="preserve"> </w:t>
      </w:r>
      <w:r w:rsidR="00E648E7" w:rsidRPr="00A608EE">
        <w:t>The provider identifies and manages client-level environmental risks</w:t>
      </w:r>
      <w:r w:rsidR="006F07A8" w:rsidRPr="00A608EE">
        <w:t>.</w:t>
      </w:r>
      <w:bookmarkEnd w:id="108"/>
    </w:p>
    <w:p w14:paraId="3E315135" w14:textId="77777777" w:rsidR="006C447F" w:rsidRPr="00A608EE" w:rsidRDefault="006C447F" w:rsidP="00EE208A">
      <w:pPr>
        <w:jc w:val="both"/>
        <w:rPr>
          <w:rFonts w:asciiTheme="majorHAnsi" w:hAnsiTheme="majorHAnsi"/>
          <w:szCs w:val="20"/>
        </w:rPr>
      </w:pPr>
    </w:p>
    <w:p w14:paraId="6FA4235D" w14:textId="129C6FF7" w:rsidR="00273347" w:rsidRPr="00A608EE" w:rsidRDefault="00E648E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Essential Practice focuses on environmental risks at the portfolio or client level (while 7.B.1 focuses on environmental risks at institution level). It looks both at the environmental risks faced by clients (i.e. clients’ vulnerabilities to climate change and environmental degradation) and the environmental risks generated by clients (i.e. clients’ adverse impacts of on the environment).</w:t>
      </w:r>
    </w:p>
    <w:p w14:paraId="53C9F88A" w14:textId="77777777" w:rsidR="00E648E7" w:rsidRPr="00A608EE" w:rsidRDefault="00E648E7" w:rsidP="00EE208A">
      <w:pPr>
        <w:pStyle w:val="NormalWeb"/>
        <w:spacing w:before="0" w:beforeAutospacing="0" w:after="0" w:afterAutospacing="0"/>
        <w:jc w:val="both"/>
        <w:rPr>
          <w:rFonts w:asciiTheme="majorHAnsi" w:hAnsiTheme="majorHAnsi"/>
          <w:sz w:val="20"/>
          <w:szCs w:val="20"/>
        </w:rPr>
      </w:pPr>
    </w:p>
    <w:p w14:paraId="3EA6C475" w14:textId="0A7F53D1" w:rsidR="00606074" w:rsidRPr="00A608EE" w:rsidRDefault="00606074"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sz w:val="20"/>
          <w:szCs w:val="20"/>
        </w:rPr>
        <w:t>Resource</w:t>
      </w:r>
    </w:p>
    <w:p w14:paraId="3567CE2E" w14:textId="77777777" w:rsidR="00716AE1" w:rsidRPr="00A608EE" w:rsidRDefault="00716AE1" w:rsidP="00A27AAA">
      <w:pPr>
        <w:numPr>
          <w:ilvl w:val="0"/>
          <w:numId w:val="40"/>
        </w:numPr>
        <w:jc w:val="both"/>
        <w:rPr>
          <w:rStyle w:val="Hyperlink"/>
          <w:rFonts w:asciiTheme="majorHAnsi" w:hAnsiTheme="majorHAnsi"/>
          <w:color w:val="auto"/>
          <w:szCs w:val="20"/>
          <w:u w:val="none"/>
        </w:rPr>
      </w:pPr>
      <w:hyperlink r:id="rId314" w:tgtFrame="_blank" w:history="1">
        <w:r w:rsidRPr="00A608EE">
          <w:rPr>
            <w:rStyle w:val="Hyperlink"/>
            <w:rFonts w:asciiTheme="majorHAnsi" w:hAnsiTheme="majorHAnsi"/>
            <w:color w:val="auto"/>
            <w:szCs w:val="20"/>
          </w:rPr>
          <w:t>ESMS for Microfinance Institution, by IFC / First for Sustainability</w:t>
        </w:r>
      </w:hyperlink>
    </w:p>
    <w:p w14:paraId="2EB44F80" w14:textId="77777777" w:rsidR="00273347" w:rsidRPr="00A608EE" w:rsidRDefault="00273347" w:rsidP="00EE208A">
      <w:pPr>
        <w:jc w:val="both"/>
        <w:rPr>
          <w:rFonts w:asciiTheme="majorHAnsi" w:hAnsiTheme="majorHAnsi"/>
          <w:szCs w:val="20"/>
        </w:rPr>
      </w:pPr>
    </w:p>
    <w:p w14:paraId="0EC3F489" w14:textId="77777777" w:rsidR="00C71011" w:rsidRPr="00A608EE" w:rsidRDefault="00C71011" w:rsidP="00EE208A">
      <w:pPr>
        <w:jc w:val="both"/>
        <w:rPr>
          <w:rFonts w:asciiTheme="majorHAnsi" w:hAnsiTheme="majorHAnsi"/>
          <w:szCs w:val="20"/>
        </w:rPr>
      </w:pPr>
    </w:p>
    <w:p w14:paraId="5D146A33" w14:textId="21DEBA19" w:rsidR="006F07A8" w:rsidRPr="00A608EE" w:rsidRDefault="004636FA" w:rsidP="00EE208A">
      <w:pPr>
        <w:pStyle w:val="Heading4"/>
        <w:spacing w:before="0" w:line="240" w:lineRule="auto"/>
        <w:jc w:val="both"/>
        <w:rPr>
          <w:rFonts w:cs="Times New Roman"/>
        </w:rPr>
      </w:pPr>
      <w:r w:rsidRPr="00A608EE">
        <w:rPr>
          <w:rStyle w:val="text-primary"/>
        </w:rPr>
        <w:t>7.B.2.1</w:t>
      </w:r>
      <w:r w:rsidRPr="00A608EE">
        <w:t xml:space="preserve"> </w:t>
      </w:r>
      <w:r w:rsidR="00E648E7" w:rsidRPr="00A608EE">
        <w:rPr>
          <w:rFonts w:cs="Times New Roman"/>
        </w:rPr>
        <w:t>The provider identifies clients' vulnerability to climate change and environmental degradation related to the following</w:t>
      </w:r>
      <w:r w:rsidR="006F07A8" w:rsidRPr="00A608EE">
        <w:rPr>
          <w:rFonts w:cs="Times New Roman"/>
        </w:rPr>
        <w:t>:</w:t>
      </w:r>
    </w:p>
    <w:p w14:paraId="7ABF96CD" w14:textId="7B5BACC6" w:rsidR="00E648E7" w:rsidRPr="00A608EE" w:rsidRDefault="00E648E7" w:rsidP="00A27AAA">
      <w:pPr>
        <w:pStyle w:val="Heading4"/>
        <w:numPr>
          <w:ilvl w:val="0"/>
          <w:numId w:val="41"/>
        </w:numPr>
        <w:spacing w:line="240" w:lineRule="auto"/>
        <w:jc w:val="both"/>
        <w:rPr>
          <w:rFonts w:cs="Times New Roman"/>
          <w:sz w:val="20"/>
          <w:szCs w:val="20"/>
        </w:rPr>
      </w:pPr>
      <w:r w:rsidRPr="00A608EE">
        <w:rPr>
          <w:rFonts w:cs="Times New Roman"/>
          <w:sz w:val="20"/>
          <w:szCs w:val="20"/>
        </w:rPr>
        <w:t>Climate change</w:t>
      </w:r>
    </w:p>
    <w:p w14:paraId="23093E52" w14:textId="2AB1C1E1" w:rsidR="00E648E7" w:rsidRPr="00A608EE" w:rsidRDefault="00E648E7" w:rsidP="00A27AAA">
      <w:pPr>
        <w:pStyle w:val="Heading4"/>
        <w:numPr>
          <w:ilvl w:val="0"/>
          <w:numId w:val="41"/>
        </w:numPr>
        <w:spacing w:line="240" w:lineRule="auto"/>
        <w:jc w:val="both"/>
        <w:rPr>
          <w:rFonts w:cs="Times New Roman"/>
          <w:sz w:val="20"/>
          <w:szCs w:val="20"/>
        </w:rPr>
      </w:pPr>
      <w:r w:rsidRPr="00A608EE">
        <w:rPr>
          <w:rFonts w:cs="Times New Roman"/>
          <w:sz w:val="20"/>
          <w:szCs w:val="20"/>
        </w:rPr>
        <w:t>biodiversity loss</w:t>
      </w:r>
    </w:p>
    <w:p w14:paraId="3643F09D" w14:textId="2076C56B" w:rsidR="00273347" w:rsidRPr="00A608EE" w:rsidRDefault="00E648E7" w:rsidP="00A27AAA">
      <w:pPr>
        <w:pStyle w:val="Heading4"/>
        <w:numPr>
          <w:ilvl w:val="0"/>
          <w:numId w:val="41"/>
        </w:numPr>
        <w:spacing w:before="0" w:line="240" w:lineRule="auto"/>
        <w:jc w:val="both"/>
        <w:rPr>
          <w:rFonts w:cs="Times New Roman"/>
          <w:sz w:val="20"/>
          <w:szCs w:val="20"/>
        </w:rPr>
      </w:pPr>
      <w:r w:rsidRPr="00A608EE">
        <w:rPr>
          <w:rFonts w:cs="Times New Roman"/>
          <w:sz w:val="20"/>
          <w:szCs w:val="20"/>
        </w:rPr>
        <w:t>Pollution and other environmental degradation</w:t>
      </w:r>
    </w:p>
    <w:p w14:paraId="141EE286" w14:textId="77777777" w:rsidR="006F07A8" w:rsidRPr="00A608EE" w:rsidRDefault="006F07A8" w:rsidP="00EE208A">
      <w:pPr>
        <w:jc w:val="both"/>
      </w:pPr>
    </w:p>
    <w:p w14:paraId="1AF5759D" w14:textId="0A8E482B" w:rsidR="00C71011" w:rsidRPr="00A608EE" w:rsidRDefault="00C8735D"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C71011" w:rsidRPr="00A608EE">
        <w:rPr>
          <w:rFonts w:asciiTheme="majorHAnsi" w:hAnsiTheme="majorHAnsi" w:cstheme="majorHAnsi"/>
          <w:b/>
          <w:bCs/>
          <w:color w:val="2145CC" w:themeColor="accent5" w:themeShade="BF"/>
          <w:sz w:val="20"/>
          <w:szCs w:val="20"/>
        </w:rPr>
        <w:t>ESG Risk | ALINUS | SPI5 Entry | 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69CDE5CA" w14:textId="477F83A4" w:rsidR="00C71011" w:rsidRPr="00A608EE" w:rsidRDefault="00847D81" w:rsidP="00D402B3">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273A9C50" w14:textId="45C07707" w:rsidR="00847D81" w:rsidRPr="00A608EE" w:rsidRDefault="00E648E7" w:rsidP="00EE208A">
      <w:pPr>
        <w:jc w:val="both"/>
        <w:rPr>
          <w:rFonts w:asciiTheme="majorHAnsi" w:hAnsiTheme="majorHAnsi"/>
          <w:sz w:val="20"/>
          <w:szCs w:val="20"/>
          <w:lang w:eastAsia="fr-FR"/>
        </w:rPr>
      </w:pPr>
      <w:r w:rsidRPr="00A608EE">
        <w:rPr>
          <w:rFonts w:asciiTheme="majorHAnsi" w:hAnsiTheme="majorHAnsi"/>
          <w:sz w:val="20"/>
          <w:szCs w:val="20"/>
          <w:lang w:eastAsia="fr-FR"/>
        </w:rPr>
        <w:t>While poor and vulnerable people only contribute marginally to global greenhouse gas emissions (in particular in developing countries), they are the ones most affected by the effects of climate change and environmental degradation. This is largely due to their higher exposure and sensitivity to these risks (e.g. they may live in more disaster-prone areas, they rely more on natural resources for livelihoods…) and their lack of coping capacities (e.g. they do not have savings or insurance, they lack alternatives…). Climate change, biodiversity loss, pollutions or other environmental degradations may directly affect clients’ businesses, livelihoods, health, lives, and that of their families. For the provider, it may represent a financial risk of degraded portfolio quality. Identifying clients’ vulnerabilities to climate change and environmental degradation is an important first step to be able to manage and mitigate these risks. It is particularly important for providers working with clients in the agricultural sector, which is already directly impacted by climate change and will become increasingly impacted in the near future.</w:t>
      </w:r>
    </w:p>
    <w:p w14:paraId="577847E9" w14:textId="77777777" w:rsidR="00672763" w:rsidRPr="00A608EE" w:rsidRDefault="00672763" w:rsidP="00EE208A">
      <w:pPr>
        <w:jc w:val="both"/>
        <w:rPr>
          <w:rFonts w:asciiTheme="majorHAnsi" w:hAnsiTheme="majorHAnsi"/>
          <w:sz w:val="20"/>
          <w:szCs w:val="20"/>
          <w:lang w:eastAsia="fr-FR"/>
        </w:rPr>
      </w:pPr>
    </w:p>
    <w:p w14:paraId="69AE3343"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20384" behindDoc="1" locked="0" layoutInCell="1" allowOverlap="1" wp14:anchorId="5AF18CAC" wp14:editId="5384FFED">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6886107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5A01765" w14:textId="77777777" w:rsidR="00672763" w:rsidRPr="00A608EE" w:rsidRDefault="00672763" w:rsidP="00EE208A">
      <w:pPr>
        <w:jc w:val="both"/>
        <w:rPr>
          <w:rFonts w:asciiTheme="majorHAnsi" w:hAnsiTheme="majorHAnsi"/>
          <w:sz w:val="20"/>
          <w:szCs w:val="20"/>
          <w:lang w:eastAsia="fr-FR"/>
        </w:rPr>
      </w:pPr>
    </w:p>
    <w:p w14:paraId="2AAF9B0E" w14:textId="1FC5BF79" w:rsidR="00847D81" w:rsidRPr="00A608EE" w:rsidRDefault="00386AB6"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847D81" w:rsidRPr="00A608EE">
        <w:rPr>
          <w:rFonts w:asciiTheme="majorHAnsi" w:hAnsiTheme="majorHAnsi"/>
          <w:sz w:val="20"/>
          <w:szCs w:val="20"/>
          <w:lang w:eastAsia="fr-FR"/>
        </w:rPr>
        <w:t>The provider identifies specific vulnerabilities of clients with disabilities to climate change and environmental degradation.</w:t>
      </w:r>
    </w:p>
    <w:p w14:paraId="5D20D767" w14:textId="6F41EE99" w:rsidR="00847D81" w:rsidRPr="00A608EE" w:rsidRDefault="000F103B" w:rsidP="00EE208A">
      <w:pPr>
        <w:jc w:val="both"/>
        <w:rPr>
          <w:rFonts w:asciiTheme="majorHAnsi" w:hAnsiTheme="majorHAnsi"/>
          <w:sz w:val="20"/>
          <w:szCs w:val="20"/>
          <w:lang w:eastAsia="fr-FR"/>
        </w:rPr>
      </w:pPr>
      <w:r w:rsidRPr="00A608EE">
        <w:rPr>
          <w:noProof/>
        </w:rPr>
        <w:lastRenderedPageBreak/>
        <mc:AlternateContent>
          <mc:Choice Requires="wps">
            <w:drawing>
              <wp:anchor distT="0" distB="0" distL="114300" distR="114300" simplePos="0" relativeHeight="251739136" behindDoc="0" locked="0" layoutInCell="1" allowOverlap="1" wp14:anchorId="01951788" wp14:editId="380F407C">
                <wp:simplePos x="0" y="0"/>
                <wp:positionH relativeFrom="column">
                  <wp:posOffset>14605</wp:posOffset>
                </wp:positionH>
                <wp:positionV relativeFrom="paragraph">
                  <wp:posOffset>149860</wp:posOffset>
                </wp:positionV>
                <wp:extent cx="1828800" cy="1828800"/>
                <wp:effectExtent l="0" t="0" r="24130" b="27940"/>
                <wp:wrapSquare wrapText="bothSides"/>
                <wp:docPr id="526341061"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41649951" w14:textId="2AF9CAAA" w:rsidR="00847D81" w:rsidRPr="00820B09" w:rsidRDefault="0084416A"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847D81" w:rsidRPr="00820B09">
                              <w:rPr>
                                <w:rFonts w:asciiTheme="majorHAnsi" w:hAnsiTheme="majorHAnsi"/>
                                <w:b/>
                                <w:bCs/>
                                <w:sz w:val="20"/>
                                <w:szCs w:val="20"/>
                                <w:lang w:eastAsia="fr-FR"/>
                              </w:rPr>
                              <w:t>7.B.2.1</w:t>
                            </w:r>
                          </w:p>
                          <w:p w14:paraId="4B5A7EB5" w14:textId="77777777" w:rsidR="00847D81" w:rsidRPr="00820B09" w:rsidRDefault="00847D81" w:rsidP="00EE208A">
                            <w:pPr>
                              <w:jc w:val="both"/>
                              <w:rPr>
                                <w:rFonts w:asciiTheme="majorHAnsi" w:hAnsiTheme="majorHAnsi"/>
                                <w:sz w:val="20"/>
                                <w:szCs w:val="20"/>
                                <w:lang w:eastAsia="fr-FR"/>
                              </w:rPr>
                            </w:pPr>
                          </w:p>
                          <w:p w14:paraId="025F8D52" w14:textId="426FA8E3" w:rsidR="000F103B" w:rsidRPr="00820B09" w:rsidRDefault="000F103B" w:rsidP="00847D81">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vulnerable to the impacts of climate-change. They experience higher rates of poverty, and often live in more affordable but higher-risk areas (such as flood-prone areas), and have fewer resources to cope with economic losses resulting from climate hazards. They may also be more at risk from threats to health arising from </w:t>
                            </w:r>
                            <w:r w:rsidR="00D90E63" w:rsidRPr="00820B09">
                              <w:rPr>
                                <w:rFonts w:asciiTheme="majorHAnsi" w:hAnsiTheme="majorHAnsi"/>
                                <w:sz w:val="20"/>
                                <w:szCs w:val="20"/>
                                <w:lang w:eastAsia="fr-FR"/>
                              </w:rPr>
                              <w:t xml:space="preserve">air </w:t>
                            </w:r>
                            <w:r w:rsidRPr="00820B09">
                              <w:rPr>
                                <w:rFonts w:asciiTheme="majorHAnsi" w:hAnsiTheme="majorHAnsi"/>
                                <w:sz w:val="20"/>
                                <w:szCs w:val="20"/>
                                <w:lang w:eastAsia="fr-FR"/>
                              </w:rPr>
                              <w:t xml:space="preserve">pollution, </w:t>
                            </w:r>
                            <w:r w:rsidR="00D90E63" w:rsidRPr="00820B09">
                              <w:rPr>
                                <w:rFonts w:asciiTheme="majorHAnsi" w:hAnsiTheme="majorHAnsi"/>
                                <w:sz w:val="20"/>
                                <w:szCs w:val="20"/>
                                <w:lang w:eastAsia="fr-FR"/>
                              </w:rPr>
                              <w:t xml:space="preserve">greater extremes of </w:t>
                            </w:r>
                            <w:r w:rsidRPr="00820B09">
                              <w:rPr>
                                <w:rFonts w:asciiTheme="majorHAnsi" w:hAnsiTheme="majorHAnsi"/>
                                <w:sz w:val="20"/>
                                <w:szCs w:val="20"/>
                                <w:lang w:eastAsia="fr-FR"/>
                              </w:rPr>
                              <w:t>temperatures and environmental changes which can worsen existing health conditions or destroy vital medications.</w:t>
                            </w:r>
                            <w:r w:rsidR="00D90E63" w:rsidRPr="00820B09">
                              <w:rPr>
                                <w:rFonts w:asciiTheme="majorHAnsi" w:hAnsiTheme="majorHAnsi"/>
                                <w:sz w:val="20"/>
                                <w:szCs w:val="20"/>
                                <w:lang w:eastAsia="fr-FR"/>
                              </w:rPr>
                              <w:t xml:space="preserve"> Environmental changes may also disproportionately affect specific groups, such as increased skin cancer rates for individuals with albinism due to increased temperatures.</w:t>
                            </w:r>
                          </w:p>
                          <w:p w14:paraId="5470C7E9" w14:textId="77777777" w:rsidR="000F103B" w:rsidRPr="00820B09" w:rsidRDefault="000F103B" w:rsidP="00847D81">
                            <w:pPr>
                              <w:jc w:val="both"/>
                              <w:rPr>
                                <w:rFonts w:asciiTheme="majorHAnsi" w:hAnsiTheme="majorHAnsi"/>
                                <w:sz w:val="20"/>
                                <w:szCs w:val="20"/>
                                <w:lang w:eastAsia="fr-FR"/>
                              </w:rPr>
                            </w:pPr>
                          </w:p>
                          <w:p w14:paraId="425019D4" w14:textId="546AEBCC" w:rsidR="000F103B" w:rsidRPr="00820B09" w:rsidRDefault="00D90E63" w:rsidP="00847D81">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at </w:t>
                            </w:r>
                            <w:r w:rsidR="000F103B" w:rsidRPr="00820B09">
                              <w:rPr>
                                <w:rFonts w:asciiTheme="majorHAnsi" w:hAnsiTheme="majorHAnsi"/>
                                <w:sz w:val="20"/>
                                <w:szCs w:val="20"/>
                                <w:lang w:eastAsia="fr-FR"/>
                              </w:rPr>
                              <w:t xml:space="preserve">risk during </w:t>
                            </w:r>
                            <w:r w:rsidRPr="00820B09">
                              <w:rPr>
                                <w:rFonts w:asciiTheme="majorHAnsi" w:hAnsiTheme="majorHAnsi"/>
                                <w:sz w:val="20"/>
                                <w:szCs w:val="20"/>
                                <w:lang w:eastAsia="fr-FR"/>
                              </w:rPr>
                              <w:t xml:space="preserve">climate-related </w:t>
                            </w:r>
                            <w:r w:rsidR="000F103B" w:rsidRPr="00820B09">
                              <w:rPr>
                                <w:rFonts w:asciiTheme="majorHAnsi" w:hAnsiTheme="majorHAnsi"/>
                                <w:sz w:val="20"/>
                                <w:szCs w:val="20"/>
                                <w:lang w:eastAsia="fr-FR"/>
                              </w:rPr>
                              <w:t xml:space="preserve">disasters and emergencies, as they may be unable to access critical information, move away from danger, or access support services. In many cases, their needs are not considered in disaster risk management and emergency plans (including warning, evacuation, and recovery), and they are often overlooked during responses. </w:t>
                            </w:r>
                          </w:p>
                          <w:p w14:paraId="50C1E546" w14:textId="77777777" w:rsidR="000F103B" w:rsidRPr="00820B09" w:rsidRDefault="000F103B" w:rsidP="00847D81">
                            <w:pPr>
                              <w:jc w:val="both"/>
                              <w:rPr>
                                <w:rFonts w:asciiTheme="majorHAnsi" w:hAnsiTheme="majorHAnsi"/>
                                <w:sz w:val="20"/>
                                <w:szCs w:val="20"/>
                                <w:lang w:eastAsia="fr-FR"/>
                              </w:rPr>
                            </w:pPr>
                          </w:p>
                          <w:p w14:paraId="64DFA2CD" w14:textId="0461BA41" w:rsidR="00847D81" w:rsidRPr="00820B09" w:rsidRDefault="00847D81" w:rsidP="000F103B">
                            <w:pPr>
                              <w:jc w:val="both"/>
                              <w:rPr>
                                <w:rFonts w:asciiTheme="majorHAnsi" w:hAnsiTheme="majorHAnsi"/>
                                <w:sz w:val="20"/>
                                <w:szCs w:val="20"/>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1951788" id="_x0000_s1073" type="#_x0000_t202" style="position:absolute;left:0;text-align:left;margin-left:1.15pt;margin-top:11.8pt;width:2in;height:2in;z-index:2517391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" filled="f" strokeweight=".5pt">
                <v:textbox style="mso-fit-shape-to-text:t">
                  <w:txbxContent>
                    <w:p w14:paraId="41649951" w14:textId="2AF9CAAA" w:rsidR="00847D81" w:rsidRPr="00820B09" w:rsidRDefault="0084416A" w:rsidP="00EE208A">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847D81" w:rsidRPr="00820B09">
                        <w:rPr>
                          <w:rFonts w:asciiTheme="majorHAnsi" w:hAnsiTheme="majorHAnsi"/>
                          <w:b/>
                          <w:bCs/>
                          <w:sz w:val="20"/>
                          <w:szCs w:val="20"/>
                          <w:lang w:eastAsia="fr-FR"/>
                        </w:rPr>
                        <w:t>7.B.2.1</w:t>
                      </w:r>
                    </w:p>
                    <w:p w14:paraId="4B5A7EB5" w14:textId="77777777" w:rsidR="00847D81" w:rsidRPr="00820B09" w:rsidRDefault="00847D81" w:rsidP="00EE208A">
                      <w:pPr>
                        <w:jc w:val="both"/>
                        <w:rPr>
                          <w:rFonts w:asciiTheme="majorHAnsi" w:hAnsiTheme="majorHAnsi"/>
                          <w:sz w:val="20"/>
                          <w:szCs w:val="20"/>
                          <w:lang w:eastAsia="fr-FR"/>
                        </w:rPr>
                      </w:pPr>
                    </w:p>
                    <w:p w14:paraId="025F8D52" w14:textId="426FA8E3" w:rsidR="000F103B" w:rsidRPr="00820B09" w:rsidRDefault="000F103B" w:rsidP="00847D81">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vulnerable to the impacts of climate-change. They experience higher rates of poverty, and often live in more affordable but higher-risk areas (such as flood-prone areas), and have fewer resources to cope with economic losses resulting from climate hazards. They may also be more at risk from threats to health arising from </w:t>
                      </w:r>
                      <w:r w:rsidR="00D90E63" w:rsidRPr="00820B09">
                        <w:rPr>
                          <w:rFonts w:asciiTheme="majorHAnsi" w:hAnsiTheme="majorHAnsi"/>
                          <w:sz w:val="20"/>
                          <w:szCs w:val="20"/>
                          <w:lang w:eastAsia="fr-FR"/>
                        </w:rPr>
                        <w:t xml:space="preserve">air </w:t>
                      </w:r>
                      <w:r w:rsidRPr="00820B09">
                        <w:rPr>
                          <w:rFonts w:asciiTheme="majorHAnsi" w:hAnsiTheme="majorHAnsi"/>
                          <w:sz w:val="20"/>
                          <w:szCs w:val="20"/>
                          <w:lang w:eastAsia="fr-FR"/>
                        </w:rPr>
                        <w:t xml:space="preserve">pollution, </w:t>
                      </w:r>
                      <w:r w:rsidR="00D90E63" w:rsidRPr="00820B09">
                        <w:rPr>
                          <w:rFonts w:asciiTheme="majorHAnsi" w:hAnsiTheme="majorHAnsi"/>
                          <w:sz w:val="20"/>
                          <w:szCs w:val="20"/>
                          <w:lang w:eastAsia="fr-FR"/>
                        </w:rPr>
                        <w:t xml:space="preserve">greater extremes of </w:t>
                      </w:r>
                      <w:r w:rsidRPr="00820B09">
                        <w:rPr>
                          <w:rFonts w:asciiTheme="majorHAnsi" w:hAnsiTheme="majorHAnsi"/>
                          <w:sz w:val="20"/>
                          <w:szCs w:val="20"/>
                          <w:lang w:eastAsia="fr-FR"/>
                        </w:rPr>
                        <w:t>temperatures and environmental changes which can worsen existing health conditions or destroy vital medications.</w:t>
                      </w:r>
                      <w:r w:rsidR="00D90E63" w:rsidRPr="00820B09">
                        <w:rPr>
                          <w:rFonts w:asciiTheme="majorHAnsi" w:hAnsiTheme="majorHAnsi"/>
                          <w:sz w:val="20"/>
                          <w:szCs w:val="20"/>
                          <w:lang w:eastAsia="fr-FR"/>
                        </w:rPr>
                        <w:t xml:space="preserve"> Environmental changes may also disproportionately affect specific groups, such as increased skin cancer rates for individuals with albinism due to increased temperatures.</w:t>
                      </w:r>
                    </w:p>
                    <w:p w14:paraId="5470C7E9" w14:textId="77777777" w:rsidR="000F103B" w:rsidRPr="00820B09" w:rsidRDefault="000F103B" w:rsidP="00847D81">
                      <w:pPr>
                        <w:jc w:val="both"/>
                        <w:rPr>
                          <w:rFonts w:asciiTheme="majorHAnsi" w:hAnsiTheme="majorHAnsi"/>
                          <w:sz w:val="20"/>
                          <w:szCs w:val="20"/>
                          <w:lang w:eastAsia="fr-FR"/>
                        </w:rPr>
                      </w:pPr>
                    </w:p>
                    <w:p w14:paraId="425019D4" w14:textId="546AEBCC" w:rsidR="000F103B" w:rsidRPr="00820B09" w:rsidRDefault="00D90E63" w:rsidP="00847D81">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at </w:t>
                      </w:r>
                      <w:r w:rsidR="000F103B" w:rsidRPr="00820B09">
                        <w:rPr>
                          <w:rFonts w:asciiTheme="majorHAnsi" w:hAnsiTheme="majorHAnsi"/>
                          <w:sz w:val="20"/>
                          <w:szCs w:val="20"/>
                          <w:lang w:eastAsia="fr-FR"/>
                        </w:rPr>
                        <w:t xml:space="preserve">risk during </w:t>
                      </w:r>
                      <w:r w:rsidRPr="00820B09">
                        <w:rPr>
                          <w:rFonts w:asciiTheme="majorHAnsi" w:hAnsiTheme="majorHAnsi"/>
                          <w:sz w:val="20"/>
                          <w:szCs w:val="20"/>
                          <w:lang w:eastAsia="fr-FR"/>
                        </w:rPr>
                        <w:t xml:space="preserve">climate-related </w:t>
                      </w:r>
                      <w:r w:rsidR="000F103B" w:rsidRPr="00820B09">
                        <w:rPr>
                          <w:rFonts w:asciiTheme="majorHAnsi" w:hAnsiTheme="majorHAnsi"/>
                          <w:sz w:val="20"/>
                          <w:szCs w:val="20"/>
                          <w:lang w:eastAsia="fr-FR"/>
                        </w:rPr>
                        <w:t xml:space="preserve">disasters and emergencies, as they may be unable to access critical information, move away from danger, or access support services. In many cases, their needs are not considered in disaster risk management and emergency plans (including warning, evacuation, and recovery), and they are often overlooked during responses. </w:t>
                      </w:r>
                    </w:p>
                    <w:p w14:paraId="50C1E546" w14:textId="77777777" w:rsidR="000F103B" w:rsidRPr="00820B09" w:rsidRDefault="000F103B" w:rsidP="00847D81">
                      <w:pPr>
                        <w:jc w:val="both"/>
                        <w:rPr>
                          <w:rFonts w:asciiTheme="majorHAnsi" w:hAnsiTheme="majorHAnsi"/>
                          <w:sz w:val="20"/>
                          <w:szCs w:val="20"/>
                          <w:lang w:eastAsia="fr-FR"/>
                        </w:rPr>
                      </w:pPr>
                    </w:p>
                    <w:p w14:paraId="64DFA2CD" w14:textId="0461BA41" w:rsidR="00847D81" w:rsidRPr="00820B09" w:rsidRDefault="00847D81" w:rsidP="000F103B">
                      <w:pPr>
                        <w:jc w:val="both"/>
                        <w:rPr>
                          <w:rFonts w:asciiTheme="majorHAnsi" w:hAnsiTheme="majorHAnsi"/>
                          <w:sz w:val="20"/>
                          <w:szCs w:val="20"/>
                          <w:lang w:eastAsia="fr-FR"/>
                        </w:rPr>
                      </w:pPr>
                    </w:p>
                  </w:txbxContent>
                </v:textbox>
                <w10:wrap type="square"/>
              </v:shape>
            </w:pict>
          </mc:Fallback>
        </mc:AlternateContent>
      </w:r>
    </w:p>
    <w:p w14:paraId="0312D615" w14:textId="6ACA5594" w:rsidR="00E648E7" w:rsidRPr="00A608EE" w:rsidRDefault="00E648E7" w:rsidP="00EE208A">
      <w:pPr>
        <w:jc w:val="both"/>
        <w:rPr>
          <w:rFonts w:asciiTheme="majorHAnsi" w:hAnsiTheme="majorHAnsi"/>
          <w:szCs w:val="20"/>
          <w:lang w:eastAsia="fr-FR"/>
        </w:rPr>
      </w:pPr>
    </w:p>
    <w:p w14:paraId="40ED48B7" w14:textId="4923F24A" w:rsidR="00E648E7" w:rsidRPr="00A608EE" w:rsidRDefault="00E648E7"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6A0B69BF" w14:textId="77777777" w:rsidR="00E648E7" w:rsidRPr="00A608EE" w:rsidRDefault="00E648E7" w:rsidP="00A27AAA">
      <w:pPr>
        <w:pStyle w:val="ListParagraph"/>
        <w:numPr>
          <w:ilvl w:val="0"/>
          <w:numId w:val="373"/>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To answer "yes", the provider must assess the level of exposure and sensitivity of its clients to climate and environmental risks, per geographic areas and sector of activities, as well as their adaptive capacities to such risks. This assessment should be updated at least every two years.</w:t>
      </w:r>
    </w:p>
    <w:p w14:paraId="52E4B959" w14:textId="1AC70FA4" w:rsidR="00E648E7" w:rsidRPr="00A608EE" w:rsidRDefault="00E648E7" w:rsidP="00A27AAA">
      <w:pPr>
        <w:pStyle w:val="ListParagraph"/>
        <w:numPr>
          <w:ilvl w:val="0"/>
          <w:numId w:val="373"/>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If the assessment is not conducted for the whole portfolio, or if it is not done regularly, or if has just been done once, the answer should be ‘partially’.</w:t>
      </w:r>
    </w:p>
    <w:p w14:paraId="14E1EB48" w14:textId="45094892" w:rsidR="00E648E7" w:rsidRPr="00A608EE" w:rsidRDefault="00E648E7" w:rsidP="00A27AAA">
      <w:pPr>
        <w:pStyle w:val="ListParagraph"/>
        <w:numPr>
          <w:ilvl w:val="0"/>
          <w:numId w:val="373"/>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Assign ‘no’ if no assessment has been made.</w:t>
      </w:r>
    </w:p>
    <w:p w14:paraId="46FBE8EF" w14:textId="77777777" w:rsidR="00E648E7" w:rsidRPr="00A608EE" w:rsidRDefault="00E648E7" w:rsidP="00EE208A">
      <w:pPr>
        <w:jc w:val="both"/>
        <w:rPr>
          <w:rFonts w:asciiTheme="majorHAnsi" w:hAnsiTheme="majorHAnsi"/>
          <w:sz w:val="20"/>
          <w:szCs w:val="20"/>
          <w:lang w:eastAsia="fr-FR"/>
        </w:rPr>
      </w:pPr>
    </w:p>
    <w:p w14:paraId="2BA779EE" w14:textId="40F30B0E" w:rsidR="00E648E7" w:rsidRPr="00A608EE" w:rsidRDefault="00E648E7"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52FD56D5" w14:textId="77777777" w:rsidR="00E648E7" w:rsidRPr="00A608EE" w:rsidRDefault="00E648E7" w:rsidP="00A27AAA">
      <w:pPr>
        <w:numPr>
          <w:ilvl w:val="0"/>
          <w:numId w:val="372"/>
        </w:numPr>
        <w:jc w:val="both"/>
        <w:rPr>
          <w:rFonts w:asciiTheme="majorHAnsi" w:hAnsiTheme="majorHAnsi"/>
          <w:sz w:val="20"/>
          <w:szCs w:val="20"/>
          <w:lang w:eastAsia="fr-FR"/>
        </w:rPr>
      </w:pPr>
      <w:r w:rsidRPr="00A608EE">
        <w:rPr>
          <w:rFonts w:asciiTheme="majorHAnsi" w:hAnsiTheme="majorHAnsi"/>
          <w:sz w:val="20"/>
          <w:szCs w:val="20"/>
          <w:lang w:eastAsia="fr-FR"/>
        </w:rPr>
        <w:t>Risk mapping / portfolio segmentation by level of risks</w:t>
      </w:r>
    </w:p>
    <w:p w14:paraId="5BF90C22" w14:textId="77777777" w:rsidR="00E648E7" w:rsidRPr="00A608EE" w:rsidRDefault="00E648E7" w:rsidP="00A27AAA">
      <w:pPr>
        <w:numPr>
          <w:ilvl w:val="0"/>
          <w:numId w:val="372"/>
        </w:numPr>
        <w:jc w:val="both"/>
        <w:rPr>
          <w:rFonts w:asciiTheme="majorHAnsi" w:hAnsiTheme="majorHAnsi"/>
          <w:sz w:val="20"/>
          <w:szCs w:val="20"/>
          <w:lang w:eastAsia="fr-FR"/>
        </w:rPr>
      </w:pPr>
      <w:r w:rsidRPr="00A608EE">
        <w:rPr>
          <w:rFonts w:asciiTheme="majorHAnsi" w:hAnsiTheme="majorHAnsi"/>
          <w:sz w:val="20"/>
          <w:szCs w:val="20"/>
          <w:lang w:eastAsia="fr-FR"/>
        </w:rPr>
        <w:t>Interviews with Risk Management</w:t>
      </w:r>
    </w:p>
    <w:p w14:paraId="7C535D9F" w14:textId="77777777" w:rsidR="00E648E7" w:rsidRPr="00A608EE" w:rsidRDefault="00E648E7" w:rsidP="00A27AAA">
      <w:pPr>
        <w:numPr>
          <w:ilvl w:val="0"/>
          <w:numId w:val="372"/>
        </w:numPr>
        <w:jc w:val="both"/>
        <w:rPr>
          <w:rFonts w:asciiTheme="majorHAnsi" w:hAnsiTheme="majorHAnsi"/>
          <w:sz w:val="20"/>
          <w:szCs w:val="20"/>
          <w:lang w:eastAsia="fr-FR"/>
        </w:rPr>
      </w:pPr>
      <w:r w:rsidRPr="00A608EE">
        <w:rPr>
          <w:rFonts w:asciiTheme="majorHAnsi" w:hAnsiTheme="majorHAnsi"/>
          <w:sz w:val="20"/>
          <w:szCs w:val="20"/>
          <w:lang w:eastAsia="fr-FR"/>
        </w:rPr>
        <w:t>Interview with the dedicated person on environmental strategy (if applicable)</w:t>
      </w:r>
    </w:p>
    <w:p w14:paraId="11533A5F" w14:textId="77777777" w:rsidR="00E648E7" w:rsidRPr="00A608EE" w:rsidRDefault="00E648E7" w:rsidP="00EE208A">
      <w:pPr>
        <w:jc w:val="both"/>
        <w:rPr>
          <w:rFonts w:asciiTheme="majorHAnsi" w:hAnsiTheme="majorHAnsi"/>
          <w:sz w:val="20"/>
          <w:szCs w:val="20"/>
          <w:lang w:eastAsia="fr-FR"/>
        </w:rPr>
      </w:pPr>
    </w:p>
    <w:p w14:paraId="253BA4D5" w14:textId="260462E9" w:rsidR="00E648E7" w:rsidRPr="00A608EE" w:rsidRDefault="00E648E7"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7C2F53D2" w14:textId="77777777" w:rsidR="00E648E7" w:rsidRPr="00A608EE" w:rsidRDefault="00E648E7" w:rsidP="00EE208A">
      <w:pPr>
        <w:jc w:val="both"/>
        <w:rPr>
          <w:rFonts w:asciiTheme="majorHAnsi" w:hAnsiTheme="majorHAnsi"/>
          <w:sz w:val="20"/>
          <w:szCs w:val="20"/>
          <w:lang w:eastAsia="fr-FR"/>
        </w:rPr>
      </w:pPr>
      <w:r w:rsidRPr="00A608EE">
        <w:rPr>
          <w:rFonts w:asciiTheme="majorHAnsi" w:hAnsiTheme="majorHAnsi"/>
          <w:sz w:val="20"/>
          <w:szCs w:val="20"/>
          <w:lang w:eastAsia="fr-FR"/>
        </w:rPr>
        <w:t>Specify what types of client-level risks are assessed, how the assessment is conducted and at what frequency.</w:t>
      </w:r>
    </w:p>
    <w:p w14:paraId="42F0AC07" w14:textId="77777777" w:rsidR="00E648E7" w:rsidRPr="00A608EE" w:rsidRDefault="00E648E7" w:rsidP="00EE208A">
      <w:pPr>
        <w:jc w:val="both"/>
        <w:rPr>
          <w:rFonts w:asciiTheme="majorHAnsi" w:hAnsiTheme="majorHAnsi"/>
          <w:b/>
          <w:bCs/>
          <w:sz w:val="20"/>
          <w:szCs w:val="20"/>
          <w:lang w:eastAsia="fr-FR"/>
        </w:rPr>
      </w:pPr>
    </w:p>
    <w:p w14:paraId="3790619F" w14:textId="14ACC43A" w:rsidR="004636FA" w:rsidRPr="00A608EE" w:rsidRDefault="00E648E7"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 xml:space="preserve">Resources for indicator </w:t>
      </w:r>
      <w:r w:rsidR="00F800BC" w:rsidRPr="00A608EE">
        <w:rPr>
          <w:rFonts w:asciiTheme="majorHAnsi" w:hAnsiTheme="majorHAnsi"/>
          <w:b/>
          <w:bCs/>
          <w:sz w:val="20"/>
          <w:szCs w:val="20"/>
        </w:rPr>
        <w:t>7.B.2.1</w:t>
      </w:r>
    </w:p>
    <w:p w14:paraId="18738017" w14:textId="77777777" w:rsidR="00C71011" w:rsidRPr="00A608EE" w:rsidRDefault="00C71011" w:rsidP="00A27AAA">
      <w:pPr>
        <w:pStyle w:val="NormalWeb"/>
        <w:numPr>
          <w:ilvl w:val="0"/>
          <w:numId w:val="52"/>
        </w:numPr>
        <w:spacing w:before="0" w:beforeAutospacing="0" w:after="0" w:afterAutospacing="0"/>
        <w:jc w:val="both"/>
        <w:rPr>
          <w:rFonts w:asciiTheme="majorHAnsi" w:hAnsiTheme="majorHAnsi"/>
          <w:sz w:val="20"/>
          <w:szCs w:val="20"/>
        </w:rPr>
      </w:pPr>
      <w:hyperlink r:id="rId315" w:history="1">
        <w:r w:rsidRPr="00A608EE">
          <w:rPr>
            <w:rStyle w:val="Hyperlink"/>
            <w:rFonts w:asciiTheme="majorHAnsi" w:hAnsiTheme="majorHAnsi"/>
            <w:sz w:val="20"/>
            <w:szCs w:val="20"/>
          </w:rPr>
          <w:t>Climate Risk Management framework of First MicroFinance Bank Pakistan</w:t>
        </w:r>
      </w:hyperlink>
    </w:p>
    <w:p w14:paraId="2205BAE3" w14:textId="77777777" w:rsidR="00C71011" w:rsidRPr="00A608EE" w:rsidRDefault="00C71011" w:rsidP="00A27AAA">
      <w:pPr>
        <w:pStyle w:val="NormalWeb"/>
        <w:numPr>
          <w:ilvl w:val="0"/>
          <w:numId w:val="52"/>
        </w:numPr>
        <w:spacing w:before="0" w:beforeAutospacing="0" w:after="0" w:afterAutospacing="0"/>
        <w:jc w:val="both"/>
        <w:rPr>
          <w:rFonts w:asciiTheme="majorHAnsi" w:hAnsiTheme="majorHAnsi"/>
          <w:sz w:val="20"/>
          <w:szCs w:val="20"/>
          <w:lang w:val="fr-FR"/>
        </w:rPr>
      </w:pPr>
      <w:hyperlink r:id="rId316" w:tgtFrame="_blank" w:history="1">
        <w:r w:rsidRPr="00A608EE">
          <w:rPr>
            <w:rStyle w:val="Hyperlink"/>
            <w:rFonts w:asciiTheme="majorHAnsi" w:hAnsiTheme="majorHAnsi"/>
            <w:sz w:val="20"/>
            <w:szCs w:val="20"/>
            <w:lang w:val="fr-FR"/>
          </w:rPr>
          <w:t>L'agriculture Ouest-Africaine face au changement climatique (UNEP-MeBA)</w:t>
        </w:r>
      </w:hyperlink>
    </w:p>
    <w:p w14:paraId="50DF69B6" w14:textId="77777777" w:rsidR="00C71011" w:rsidRPr="00A608EE" w:rsidRDefault="00C71011" w:rsidP="00A27AAA">
      <w:pPr>
        <w:pStyle w:val="NormalWeb"/>
        <w:numPr>
          <w:ilvl w:val="0"/>
          <w:numId w:val="52"/>
        </w:numPr>
        <w:spacing w:before="0" w:beforeAutospacing="0" w:after="0" w:afterAutospacing="0"/>
        <w:jc w:val="both"/>
        <w:rPr>
          <w:rFonts w:asciiTheme="majorHAnsi" w:hAnsiTheme="majorHAnsi"/>
          <w:sz w:val="20"/>
          <w:szCs w:val="20"/>
          <w:lang w:val="es-ES"/>
        </w:rPr>
      </w:pPr>
      <w:hyperlink r:id="rId317" w:tgtFrame="_blank" w:history="1">
        <w:r w:rsidRPr="00A608EE">
          <w:rPr>
            <w:rStyle w:val="Hyperlink"/>
            <w:rFonts w:asciiTheme="majorHAnsi" w:hAnsiTheme="majorHAnsi"/>
            <w:sz w:val="20"/>
            <w:szCs w:val="20"/>
            <w:lang w:val="es-ES"/>
          </w:rPr>
          <w:t>La agricultura andina frente al cambio climático (UNEP-MeBA)</w:t>
        </w:r>
      </w:hyperlink>
    </w:p>
    <w:p w14:paraId="25E73D64" w14:textId="77777777" w:rsidR="00C71011" w:rsidRPr="00A608EE" w:rsidRDefault="00C71011" w:rsidP="00A27AAA">
      <w:pPr>
        <w:pStyle w:val="NormalWeb"/>
        <w:numPr>
          <w:ilvl w:val="0"/>
          <w:numId w:val="52"/>
        </w:numPr>
        <w:spacing w:before="0" w:beforeAutospacing="0" w:after="0" w:afterAutospacing="0"/>
        <w:jc w:val="both"/>
        <w:rPr>
          <w:rFonts w:asciiTheme="majorHAnsi" w:hAnsiTheme="majorHAnsi"/>
          <w:sz w:val="20"/>
          <w:szCs w:val="20"/>
          <w:lang w:val="es-ES"/>
        </w:rPr>
      </w:pPr>
      <w:hyperlink r:id="rId318">
        <w:r w:rsidRPr="00A608EE">
          <w:rPr>
            <w:rStyle w:val="Hyperlink"/>
            <w:rFonts w:asciiTheme="majorHAnsi" w:hAnsiTheme="majorHAnsi"/>
            <w:sz w:val="20"/>
            <w:szCs w:val="20"/>
            <w:lang w:val="es-ES"/>
          </w:rPr>
          <w:t>La agricultura de Centroamérica y el Caribe frente al cambio climático (UNEP-MeBA)</w:t>
        </w:r>
      </w:hyperlink>
    </w:p>
    <w:p w14:paraId="6788A3CE" w14:textId="77777777" w:rsidR="006C447F" w:rsidRPr="00A608EE" w:rsidRDefault="006C447F" w:rsidP="00EE208A">
      <w:pPr>
        <w:jc w:val="both"/>
        <w:rPr>
          <w:rFonts w:asciiTheme="majorHAnsi" w:hAnsiTheme="majorHAnsi"/>
          <w:szCs w:val="20"/>
          <w:lang w:val="es-ES"/>
        </w:rPr>
      </w:pPr>
    </w:p>
    <w:p w14:paraId="3A85A569" w14:textId="77777777" w:rsidR="00C71011" w:rsidRPr="00A608EE" w:rsidRDefault="00C71011" w:rsidP="00EE208A">
      <w:pPr>
        <w:jc w:val="both"/>
        <w:rPr>
          <w:rFonts w:asciiTheme="majorHAnsi" w:hAnsiTheme="majorHAnsi"/>
          <w:szCs w:val="20"/>
          <w:lang w:val="es-ES"/>
        </w:rPr>
      </w:pPr>
    </w:p>
    <w:p w14:paraId="779C80BE" w14:textId="30F0B231" w:rsidR="00B853B7" w:rsidRPr="00A608EE" w:rsidRDefault="004636FA" w:rsidP="00EE208A">
      <w:pPr>
        <w:jc w:val="both"/>
        <w:rPr>
          <w:rFonts w:asciiTheme="majorHAnsi" w:eastAsiaTheme="majorEastAsia" w:hAnsiTheme="majorHAnsi" w:cstheme="majorBidi"/>
          <w:i/>
          <w:iCs/>
        </w:rPr>
      </w:pPr>
      <w:r w:rsidRPr="00A608EE">
        <w:rPr>
          <w:rStyle w:val="text-primary"/>
          <w:rFonts w:asciiTheme="majorHAnsi" w:eastAsiaTheme="majorEastAsia" w:hAnsiTheme="majorHAnsi" w:cstheme="majorBidi"/>
          <w:i/>
          <w:iCs/>
        </w:rPr>
        <w:t>7.B.2.3</w:t>
      </w:r>
      <w:r w:rsidRPr="00A608EE">
        <w:t xml:space="preserve"> </w:t>
      </w:r>
      <w:r w:rsidR="007F52A3" w:rsidRPr="00A608EE">
        <w:rPr>
          <w:rFonts w:asciiTheme="majorHAnsi" w:eastAsiaTheme="majorEastAsia" w:hAnsiTheme="majorHAnsi" w:cstheme="majorBidi"/>
          <w:i/>
          <w:iCs/>
        </w:rPr>
        <w:t>The provider develops risk mitigation policies and processes in response to identified vulnerability and adverse environmental impacts and integrates them into its standard risk management</w:t>
      </w:r>
      <w:r w:rsidR="0077192F" w:rsidRPr="00A608EE">
        <w:rPr>
          <w:rFonts w:asciiTheme="majorHAnsi" w:eastAsiaTheme="majorEastAsia" w:hAnsiTheme="majorHAnsi" w:cstheme="majorBidi"/>
          <w:i/>
          <w:iCs/>
        </w:rPr>
        <w:t>.</w:t>
      </w:r>
    </w:p>
    <w:p w14:paraId="4B292B47" w14:textId="77777777" w:rsidR="00C71011" w:rsidRPr="00A608EE" w:rsidRDefault="00C71011" w:rsidP="00EE208A">
      <w:pPr>
        <w:pStyle w:val="NormalWeb"/>
        <w:spacing w:before="0" w:beforeAutospacing="0" w:after="0" w:afterAutospacing="0"/>
        <w:jc w:val="both"/>
        <w:rPr>
          <w:rFonts w:asciiTheme="majorHAnsi" w:hAnsiTheme="majorHAnsi"/>
          <w:sz w:val="20"/>
          <w:szCs w:val="20"/>
        </w:rPr>
      </w:pPr>
    </w:p>
    <w:p w14:paraId="056E112C" w14:textId="17F47CE4" w:rsidR="00C71011" w:rsidRPr="00A608EE" w:rsidRDefault="00C8735D"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C71011" w:rsidRPr="00A608EE">
        <w:rPr>
          <w:rFonts w:asciiTheme="majorHAnsi" w:hAnsiTheme="majorHAnsi" w:cstheme="majorHAnsi"/>
          <w:b/>
          <w:bCs/>
          <w:color w:val="2145CC" w:themeColor="accent5" w:themeShade="BF"/>
          <w:sz w:val="20"/>
          <w:szCs w:val="20"/>
        </w:rPr>
        <w:t>SPI5 Entry | SPI5 Full</w:t>
      </w:r>
      <w:r w:rsidR="004A48FF" w:rsidRPr="00A608EE">
        <w:rPr>
          <w:rFonts w:asciiTheme="majorHAnsi" w:hAnsiTheme="majorHAnsi" w:cstheme="majorHAnsi"/>
          <w:b/>
          <w:bCs/>
          <w:color w:val="2145CC" w:themeColor="accent5" w:themeShade="BF"/>
          <w:sz w:val="20"/>
          <w:szCs w:val="20"/>
        </w:rPr>
        <w:t xml:space="preserve"> </w:t>
      </w:r>
      <w:r w:rsidR="004A48FF" w:rsidRPr="00A608EE">
        <w:rPr>
          <w:rFonts w:ascii="Work Sans" w:hAnsi="Work Sans"/>
          <w:b/>
          <w:bCs/>
          <w:color w:val="2145CC" w:themeColor="accent5" w:themeShade="BF"/>
          <w:sz w:val="20"/>
          <w:szCs w:val="20"/>
        </w:rPr>
        <w:t>| DI Focus</w:t>
      </w:r>
    </w:p>
    <w:p w14:paraId="033558CD" w14:textId="01EA046C" w:rsidR="00C71011" w:rsidRPr="00A608EE" w:rsidRDefault="00847D81" w:rsidP="00255DF8">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0110FEB2" w14:textId="77777777" w:rsidR="007F52A3" w:rsidRPr="00A608EE" w:rsidRDefault="007F52A3" w:rsidP="00EE208A">
      <w:pPr>
        <w:jc w:val="both"/>
        <w:rPr>
          <w:rFonts w:asciiTheme="majorHAnsi" w:hAnsiTheme="majorHAnsi"/>
          <w:sz w:val="20"/>
          <w:szCs w:val="20"/>
          <w:lang w:eastAsia="fr-FR"/>
        </w:rPr>
      </w:pPr>
      <w:r w:rsidRPr="00A608EE">
        <w:rPr>
          <w:rFonts w:asciiTheme="majorHAnsi" w:hAnsiTheme="majorHAnsi"/>
          <w:sz w:val="20"/>
          <w:szCs w:val="20"/>
          <w:lang w:eastAsia="fr-FR"/>
        </w:rPr>
        <w:t xml:space="preserve">After having evaluated client-level environmental risks (indicators 7.B.2.1 and 7.B.2.2), the next step is to define strategies and actions to manage these risks. Different measures can be taken: excluding highly risky loan applications, diversifying the portfolio, including environmental clauses in the loan contract requiring clients to improve their practices, </w:t>
      </w:r>
      <w:r w:rsidRPr="00A608EE">
        <w:rPr>
          <w:rFonts w:asciiTheme="majorHAnsi" w:hAnsiTheme="majorHAnsi"/>
          <w:sz w:val="20"/>
          <w:szCs w:val="20"/>
          <w:lang w:eastAsia="fr-FR"/>
        </w:rPr>
        <w:lastRenderedPageBreak/>
        <w:t>offering incentives for switching to ecological or resilient practices, raising awareness or training clients on risk mitigation and good practices, etc. Experience shows that it is important to integrate environmental risk mitigation policies and processes into the provider’s standard risk management system, so that environmental risk management can be systematically applied.</w:t>
      </w:r>
    </w:p>
    <w:p w14:paraId="1A0518B1" w14:textId="77777777" w:rsidR="00672763" w:rsidRPr="00A608EE" w:rsidRDefault="00672763" w:rsidP="00EE208A">
      <w:pPr>
        <w:jc w:val="both"/>
        <w:rPr>
          <w:rFonts w:asciiTheme="majorHAnsi" w:hAnsiTheme="majorHAnsi"/>
          <w:sz w:val="20"/>
          <w:szCs w:val="20"/>
          <w:lang w:eastAsia="fr-FR"/>
        </w:rPr>
      </w:pPr>
    </w:p>
    <w:p w14:paraId="52AF7F23"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22432" behindDoc="1" locked="0" layoutInCell="1" allowOverlap="1" wp14:anchorId="31AD4B4A" wp14:editId="0AAE15BF">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86687902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46A0786" w14:textId="77777777" w:rsidR="00672763" w:rsidRPr="00A608EE" w:rsidRDefault="00672763" w:rsidP="00EE208A">
      <w:pPr>
        <w:jc w:val="both"/>
        <w:rPr>
          <w:rFonts w:asciiTheme="majorHAnsi" w:hAnsiTheme="majorHAnsi"/>
          <w:sz w:val="20"/>
          <w:szCs w:val="20"/>
          <w:lang w:eastAsia="fr-FR"/>
        </w:rPr>
      </w:pPr>
    </w:p>
    <w:p w14:paraId="4E9A60CF" w14:textId="00285407" w:rsidR="00847D81" w:rsidRPr="00A608EE" w:rsidRDefault="00386AB6" w:rsidP="00EE208A">
      <w:pPr>
        <w:jc w:val="both"/>
        <w:rPr>
          <w:rFonts w:asciiTheme="majorHAnsi" w:hAnsiTheme="majorHAnsi"/>
          <w:sz w:val="20"/>
          <w:szCs w:val="20"/>
          <w:lang w:eastAsia="fr-FR"/>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847D81" w:rsidRPr="00A608EE">
        <w:rPr>
          <w:rFonts w:asciiTheme="majorHAnsi" w:hAnsiTheme="majorHAnsi"/>
          <w:sz w:val="20"/>
          <w:szCs w:val="20"/>
          <w:lang w:eastAsia="fr-FR"/>
        </w:rPr>
        <w:t>The provider's risk mitigation policies and processes respond to the identified vulnerabilities of persons with disabilities to climate change and environmental degradation.</w:t>
      </w:r>
    </w:p>
    <w:p w14:paraId="358AB692" w14:textId="77777777" w:rsidR="005437A0" w:rsidRPr="00A608EE" w:rsidRDefault="005437A0" w:rsidP="00EE208A">
      <w:pPr>
        <w:jc w:val="both"/>
        <w:rPr>
          <w:rFonts w:asciiTheme="majorHAnsi" w:hAnsiTheme="majorHAnsi"/>
          <w:sz w:val="20"/>
          <w:szCs w:val="20"/>
          <w:lang w:eastAsia="fr-FR"/>
        </w:rPr>
      </w:pPr>
    </w:p>
    <w:p w14:paraId="0C61A004" w14:textId="54D3C3AE" w:rsidR="005437A0" w:rsidRPr="00A608EE" w:rsidRDefault="005437A0" w:rsidP="00EE208A">
      <w:pPr>
        <w:jc w:val="both"/>
        <w:rPr>
          <w:rFonts w:asciiTheme="majorHAnsi" w:hAnsiTheme="majorHAnsi"/>
          <w:sz w:val="20"/>
          <w:szCs w:val="20"/>
          <w:lang w:eastAsia="fr-FR"/>
        </w:rPr>
      </w:pPr>
      <w:r w:rsidRPr="00A608EE">
        <w:rPr>
          <w:rFonts w:asciiTheme="majorHAnsi" w:hAnsiTheme="majorHAnsi"/>
          <w:sz w:val="20"/>
          <w:szCs w:val="20"/>
          <w:lang w:eastAsia="fr-FR"/>
        </w:rPr>
        <w:t xml:space="preserve">[See indicator 7.B.2.1 for more information about vulnerabilities of persons with disabilities to climate change and environmental </w:t>
      </w:r>
      <w:r w:rsidR="00D90E63" w:rsidRPr="00A608EE">
        <w:rPr>
          <w:rFonts w:asciiTheme="majorHAnsi" w:hAnsiTheme="majorHAnsi"/>
          <w:sz w:val="20"/>
          <w:szCs w:val="20"/>
          <w:lang w:eastAsia="fr-FR"/>
        </w:rPr>
        <w:t>degradation</w:t>
      </w:r>
      <w:r w:rsidRPr="00A608EE">
        <w:rPr>
          <w:rFonts w:asciiTheme="majorHAnsi" w:hAnsiTheme="majorHAnsi"/>
          <w:sz w:val="20"/>
          <w:szCs w:val="20"/>
          <w:lang w:eastAsia="fr-FR"/>
        </w:rPr>
        <w:t>]</w:t>
      </w:r>
    </w:p>
    <w:p w14:paraId="5F04F64B" w14:textId="77777777" w:rsidR="00D90E63" w:rsidRPr="00A608EE" w:rsidRDefault="00D90E63" w:rsidP="00EE208A">
      <w:pPr>
        <w:jc w:val="both"/>
        <w:rPr>
          <w:rFonts w:asciiTheme="majorHAnsi" w:hAnsiTheme="majorHAnsi"/>
          <w:sz w:val="20"/>
          <w:szCs w:val="20"/>
          <w:lang w:eastAsia="fr-FR"/>
        </w:rPr>
      </w:pPr>
    </w:p>
    <w:p w14:paraId="52CDDD1C" w14:textId="77777777" w:rsidR="007F52A3" w:rsidRPr="00A608EE" w:rsidRDefault="007F52A3" w:rsidP="00EE208A">
      <w:pPr>
        <w:jc w:val="both"/>
        <w:rPr>
          <w:rFonts w:asciiTheme="majorHAnsi" w:hAnsiTheme="majorHAnsi"/>
          <w:sz w:val="20"/>
          <w:szCs w:val="20"/>
          <w:lang w:eastAsia="fr-FR"/>
        </w:rPr>
      </w:pPr>
    </w:p>
    <w:p w14:paraId="0407A3AC" w14:textId="0CE5467D" w:rsidR="007F52A3" w:rsidRPr="00A608EE" w:rsidRDefault="007F52A3"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Scoring guidance</w:t>
      </w:r>
    </w:p>
    <w:p w14:paraId="341EA905" w14:textId="6CDF80FE" w:rsidR="007F52A3" w:rsidRPr="00A608EE" w:rsidRDefault="007F52A3" w:rsidP="00A27AAA">
      <w:pPr>
        <w:pStyle w:val="ListParagraph"/>
        <w:numPr>
          <w:ilvl w:val="0"/>
          <w:numId w:val="375"/>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To answer ‘yes’, the provider must have defined specific strategies, policies, procedures or actions to manage client-level environmental risks (both in terms of vulnerabilities to climate change and environmental degradation, and adverse impacts on the environment), and have integrated them in its standard risk management system to ensure their systematic implementation.</w:t>
      </w:r>
    </w:p>
    <w:p w14:paraId="1746F83F" w14:textId="6824420F" w:rsidR="007F52A3" w:rsidRPr="00A608EE" w:rsidRDefault="007F52A3" w:rsidP="00A27AAA">
      <w:pPr>
        <w:pStyle w:val="ListParagraph"/>
        <w:numPr>
          <w:ilvl w:val="0"/>
          <w:numId w:val="375"/>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If the provider has developed risk mitigation measures but without integrating them into the standard risk management system, or if the environmental risk mitigation measures are not implemented, or if the risk mitigation measures do not cover all the client-level environmental risks identified, then the answer should be ‘partially’.</w:t>
      </w:r>
    </w:p>
    <w:p w14:paraId="73A90288" w14:textId="3594AC6B" w:rsidR="007F52A3" w:rsidRPr="00A608EE" w:rsidRDefault="007F52A3" w:rsidP="00A27AAA">
      <w:pPr>
        <w:pStyle w:val="ListParagraph"/>
        <w:numPr>
          <w:ilvl w:val="0"/>
          <w:numId w:val="375"/>
        </w:numPr>
        <w:spacing w:after="0" w:line="240" w:lineRule="auto"/>
        <w:jc w:val="both"/>
        <w:rPr>
          <w:rFonts w:asciiTheme="majorHAnsi" w:eastAsia="Times New Roman" w:hAnsiTheme="majorHAnsi" w:cs="Times New Roman"/>
          <w:szCs w:val="20"/>
          <w:lang w:eastAsia="fr-FR"/>
        </w:rPr>
      </w:pPr>
      <w:r w:rsidRPr="00A608EE">
        <w:rPr>
          <w:rFonts w:asciiTheme="majorHAnsi" w:eastAsia="Times New Roman" w:hAnsiTheme="majorHAnsi" w:cs="Times New Roman"/>
          <w:szCs w:val="20"/>
          <w:lang w:eastAsia="fr-FR"/>
        </w:rPr>
        <w:t>Assign ‘no’ if no mitigation measures have been identified or if at least two of the above elements are missing.</w:t>
      </w:r>
    </w:p>
    <w:p w14:paraId="2848D377" w14:textId="77777777" w:rsidR="007F52A3" w:rsidRPr="00A608EE" w:rsidRDefault="007F52A3" w:rsidP="00EE208A">
      <w:pPr>
        <w:jc w:val="both"/>
        <w:rPr>
          <w:rFonts w:asciiTheme="majorHAnsi" w:hAnsiTheme="majorHAnsi"/>
          <w:sz w:val="20"/>
          <w:szCs w:val="20"/>
          <w:lang w:eastAsia="fr-FR"/>
        </w:rPr>
      </w:pPr>
    </w:p>
    <w:p w14:paraId="18AE51C2" w14:textId="7A22E8C5" w:rsidR="007F52A3" w:rsidRPr="00A608EE" w:rsidRDefault="007F52A3"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Sources of information</w:t>
      </w:r>
    </w:p>
    <w:p w14:paraId="72833888" w14:textId="77777777" w:rsidR="007F52A3" w:rsidRPr="00A608EE" w:rsidRDefault="007F52A3" w:rsidP="00A27AAA">
      <w:pPr>
        <w:numPr>
          <w:ilvl w:val="0"/>
          <w:numId w:val="374"/>
        </w:numPr>
        <w:jc w:val="both"/>
        <w:rPr>
          <w:rFonts w:asciiTheme="majorHAnsi" w:hAnsiTheme="majorHAnsi"/>
          <w:sz w:val="20"/>
          <w:szCs w:val="20"/>
          <w:lang w:eastAsia="fr-FR"/>
        </w:rPr>
      </w:pPr>
      <w:r w:rsidRPr="00A608EE">
        <w:rPr>
          <w:rFonts w:asciiTheme="majorHAnsi" w:hAnsiTheme="majorHAnsi"/>
          <w:sz w:val="20"/>
          <w:szCs w:val="20"/>
          <w:lang w:eastAsia="fr-FR"/>
        </w:rPr>
        <w:t>Credit manual</w:t>
      </w:r>
    </w:p>
    <w:p w14:paraId="2F1CB2AE" w14:textId="77777777" w:rsidR="007F52A3" w:rsidRPr="00A608EE" w:rsidRDefault="007F52A3" w:rsidP="00A27AAA">
      <w:pPr>
        <w:numPr>
          <w:ilvl w:val="0"/>
          <w:numId w:val="374"/>
        </w:numPr>
        <w:jc w:val="both"/>
        <w:rPr>
          <w:rFonts w:asciiTheme="majorHAnsi" w:hAnsiTheme="majorHAnsi"/>
          <w:sz w:val="20"/>
          <w:szCs w:val="20"/>
          <w:lang w:eastAsia="fr-FR"/>
        </w:rPr>
      </w:pPr>
      <w:r w:rsidRPr="00A608EE">
        <w:rPr>
          <w:rFonts w:asciiTheme="majorHAnsi" w:hAnsiTheme="majorHAnsi"/>
          <w:sz w:val="20"/>
          <w:szCs w:val="20"/>
          <w:lang w:eastAsia="fr-FR"/>
        </w:rPr>
        <w:t>Risk management procedures</w:t>
      </w:r>
    </w:p>
    <w:p w14:paraId="7AFF836A" w14:textId="77777777" w:rsidR="007F52A3" w:rsidRPr="00A608EE" w:rsidRDefault="007F52A3" w:rsidP="00A27AAA">
      <w:pPr>
        <w:numPr>
          <w:ilvl w:val="0"/>
          <w:numId w:val="374"/>
        </w:numPr>
        <w:jc w:val="both"/>
        <w:rPr>
          <w:rFonts w:asciiTheme="majorHAnsi" w:hAnsiTheme="majorHAnsi"/>
          <w:sz w:val="20"/>
          <w:szCs w:val="20"/>
          <w:lang w:eastAsia="fr-FR"/>
        </w:rPr>
      </w:pPr>
      <w:r w:rsidRPr="00A608EE">
        <w:rPr>
          <w:rFonts w:asciiTheme="majorHAnsi" w:hAnsiTheme="majorHAnsi"/>
          <w:sz w:val="20"/>
          <w:szCs w:val="20"/>
          <w:lang w:eastAsia="fr-FR"/>
        </w:rPr>
        <w:t>Interviews with Risk Management</w:t>
      </w:r>
    </w:p>
    <w:p w14:paraId="37618147" w14:textId="77777777" w:rsidR="007F52A3" w:rsidRPr="00A608EE" w:rsidRDefault="007F52A3" w:rsidP="00A27AAA">
      <w:pPr>
        <w:numPr>
          <w:ilvl w:val="0"/>
          <w:numId w:val="374"/>
        </w:numPr>
        <w:jc w:val="both"/>
        <w:rPr>
          <w:rFonts w:asciiTheme="majorHAnsi" w:hAnsiTheme="majorHAnsi"/>
          <w:sz w:val="20"/>
          <w:szCs w:val="20"/>
          <w:lang w:eastAsia="fr-FR"/>
        </w:rPr>
      </w:pPr>
      <w:r w:rsidRPr="00A608EE">
        <w:rPr>
          <w:rFonts w:asciiTheme="majorHAnsi" w:hAnsiTheme="majorHAnsi"/>
          <w:sz w:val="20"/>
          <w:szCs w:val="20"/>
          <w:lang w:eastAsia="fr-FR"/>
        </w:rPr>
        <w:t>Interview with the dedicated person on environmental strategy (if applicable)</w:t>
      </w:r>
    </w:p>
    <w:p w14:paraId="32A95FBA" w14:textId="77777777" w:rsidR="007F52A3" w:rsidRPr="00A608EE" w:rsidRDefault="007F52A3" w:rsidP="00A27AAA">
      <w:pPr>
        <w:numPr>
          <w:ilvl w:val="0"/>
          <w:numId w:val="374"/>
        </w:numPr>
        <w:jc w:val="both"/>
        <w:rPr>
          <w:rFonts w:asciiTheme="majorHAnsi" w:hAnsiTheme="majorHAnsi"/>
          <w:sz w:val="20"/>
          <w:szCs w:val="20"/>
          <w:lang w:eastAsia="fr-FR"/>
        </w:rPr>
      </w:pPr>
      <w:r w:rsidRPr="00A608EE">
        <w:rPr>
          <w:rFonts w:asciiTheme="majorHAnsi" w:hAnsiTheme="majorHAnsi"/>
          <w:sz w:val="20"/>
          <w:szCs w:val="20"/>
          <w:lang w:eastAsia="fr-FR"/>
        </w:rPr>
        <w:t>Interviews with loan officers, branch managers</w:t>
      </w:r>
    </w:p>
    <w:p w14:paraId="115EBA6F" w14:textId="77777777" w:rsidR="007F52A3" w:rsidRPr="00A608EE" w:rsidRDefault="007F52A3" w:rsidP="00EE208A">
      <w:pPr>
        <w:jc w:val="both"/>
        <w:rPr>
          <w:rFonts w:asciiTheme="majorHAnsi" w:hAnsiTheme="majorHAnsi"/>
          <w:sz w:val="20"/>
          <w:szCs w:val="20"/>
          <w:lang w:eastAsia="fr-FR"/>
        </w:rPr>
      </w:pPr>
    </w:p>
    <w:p w14:paraId="26CA41BB" w14:textId="06F21D67" w:rsidR="007F52A3" w:rsidRPr="00A608EE" w:rsidRDefault="007F52A3" w:rsidP="00EE208A">
      <w:pPr>
        <w:jc w:val="both"/>
        <w:rPr>
          <w:rFonts w:asciiTheme="majorHAnsi" w:hAnsiTheme="majorHAnsi"/>
          <w:b/>
          <w:bCs/>
          <w:sz w:val="20"/>
          <w:szCs w:val="20"/>
          <w:lang w:eastAsia="fr-FR"/>
        </w:rPr>
      </w:pPr>
      <w:r w:rsidRPr="00A608EE">
        <w:rPr>
          <w:rFonts w:asciiTheme="majorHAnsi" w:hAnsiTheme="majorHAnsi"/>
          <w:b/>
          <w:bCs/>
          <w:sz w:val="20"/>
          <w:szCs w:val="20"/>
          <w:lang w:eastAsia="fr-FR"/>
        </w:rPr>
        <w:t>Evidence to provide</w:t>
      </w:r>
    </w:p>
    <w:p w14:paraId="384870A3" w14:textId="77777777" w:rsidR="007F52A3" w:rsidRPr="00A608EE" w:rsidRDefault="007F52A3" w:rsidP="00EE208A">
      <w:pPr>
        <w:jc w:val="both"/>
        <w:rPr>
          <w:rFonts w:asciiTheme="majorHAnsi" w:hAnsiTheme="majorHAnsi"/>
          <w:sz w:val="20"/>
          <w:szCs w:val="20"/>
          <w:lang w:eastAsia="fr-FR"/>
        </w:rPr>
      </w:pPr>
      <w:r w:rsidRPr="00A608EE">
        <w:rPr>
          <w:rFonts w:asciiTheme="majorHAnsi" w:hAnsiTheme="majorHAnsi"/>
          <w:sz w:val="20"/>
          <w:szCs w:val="20"/>
          <w:lang w:eastAsia="fr-FR"/>
        </w:rPr>
        <w:t>Specify what policies or processes have been developed to mitigate client-level environmental risks and how they are integrated into the provider’s risk management system.</w:t>
      </w:r>
    </w:p>
    <w:p w14:paraId="0A0F45B6" w14:textId="77777777" w:rsidR="007F52A3" w:rsidRPr="00A608EE" w:rsidRDefault="007F52A3" w:rsidP="00EE208A">
      <w:pPr>
        <w:jc w:val="both"/>
        <w:rPr>
          <w:rFonts w:asciiTheme="majorHAnsi" w:hAnsiTheme="majorHAnsi"/>
          <w:b/>
          <w:bCs/>
          <w:sz w:val="20"/>
          <w:szCs w:val="20"/>
          <w:lang w:eastAsia="fr-FR"/>
        </w:rPr>
      </w:pPr>
    </w:p>
    <w:p w14:paraId="3EFF2A59" w14:textId="0F88B187" w:rsidR="004636FA" w:rsidRPr="00A608EE" w:rsidRDefault="007F52A3" w:rsidP="00EE208A">
      <w:pPr>
        <w:jc w:val="both"/>
        <w:rPr>
          <w:rFonts w:asciiTheme="majorHAnsi" w:hAnsiTheme="majorHAnsi"/>
          <w:b/>
          <w:bCs/>
          <w:sz w:val="20"/>
          <w:szCs w:val="20"/>
        </w:rPr>
      </w:pPr>
      <w:r w:rsidRPr="00A608EE">
        <w:rPr>
          <w:rFonts w:asciiTheme="majorHAnsi" w:hAnsiTheme="majorHAnsi"/>
          <w:b/>
          <w:bCs/>
          <w:sz w:val="20"/>
          <w:szCs w:val="20"/>
          <w:lang w:eastAsia="fr-FR"/>
        </w:rPr>
        <w:t xml:space="preserve">Resources for indicator </w:t>
      </w:r>
      <w:r w:rsidR="00F800BC" w:rsidRPr="00A608EE">
        <w:rPr>
          <w:rFonts w:asciiTheme="majorHAnsi" w:hAnsiTheme="majorHAnsi"/>
          <w:b/>
          <w:bCs/>
          <w:sz w:val="20"/>
          <w:szCs w:val="20"/>
        </w:rPr>
        <w:t>7.B.2.3</w:t>
      </w:r>
    </w:p>
    <w:p w14:paraId="7DD0F948" w14:textId="77777777" w:rsidR="00C71011" w:rsidRPr="00A608EE" w:rsidRDefault="00C71011" w:rsidP="00A27AAA">
      <w:pPr>
        <w:pStyle w:val="NormalWeb"/>
        <w:numPr>
          <w:ilvl w:val="0"/>
          <w:numId w:val="53"/>
        </w:numPr>
        <w:spacing w:before="0" w:beforeAutospacing="0" w:after="0" w:afterAutospacing="0"/>
        <w:jc w:val="both"/>
        <w:rPr>
          <w:rFonts w:asciiTheme="majorHAnsi" w:hAnsiTheme="majorHAnsi"/>
          <w:sz w:val="20"/>
          <w:szCs w:val="20"/>
        </w:rPr>
      </w:pPr>
      <w:hyperlink r:id="rId319" w:history="1">
        <w:r w:rsidRPr="00A608EE">
          <w:rPr>
            <w:rStyle w:val="Hyperlink"/>
            <w:rFonts w:asciiTheme="majorHAnsi" w:hAnsiTheme="majorHAnsi"/>
            <w:sz w:val="20"/>
            <w:szCs w:val="20"/>
          </w:rPr>
          <w:t>Environmental and Social Management (ESM) Procedure</w:t>
        </w:r>
      </w:hyperlink>
    </w:p>
    <w:p w14:paraId="54F832EB" w14:textId="77777777" w:rsidR="00C71011" w:rsidRPr="00A608EE" w:rsidRDefault="00C71011" w:rsidP="00A27AAA">
      <w:pPr>
        <w:pStyle w:val="NormalWeb"/>
        <w:numPr>
          <w:ilvl w:val="0"/>
          <w:numId w:val="53"/>
        </w:numPr>
        <w:spacing w:before="0" w:beforeAutospacing="0" w:after="0" w:afterAutospacing="0"/>
        <w:jc w:val="both"/>
        <w:rPr>
          <w:rFonts w:asciiTheme="majorHAnsi" w:hAnsiTheme="majorHAnsi"/>
          <w:sz w:val="20"/>
          <w:szCs w:val="20"/>
        </w:rPr>
      </w:pPr>
      <w:hyperlink r:id="rId320">
        <w:r w:rsidRPr="00A608EE">
          <w:rPr>
            <w:rStyle w:val="Hyperlink"/>
            <w:rFonts w:asciiTheme="majorHAnsi" w:hAnsiTheme="majorHAnsi"/>
            <w:sz w:val="20"/>
            <w:szCs w:val="20"/>
          </w:rPr>
          <w:t>Climate Risk Management framework of First MicroFinance Bank Pakistan</w:t>
        </w:r>
      </w:hyperlink>
    </w:p>
    <w:p w14:paraId="2D97F605" w14:textId="77777777" w:rsidR="00606074" w:rsidRPr="00A608EE" w:rsidRDefault="00606074" w:rsidP="00EE208A">
      <w:pPr>
        <w:jc w:val="both"/>
        <w:rPr>
          <w:rFonts w:asciiTheme="majorHAnsi" w:hAnsiTheme="majorHAnsi"/>
          <w:sz w:val="20"/>
          <w:szCs w:val="20"/>
        </w:rPr>
      </w:pPr>
    </w:p>
    <w:p w14:paraId="535A2343" w14:textId="77777777" w:rsidR="007D08EB" w:rsidRPr="00A608EE" w:rsidRDefault="007D08EB" w:rsidP="00EE208A">
      <w:pPr>
        <w:jc w:val="both"/>
        <w:rPr>
          <w:rFonts w:asciiTheme="majorHAnsi" w:hAnsiTheme="majorHAnsi"/>
          <w:szCs w:val="20"/>
        </w:rPr>
      </w:pPr>
    </w:p>
    <w:p w14:paraId="2C6416A4" w14:textId="2FF22746" w:rsidR="004636FA" w:rsidRPr="00A608EE" w:rsidRDefault="004636FA" w:rsidP="00EE208A">
      <w:pPr>
        <w:pStyle w:val="Heading3"/>
        <w:spacing w:before="0" w:line="240" w:lineRule="auto"/>
        <w:jc w:val="both"/>
      </w:pPr>
      <w:bookmarkStart w:id="109" w:name="_Toc230938829"/>
      <w:r w:rsidRPr="00A608EE">
        <w:rPr>
          <w:rStyle w:val="text-primary"/>
        </w:rPr>
        <w:t>7.B.3</w:t>
      </w:r>
      <w:r w:rsidRPr="00A608EE">
        <w:t xml:space="preserve"> </w:t>
      </w:r>
      <w:r w:rsidR="007F52A3" w:rsidRPr="00A608EE">
        <w:t>The provider identifies opportunities to finance green practices and technologies</w:t>
      </w:r>
      <w:r w:rsidR="00DB2130" w:rsidRPr="00A608EE">
        <w:t>.</w:t>
      </w:r>
      <w:bookmarkEnd w:id="109"/>
    </w:p>
    <w:p w14:paraId="3C0CC547" w14:textId="77777777" w:rsidR="00204700" w:rsidRPr="00A608EE" w:rsidRDefault="00204700" w:rsidP="00EE208A">
      <w:pPr>
        <w:jc w:val="both"/>
        <w:rPr>
          <w:rFonts w:asciiTheme="majorHAnsi" w:hAnsiTheme="majorHAnsi"/>
          <w:szCs w:val="20"/>
        </w:rPr>
      </w:pPr>
    </w:p>
    <w:p w14:paraId="1DCE7DD0" w14:textId="77777777" w:rsidR="007F52A3" w:rsidRPr="00A608EE" w:rsidRDefault="007F52A3"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Managing environmental performance is not just about managing environmental risks: it is also about fostering green opportunities. If the provider has identified client-level environmental risks (in 7.B.2), it usually implies that there is a need to help clients mitigate these risks. And if there is a need, it means that there is an opportunity for the provider to offer a solution – a “green” solution – to fulfill this need. Risks and opportunities can thus be seen as the two sides of the same coin. This also works for some specific social and economic risks (e.g. linked to lack of access to energy or water, inefficient production processes…) for which green practices and technologies can be a response. Gauging the potential market for green practices and technologies opens new opportunities for the </w:t>
      </w:r>
      <w:r w:rsidRPr="00A608EE">
        <w:rPr>
          <w:rFonts w:asciiTheme="majorHAnsi" w:hAnsiTheme="majorHAnsi"/>
          <w:sz w:val="20"/>
          <w:szCs w:val="20"/>
        </w:rPr>
        <w:lastRenderedPageBreak/>
        <w:t>provider, who can then consider developing new products and services, differentiating from competitors, and increasing its outreach.</w:t>
      </w:r>
    </w:p>
    <w:p w14:paraId="4BB661C7" w14:textId="77777777" w:rsidR="00046D8F" w:rsidRPr="00A608EE" w:rsidRDefault="00046D8F" w:rsidP="00EE208A">
      <w:pPr>
        <w:jc w:val="both"/>
        <w:rPr>
          <w:rFonts w:asciiTheme="majorHAnsi" w:hAnsiTheme="majorHAnsi"/>
          <w:szCs w:val="20"/>
        </w:rPr>
      </w:pPr>
    </w:p>
    <w:p w14:paraId="05FE18B6" w14:textId="03AE819F" w:rsidR="00805C89" w:rsidRPr="00A608EE" w:rsidRDefault="00805C89" w:rsidP="00EE208A">
      <w:pPr>
        <w:pStyle w:val="Heading4"/>
        <w:spacing w:before="0" w:line="240" w:lineRule="auto"/>
        <w:jc w:val="both"/>
      </w:pPr>
      <w:r w:rsidRPr="00A608EE">
        <w:t xml:space="preserve">7.B.3.3 </w:t>
      </w:r>
      <w:r w:rsidR="00531D4E" w:rsidRPr="00A608EE">
        <w:t>The provider conducts market research for the green practices and technologies identified, with at least one of the following objectives</w:t>
      </w:r>
      <w:r w:rsidRPr="00A608EE">
        <w:t xml:space="preserve">: </w:t>
      </w:r>
    </w:p>
    <w:p w14:paraId="68AB8723" w14:textId="4135CE83" w:rsidR="00531D4E" w:rsidRPr="00A608EE" w:rsidRDefault="00531D4E" w:rsidP="00A27AAA">
      <w:pPr>
        <w:pStyle w:val="ListParagraph"/>
        <w:numPr>
          <w:ilvl w:val="0"/>
          <w:numId w:val="72"/>
        </w:numPr>
        <w:spacing w:after="0" w:line="240" w:lineRule="auto"/>
        <w:jc w:val="both"/>
        <w:rPr>
          <w:rFonts w:asciiTheme="majorHAnsi" w:hAnsiTheme="majorHAnsi" w:cs="Times New Roman"/>
          <w:i/>
          <w:szCs w:val="20"/>
        </w:rPr>
      </w:pPr>
      <w:r w:rsidRPr="00A608EE">
        <w:rPr>
          <w:rFonts w:asciiTheme="majorHAnsi" w:hAnsiTheme="majorHAnsi" w:cs="Times New Roman"/>
          <w:i/>
          <w:szCs w:val="20"/>
        </w:rPr>
        <w:t>Assess demand for green practices and technologies, and related financial needs of target clients.</w:t>
      </w:r>
    </w:p>
    <w:p w14:paraId="176C29A0" w14:textId="77777777" w:rsidR="00531D4E" w:rsidRPr="00A608EE" w:rsidRDefault="00531D4E" w:rsidP="00A27AAA">
      <w:pPr>
        <w:pStyle w:val="ListParagraph"/>
        <w:numPr>
          <w:ilvl w:val="0"/>
          <w:numId w:val="72"/>
        </w:numPr>
        <w:spacing w:after="0" w:line="240" w:lineRule="auto"/>
        <w:jc w:val="both"/>
        <w:rPr>
          <w:rFonts w:asciiTheme="majorHAnsi" w:hAnsiTheme="majorHAnsi" w:cs="Times New Roman"/>
          <w:i/>
          <w:szCs w:val="20"/>
        </w:rPr>
      </w:pPr>
      <w:r w:rsidRPr="00A608EE">
        <w:rPr>
          <w:rFonts w:asciiTheme="majorHAnsi" w:hAnsiTheme="majorHAnsi" w:cs="Times New Roman"/>
          <w:i/>
          <w:szCs w:val="20"/>
        </w:rPr>
        <w:t>Identify local technology or technical providers of green practices and technologies, and the quality of their practices and technologies.</w:t>
      </w:r>
    </w:p>
    <w:p w14:paraId="6EAF24B3" w14:textId="2B85A5C9" w:rsidR="00805C89" w:rsidRPr="00A608EE" w:rsidRDefault="00531D4E" w:rsidP="00A27AAA">
      <w:pPr>
        <w:pStyle w:val="ListParagraph"/>
        <w:numPr>
          <w:ilvl w:val="0"/>
          <w:numId w:val="72"/>
        </w:numPr>
        <w:spacing w:after="0" w:line="240" w:lineRule="auto"/>
        <w:jc w:val="both"/>
        <w:rPr>
          <w:rFonts w:asciiTheme="majorHAnsi" w:hAnsiTheme="majorHAnsi" w:cs="Times New Roman"/>
          <w:i/>
          <w:szCs w:val="20"/>
        </w:rPr>
      </w:pPr>
      <w:r w:rsidRPr="00A608EE">
        <w:rPr>
          <w:rFonts w:asciiTheme="majorHAnsi" w:hAnsiTheme="majorHAnsi" w:cs="Times New Roman"/>
          <w:i/>
          <w:szCs w:val="20"/>
        </w:rPr>
        <w:t>Identify local market and regulation incentives or disincentives for green practices and technologies.</w:t>
      </w:r>
    </w:p>
    <w:p w14:paraId="214471E7" w14:textId="77777777" w:rsidR="00805C89" w:rsidRPr="00A608EE" w:rsidRDefault="00805C89" w:rsidP="00EE208A">
      <w:pPr>
        <w:jc w:val="both"/>
        <w:rPr>
          <w:rFonts w:asciiTheme="majorHAnsi" w:hAnsiTheme="majorHAnsi"/>
          <w:iCs/>
          <w:szCs w:val="20"/>
        </w:rPr>
      </w:pPr>
    </w:p>
    <w:p w14:paraId="6E541C16" w14:textId="21B0E6DA" w:rsidR="00981B70" w:rsidRPr="00A608EE" w:rsidRDefault="00C8735D"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981B70" w:rsidRPr="00A608EE">
        <w:rPr>
          <w:rFonts w:asciiTheme="majorHAnsi" w:hAnsiTheme="majorHAnsi" w:cstheme="majorHAnsi"/>
          <w:b/>
          <w:bCs/>
          <w:color w:val="2145CC" w:themeColor="accent5" w:themeShade="BF"/>
          <w:sz w:val="20"/>
          <w:szCs w:val="20"/>
        </w:rPr>
        <w:t>SPI5 Full</w:t>
      </w:r>
      <w:r w:rsidR="004876A2" w:rsidRPr="00A608EE">
        <w:rPr>
          <w:rFonts w:asciiTheme="majorHAnsi" w:hAnsiTheme="majorHAnsi" w:cstheme="majorHAnsi"/>
          <w:b/>
          <w:bCs/>
          <w:color w:val="2145CC" w:themeColor="accent5" w:themeShade="BF"/>
          <w:sz w:val="20"/>
          <w:szCs w:val="20"/>
        </w:rPr>
        <w:t xml:space="preserve"> </w:t>
      </w:r>
      <w:r w:rsidR="004876A2" w:rsidRPr="00A608EE">
        <w:rPr>
          <w:rFonts w:ascii="Work Sans" w:hAnsi="Work Sans"/>
          <w:b/>
          <w:bCs/>
          <w:color w:val="2145CC" w:themeColor="accent5" w:themeShade="BF"/>
          <w:sz w:val="20"/>
          <w:szCs w:val="20"/>
        </w:rPr>
        <w:t>| DI Focus</w:t>
      </w:r>
    </w:p>
    <w:p w14:paraId="780EE42A" w14:textId="09B84E8C" w:rsidR="00981B70" w:rsidRPr="00A608EE" w:rsidRDefault="00AF6928" w:rsidP="00255DF8">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08879A60" w14:textId="6A6945F9" w:rsidR="00AF6928" w:rsidRPr="00A608EE" w:rsidRDefault="00531D4E"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 line with Dimension 3 – Client-centered products and services, it is important that the provider conducts market research to better understand the demand (i.e. clients’ needs, in terms of green practices or technologies, financial needs to invest in these practices and technologies, and needs for training or awareness-raising), the current supply (i.e. local technology providers, local technical providers of training and technical assistance, quality of the locally available technologies and practices, costs and return on investments for the green practices and technologies), as well as the overall context (e.g. regulations, incentives, technology support such as apps or software, funding opportunities, etc.). This market research will help the provider identify the green practices and technologies most adapted to its clients’ needs, define adapted financial products and marketing material, identify reliable technology or technical providers with which to partner, and grasp potential opportunities in terms of financing.</w:t>
      </w:r>
    </w:p>
    <w:p w14:paraId="3B8F44BF"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3AB2FE94"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24480" behindDoc="1" locked="0" layoutInCell="1" allowOverlap="1" wp14:anchorId="7FDD3AF2" wp14:editId="2747DB20">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02088063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6299A099"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E033A82" w14:textId="34842D24" w:rsidR="00AF6928" w:rsidRPr="00A608EE" w:rsidRDefault="00386AB6" w:rsidP="00EE208A">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AF6928" w:rsidRPr="00A608EE">
        <w:rPr>
          <w:rFonts w:asciiTheme="majorHAnsi" w:hAnsiTheme="majorHAnsi"/>
          <w:sz w:val="20"/>
          <w:szCs w:val="20"/>
        </w:rPr>
        <w:t>Market research modalities for assessment of demand for green practices and related financial needs of target clients are accessible and enable fair representation and participation of persons with different types of impairments.</w:t>
      </w:r>
    </w:p>
    <w:p w14:paraId="5B92846F" w14:textId="77777777" w:rsidR="007C6B8F" w:rsidRPr="00A608EE" w:rsidRDefault="007C6B8F" w:rsidP="00EE208A">
      <w:pPr>
        <w:pStyle w:val="NormalWeb"/>
        <w:spacing w:before="0" w:beforeAutospacing="0" w:after="0" w:afterAutospacing="0"/>
        <w:jc w:val="both"/>
        <w:rPr>
          <w:rFonts w:asciiTheme="majorHAnsi" w:hAnsiTheme="majorHAnsi"/>
          <w:sz w:val="20"/>
          <w:szCs w:val="20"/>
        </w:rPr>
      </w:pPr>
    </w:p>
    <w:p w14:paraId="0404D6C3" w14:textId="4AB13187" w:rsidR="007C6B8F" w:rsidRPr="00A608EE" w:rsidRDefault="007C6B8F"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[See indicator 3.A.1.1  for more information about inclusive market research]</w:t>
      </w:r>
    </w:p>
    <w:p w14:paraId="4FAF521E" w14:textId="77777777" w:rsidR="00531D4E" w:rsidRPr="00A608EE" w:rsidRDefault="00531D4E" w:rsidP="00EE208A">
      <w:pPr>
        <w:pStyle w:val="NormalWeb"/>
        <w:spacing w:before="0" w:beforeAutospacing="0" w:after="0" w:afterAutospacing="0"/>
        <w:jc w:val="both"/>
        <w:rPr>
          <w:rFonts w:asciiTheme="majorHAnsi" w:hAnsiTheme="majorHAnsi"/>
          <w:b/>
          <w:bCs/>
          <w:sz w:val="20"/>
          <w:szCs w:val="20"/>
        </w:rPr>
      </w:pPr>
    </w:p>
    <w:p w14:paraId="4AA2E4FA" w14:textId="40852A2A" w:rsidR="00531D4E" w:rsidRPr="00A608EE" w:rsidRDefault="00531D4E"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66371812" w14:textId="0C0C77F4" w:rsidR="00531D4E" w:rsidRPr="00A608EE" w:rsidRDefault="00531D4E" w:rsidP="00A27AAA">
      <w:pPr>
        <w:pStyle w:val="NormalWeb"/>
        <w:numPr>
          <w:ilvl w:val="0"/>
          <w:numId w:val="37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To answer ‘yes’, the provider must have conducted market research for all selected green practices and technologies. The market research should address at least one of the objectives listed in the indicator.</w:t>
      </w:r>
    </w:p>
    <w:p w14:paraId="6AA34ECA" w14:textId="4897076B" w:rsidR="00531D4E" w:rsidRPr="00A608EE" w:rsidRDefault="00531D4E" w:rsidP="00A27AAA">
      <w:pPr>
        <w:pStyle w:val="NormalWeb"/>
        <w:numPr>
          <w:ilvl w:val="0"/>
          <w:numId w:val="377"/>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If the provider has conducted market research only for part of the selected green practices and technologies, then the answer should be ‘partially’.</w:t>
      </w:r>
    </w:p>
    <w:p w14:paraId="7185642E" w14:textId="77777777" w:rsidR="00531D4E" w:rsidRPr="00A608EE" w:rsidRDefault="00531D4E" w:rsidP="00A27AAA">
      <w:pPr>
        <w:pStyle w:val="ListParagraph"/>
        <w:numPr>
          <w:ilvl w:val="0"/>
          <w:numId w:val="377"/>
        </w:numPr>
        <w:spacing w:after="0" w:line="240" w:lineRule="auto"/>
        <w:jc w:val="both"/>
        <w:rPr>
          <w:rFonts w:asciiTheme="majorHAnsi" w:hAnsiTheme="majorHAnsi" w:cs="Times New Roman"/>
          <w:iCs/>
          <w:szCs w:val="20"/>
        </w:rPr>
      </w:pPr>
      <w:r w:rsidRPr="00A608EE">
        <w:rPr>
          <w:rFonts w:asciiTheme="majorHAnsi" w:hAnsiTheme="majorHAnsi" w:cs="Times New Roman"/>
          <w:iCs/>
          <w:szCs w:val="20"/>
        </w:rPr>
        <w:t>Assign ‘no’ if no market research has been conducted.</w:t>
      </w:r>
    </w:p>
    <w:p w14:paraId="607E8A1D" w14:textId="77777777" w:rsidR="00531D4E" w:rsidRPr="00A608EE" w:rsidRDefault="00531D4E" w:rsidP="00EE208A">
      <w:pPr>
        <w:pStyle w:val="NormalWeb"/>
        <w:spacing w:before="0" w:beforeAutospacing="0" w:after="0" w:afterAutospacing="0"/>
        <w:jc w:val="both"/>
        <w:rPr>
          <w:rFonts w:asciiTheme="majorHAnsi" w:hAnsiTheme="majorHAnsi"/>
          <w:sz w:val="20"/>
          <w:szCs w:val="20"/>
        </w:rPr>
      </w:pPr>
    </w:p>
    <w:p w14:paraId="16129CF0" w14:textId="77777777" w:rsidR="00531D4E" w:rsidRPr="00A608EE" w:rsidRDefault="00531D4E"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631B58D6" w14:textId="77777777" w:rsidR="00531D4E" w:rsidRPr="00A608EE" w:rsidRDefault="00531D4E" w:rsidP="00A27AAA">
      <w:pPr>
        <w:pStyle w:val="NormalWeb"/>
        <w:numPr>
          <w:ilvl w:val="0"/>
          <w:numId w:val="37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Market research reports</w:t>
      </w:r>
    </w:p>
    <w:p w14:paraId="2B2BE5AE" w14:textId="77777777" w:rsidR="00531D4E" w:rsidRPr="00A608EE" w:rsidRDefault="00531D4E" w:rsidP="00A27AAA">
      <w:pPr>
        <w:pStyle w:val="NormalWeb"/>
        <w:numPr>
          <w:ilvl w:val="0"/>
          <w:numId w:val="37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the dedicated person on environmental strategy (if applicable)</w:t>
      </w:r>
    </w:p>
    <w:p w14:paraId="4E17192E" w14:textId="77777777" w:rsidR="00531D4E" w:rsidRPr="00A608EE" w:rsidRDefault="00531D4E" w:rsidP="00A27AAA">
      <w:pPr>
        <w:pStyle w:val="NormalWeb"/>
        <w:numPr>
          <w:ilvl w:val="0"/>
          <w:numId w:val="37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operations</w:t>
      </w:r>
    </w:p>
    <w:p w14:paraId="672DD2CC" w14:textId="77777777" w:rsidR="00531D4E" w:rsidRPr="00A608EE" w:rsidRDefault="00531D4E" w:rsidP="00A27AAA">
      <w:pPr>
        <w:pStyle w:val="NormalWeb"/>
        <w:numPr>
          <w:ilvl w:val="0"/>
          <w:numId w:val="37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marketing/product development</w:t>
      </w:r>
    </w:p>
    <w:p w14:paraId="3E6B96CE" w14:textId="77777777" w:rsidR="00531D4E" w:rsidRPr="00A608EE" w:rsidRDefault="00531D4E" w:rsidP="00EE208A">
      <w:pPr>
        <w:pStyle w:val="NormalWeb"/>
        <w:spacing w:before="0" w:beforeAutospacing="0" w:after="0" w:afterAutospacing="0"/>
        <w:jc w:val="both"/>
        <w:rPr>
          <w:rFonts w:asciiTheme="majorHAnsi" w:hAnsiTheme="majorHAnsi"/>
          <w:b/>
          <w:bCs/>
          <w:sz w:val="20"/>
          <w:szCs w:val="20"/>
        </w:rPr>
      </w:pPr>
    </w:p>
    <w:p w14:paraId="63FCDB30" w14:textId="55627D3E" w:rsidR="00531D4E" w:rsidRPr="00A608EE" w:rsidRDefault="00531D4E"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76719CAC" w14:textId="77777777" w:rsidR="00531D4E" w:rsidRPr="00A608EE" w:rsidRDefault="00531D4E"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when and how the market research was conducted, and where it has been documented (refer to related reports if available).</w:t>
      </w:r>
    </w:p>
    <w:p w14:paraId="69AA86A7" w14:textId="77777777" w:rsidR="00606074" w:rsidRPr="00A608EE" w:rsidRDefault="00606074" w:rsidP="00EE208A">
      <w:pPr>
        <w:pStyle w:val="NormalWeb"/>
        <w:spacing w:before="0" w:beforeAutospacing="0" w:after="0" w:afterAutospacing="0"/>
        <w:jc w:val="both"/>
        <w:rPr>
          <w:rFonts w:asciiTheme="majorHAnsi" w:hAnsiTheme="majorHAnsi"/>
          <w:sz w:val="20"/>
          <w:szCs w:val="20"/>
        </w:rPr>
      </w:pPr>
    </w:p>
    <w:p w14:paraId="1C41E6D7" w14:textId="77777777" w:rsidR="00670144" w:rsidRPr="00A608EE" w:rsidRDefault="00670144" w:rsidP="00EE208A">
      <w:pPr>
        <w:pStyle w:val="NormalWeb"/>
        <w:spacing w:before="0" w:beforeAutospacing="0" w:after="0" w:afterAutospacing="0"/>
        <w:jc w:val="both"/>
        <w:rPr>
          <w:rFonts w:asciiTheme="majorHAnsi" w:hAnsiTheme="majorHAnsi"/>
          <w:sz w:val="20"/>
          <w:szCs w:val="20"/>
        </w:rPr>
      </w:pPr>
    </w:p>
    <w:p w14:paraId="6B99DFB8" w14:textId="69C28914" w:rsidR="00CA6A1B" w:rsidRPr="00A608EE" w:rsidRDefault="00290A7D" w:rsidP="00EE208A">
      <w:pPr>
        <w:pStyle w:val="Heading2"/>
        <w:spacing w:before="0" w:line="240" w:lineRule="auto"/>
        <w:jc w:val="both"/>
      </w:pPr>
      <w:bookmarkStart w:id="110" w:name="_Toc230938830"/>
      <w:r w:rsidRPr="00A608EE">
        <w:lastRenderedPageBreak/>
        <w:t xml:space="preserve">Standard </w:t>
      </w:r>
      <w:r w:rsidRPr="00A608EE">
        <w:rPr>
          <w:rStyle w:val="text-primary"/>
        </w:rPr>
        <w:t xml:space="preserve">7C. </w:t>
      </w:r>
      <w:r w:rsidRPr="00A608EE">
        <w:t>The provider offers financial and non-financial products and services to achieve its environmental goals</w:t>
      </w:r>
      <w:bookmarkEnd w:id="110"/>
    </w:p>
    <w:p w14:paraId="00D930EF" w14:textId="77777777" w:rsidR="00CA6A1B" w:rsidRPr="00A608EE" w:rsidRDefault="00CA6A1B" w:rsidP="00EE208A">
      <w:pPr>
        <w:jc w:val="both"/>
        <w:rPr>
          <w:rFonts w:asciiTheme="majorHAnsi" w:hAnsiTheme="majorHAnsi"/>
          <w:szCs w:val="20"/>
        </w:rPr>
      </w:pPr>
    </w:p>
    <w:p w14:paraId="7E0944CE" w14:textId="77777777" w:rsidR="00AC4F78" w:rsidRPr="00A608EE" w:rsidRDefault="00AC4F78"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Beyond a mere do-no-harm approach, the provider can also opt for a proactive support by offering financial products and non-financial services that will contribute to reduce clients’ vulnerabilities to climate change and environmental degradation, mitigate clients’ adverse impacts on the environment, and foster the adoption of green practices and technologies.</w:t>
      </w:r>
    </w:p>
    <w:p w14:paraId="4D8379BB" w14:textId="77777777" w:rsidR="00273347" w:rsidRPr="00A608EE" w:rsidRDefault="00273347" w:rsidP="00EE208A">
      <w:pPr>
        <w:pStyle w:val="NormalWeb"/>
        <w:spacing w:before="0" w:beforeAutospacing="0" w:after="0" w:afterAutospacing="0"/>
        <w:jc w:val="both"/>
        <w:rPr>
          <w:rFonts w:asciiTheme="majorHAnsi" w:hAnsiTheme="majorHAnsi"/>
          <w:sz w:val="20"/>
          <w:szCs w:val="20"/>
        </w:rPr>
      </w:pPr>
    </w:p>
    <w:p w14:paraId="3ECD73BF" w14:textId="77777777" w:rsidR="005452E9" w:rsidRPr="00A608EE" w:rsidRDefault="005452E9" w:rsidP="00EE208A">
      <w:pPr>
        <w:pStyle w:val="NormalWeb"/>
        <w:spacing w:before="0" w:beforeAutospacing="0" w:after="0" w:afterAutospacing="0"/>
        <w:jc w:val="both"/>
        <w:rPr>
          <w:rFonts w:asciiTheme="majorHAnsi" w:hAnsiTheme="majorHAnsi"/>
          <w:sz w:val="20"/>
          <w:szCs w:val="20"/>
        </w:rPr>
      </w:pPr>
    </w:p>
    <w:p w14:paraId="70C9ED74" w14:textId="32C02F42" w:rsidR="00CA6A1B" w:rsidRPr="00A608EE" w:rsidRDefault="00CA6A1B" w:rsidP="00EE208A">
      <w:pPr>
        <w:pStyle w:val="Heading3"/>
        <w:spacing w:before="0" w:line="240" w:lineRule="auto"/>
        <w:jc w:val="both"/>
      </w:pPr>
      <w:bookmarkStart w:id="111" w:name="_Toc230938831"/>
      <w:r w:rsidRPr="00A608EE">
        <w:rPr>
          <w:rStyle w:val="text-primary"/>
        </w:rPr>
        <w:t>7.C.1</w:t>
      </w:r>
      <w:r w:rsidRPr="00A608EE">
        <w:t xml:space="preserve"> </w:t>
      </w:r>
      <w:r w:rsidR="00AC4F78" w:rsidRPr="00A608EE">
        <w:t xml:space="preserve">The provider offers financial products and services to achieve </w:t>
      </w:r>
      <w:r w:rsidR="00255DF8" w:rsidRPr="00A608EE">
        <w:t>its environmental</w:t>
      </w:r>
      <w:r w:rsidR="00AC4F78" w:rsidRPr="00A608EE">
        <w:t xml:space="preserve"> goals</w:t>
      </w:r>
      <w:r w:rsidR="009D2CFD" w:rsidRPr="00A608EE">
        <w:t>.</w:t>
      </w:r>
      <w:bookmarkEnd w:id="111"/>
    </w:p>
    <w:p w14:paraId="7BD42539" w14:textId="77777777" w:rsidR="00CA6A1B" w:rsidRPr="00A608EE" w:rsidRDefault="00CA6A1B" w:rsidP="00EE208A">
      <w:pPr>
        <w:jc w:val="both"/>
        <w:rPr>
          <w:rFonts w:asciiTheme="majorHAnsi" w:hAnsiTheme="majorHAnsi"/>
          <w:szCs w:val="20"/>
        </w:rPr>
      </w:pPr>
    </w:p>
    <w:p w14:paraId="211A7D34" w14:textId="1EDB669A" w:rsidR="00273347" w:rsidRPr="00A608EE" w:rsidRDefault="00141B41" w:rsidP="00EE208A">
      <w:pPr>
        <w:jc w:val="both"/>
        <w:rPr>
          <w:rFonts w:asciiTheme="majorHAnsi" w:hAnsiTheme="majorHAnsi"/>
          <w:sz w:val="20"/>
          <w:szCs w:val="20"/>
          <w:lang w:eastAsia="fr-FR"/>
        </w:rPr>
      </w:pPr>
      <w:r w:rsidRPr="00A608EE">
        <w:rPr>
          <w:rFonts w:asciiTheme="majorHAnsi" w:hAnsiTheme="majorHAnsi"/>
          <w:sz w:val="20"/>
          <w:szCs w:val="20"/>
          <w:lang w:eastAsia="fr-FR"/>
        </w:rPr>
        <w:t>Offering financial products that promote environmentally-friendly practices and technologies gives an opportunity for the provider to diversify its product range, differentiate from competitors, and expand into new markets, while contributing to environmental risk management and ecological transition.</w:t>
      </w:r>
    </w:p>
    <w:p w14:paraId="687B8376" w14:textId="77777777" w:rsidR="005452E9" w:rsidRPr="00A608EE" w:rsidRDefault="005452E9" w:rsidP="00EE208A">
      <w:pPr>
        <w:pStyle w:val="NormalWeb"/>
        <w:spacing w:before="0" w:beforeAutospacing="0" w:after="0" w:afterAutospacing="0"/>
        <w:jc w:val="both"/>
        <w:rPr>
          <w:rFonts w:asciiTheme="majorHAnsi" w:hAnsiTheme="majorHAnsi"/>
          <w:sz w:val="20"/>
          <w:szCs w:val="20"/>
        </w:rPr>
      </w:pPr>
    </w:p>
    <w:p w14:paraId="6463FD84" w14:textId="45956727" w:rsidR="000454F4" w:rsidRPr="00A608EE" w:rsidRDefault="00CA6A1B" w:rsidP="00EE208A">
      <w:pPr>
        <w:pStyle w:val="Heading4"/>
        <w:spacing w:before="0" w:line="240" w:lineRule="auto"/>
        <w:jc w:val="both"/>
      </w:pPr>
      <w:r w:rsidRPr="00A608EE">
        <w:rPr>
          <w:rStyle w:val="text-primary"/>
        </w:rPr>
        <w:t>7.C.1.1</w:t>
      </w:r>
      <w:r w:rsidRPr="00A608EE">
        <w:t xml:space="preserve"> </w:t>
      </w:r>
      <w:r w:rsidR="00141B41" w:rsidRPr="00A608EE">
        <w:t>The provider offers at least one of the following financial products or services to help clients cope with climate shocks</w:t>
      </w:r>
      <w:r w:rsidR="009D2CFD" w:rsidRPr="00A608EE">
        <w:t>:</w:t>
      </w:r>
    </w:p>
    <w:p w14:paraId="1E94337F" w14:textId="12FFEF76" w:rsidR="00801BB9" w:rsidRPr="00A608EE" w:rsidRDefault="00CA6A1B" w:rsidP="00EE208A">
      <w:pPr>
        <w:pStyle w:val="Heading4"/>
        <w:spacing w:before="0" w:line="240" w:lineRule="auto"/>
        <w:ind w:firstLine="708"/>
        <w:jc w:val="both"/>
        <w:rPr>
          <w:sz w:val="20"/>
          <w:szCs w:val="20"/>
        </w:rPr>
      </w:pPr>
      <w:r w:rsidRPr="00A608EE">
        <w:rPr>
          <w:sz w:val="20"/>
        </w:rPr>
        <w:t>7.C.1.1.1</w:t>
      </w:r>
      <w:r w:rsidRPr="00A608EE">
        <w:rPr>
          <w:sz w:val="20"/>
          <w:szCs w:val="20"/>
        </w:rPr>
        <w:t xml:space="preserve"> </w:t>
      </w:r>
      <w:r w:rsidR="00141B41" w:rsidRPr="00A608EE">
        <w:rPr>
          <w:sz w:val="20"/>
          <w:szCs w:val="20"/>
        </w:rPr>
        <w:t>Emergency loans, loans rescheduling, or loans restructuring</w:t>
      </w:r>
    </w:p>
    <w:p w14:paraId="57E49D47" w14:textId="68B259A3" w:rsidR="00CA6A1B" w:rsidRPr="00A608EE" w:rsidRDefault="00CA6A1B" w:rsidP="00EE208A">
      <w:pPr>
        <w:pStyle w:val="Heading4"/>
        <w:spacing w:before="0" w:line="240" w:lineRule="auto"/>
        <w:ind w:firstLine="708"/>
        <w:jc w:val="both"/>
        <w:rPr>
          <w:i w:val="0"/>
          <w:iCs w:val="0"/>
          <w:sz w:val="20"/>
          <w:szCs w:val="20"/>
        </w:rPr>
      </w:pPr>
      <w:r w:rsidRPr="00A608EE">
        <w:rPr>
          <w:sz w:val="20"/>
        </w:rPr>
        <w:t>7.C.1.1.2</w:t>
      </w:r>
      <w:r w:rsidRPr="00A608EE">
        <w:rPr>
          <w:sz w:val="20"/>
          <w:szCs w:val="20"/>
        </w:rPr>
        <w:t xml:space="preserve"> </w:t>
      </w:r>
      <w:r w:rsidR="00141B41" w:rsidRPr="00A608EE">
        <w:rPr>
          <w:sz w:val="20"/>
          <w:szCs w:val="20"/>
        </w:rPr>
        <w:t>Agricultural or climate insurance products</w:t>
      </w:r>
    </w:p>
    <w:p w14:paraId="78729ADC" w14:textId="0622BB03" w:rsidR="00CA6A1B" w:rsidRPr="00A608EE" w:rsidRDefault="00CA6A1B" w:rsidP="00EE208A">
      <w:pPr>
        <w:pStyle w:val="NormalWeb"/>
        <w:spacing w:before="0" w:beforeAutospacing="0" w:after="0" w:afterAutospacing="0"/>
        <w:ind w:left="708"/>
        <w:jc w:val="both"/>
        <w:rPr>
          <w:rFonts w:asciiTheme="majorHAnsi" w:hAnsiTheme="majorHAnsi"/>
          <w:i/>
          <w:iCs/>
          <w:sz w:val="20"/>
          <w:szCs w:val="20"/>
        </w:rPr>
      </w:pPr>
      <w:r w:rsidRPr="00A608EE">
        <w:rPr>
          <w:rFonts w:asciiTheme="majorHAnsi" w:hAnsiTheme="majorHAnsi"/>
          <w:i/>
          <w:sz w:val="20"/>
        </w:rPr>
        <w:t>7.C.1.1.3</w:t>
      </w:r>
      <w:r w:rsidRPr="00A608EE">
        <w:rPr>
          <w:rFonts w:asciiTheme="majorHAnsi" w:hAnsiTheme="majorHAnsi"/>
          <w:i/>
          <w:sz w:val="20"/>
          <w:szCs w:val="20"/>
        </w:rPr>
        <w:t xml:space="preserve"> </w:t>
      </w:r>
      <w:r w:rsidR="00141B41" w:rsidRPr="00A608EE">
        <w:rPr>
          <w:rFonts w:asciiTheme="majorHAnsi" w:hAnsiTheme="majorHAnsi"/>
          <w:i/>
          <w:sz w:val="20"/>
          <w:szCs w:val="20"/>
        </w:rPr>
        <w:t>Saving products, money transfer, remittances, or guarantees</w:t>
      </w:r>
    </w:p>
    <w:p w14:paraId="5A435D64" w14:textId="77777777" w:rsidR="00CA6A1B" w:rsidRPr="00A608EE" w:rsidRDefault="00CA6A1B" w:rsidP="00EE208A">
      <w:pPr>
        <w:jc w:val="both"/>
        <w:rPr>
          <w:rFonts w:asciiTheme="majorHAnsi" w:hAnsiTheme="majorHAnsi"/>
          <w:szCs w:val="20"/>
        </w:rPr>
      </w:pPr>
    </w:p>
    <w:p w14:paraId="6EBE0E68" w14:textId="76E4A563" w:rsidR="005452E9" w:rsidRPr="00A608EE" w:rsidRDefault="00C8735D"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5452E9" w:rsidRPr="00A608EE">
        <w:rPr>
          <w:rFonts w:asciiTheme="majorHAnsi" w:hAnsiTheme="majorHAnsi" w:cstheme="majorHAnsi"/>
          <w:b/>
          <w:bCs/>
          <w:color w:val="2145CC" w:themeColor="accent5" w:themeShade="BF"/>
          <w:sz w:val="20"/>
          <w:szCs w:val="20"/>
        </w:rPr>
        <w:t>SPI5 Entry | SPI5 Full</w:t>
      </w:r>
      <w:r w:rsidR="004876A2" w:rsidRPr="00A608EE">
        <w:rPr>
          <w:rFonts w:asciiTheme="majorHAnsi" w:hAnsiTheme="majorHAnsi" w:cstheme="majorHAnsi"/>
          <w:b/>
          <w:bCs/>
          <w:color w:val="2145CC" w:themeColor="accent5" w:themeShade="BF"/>
          <w:sz w:val="20"/>
          <w:szCs w:val="20"/>
        </w:rPr>
        <w:t xml:space="preserve"> </w:t>
      </w:r>
      <w:r w:rsidR="004876A2" w:rsidRPr="00A608EE">
        <w:rPr>
          <w:rFonts w:ascii="Work Sans" w:hAnsi="Work Sans"/>
          <w:b/>
          <w:bCs/>
          <w:color w:val="2145CC" w:themeColor="accent5" w:themeShade="BF"/>
          <w:sz w:val="20"/>
          <w:szCs w:val="20"/>
        </w:rPr>
        <w:t>| DI Focus</w:t>
      </w:r>
    </w:p>
    <w:p w14:paraId="232C1F6B" w14:textId="7EAA03E2" w:rsidR="005452E9" w:rsidRPr="00A608EE" w:rsidRDefault="00AF6928" w:rsidP="00255DF8">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58AC146D" w14:textId="77777777" w:rsidR="00141B41" w:rsidRPr="00A608EE" w:rsidRDefault="00141B41" w:rsidP="00EE208A">
      <w:pPr>
        <w:jc w:val="both"/>
        <w:rPr>
          <w:rFonts w:asciiTheme="majorHAnsi" w:hAnsiTheme="majorHAnsi"/>
          <w:sz w:val="20"/>
          <w:szCs w:val="20"/>
        </w:rPr>
      </w:pPr>
      <w:r w:rsidRPr="00A608EE">
        <w:rPr>
          <w:rFonts w:asciiTheme="majorHAnsi" w:hAnsiTheme="majorHAnsi"/>
          <w:sz w:val="20"/>
          <w:szCs w:val="20"/>
        </w:rPr>
        <w:t>With climate change, dramatic climate events, such as heat waves, droughts, heavy rains, floods, or storms are becoming more and more frequent and serious. These climate shocks directly and strongly affect poor and vulnerable populations who have limited coping capacities. In case of extreme climate events affecting the business or household of clients (e.g. crop loss, asset loss, injuries, etc.), offering adapted financial products and services to affected clients can help them better cope with the consequences of the shocks. For the provider, it is a strategy to manage portfolio risk, at least in the short term (in the longer term, what is needed is to increase the adaptive capacities or resiliency of clients by adopting climate-smart practices and/or diversifying their sources of revenues).</w:t>
      </w:r>
    </w:p>
    <w:p w14:paraId="06E0797F" w14:textId="77777777" w:rsidR="00672763" w:rsidRPr="00A608EE" w:rsidRDefault="00672763" w:rsidP="00EE208A">
      <w:pPr>
        <w:jc w:val="both"/>
        <w:rPr>
          <w:rFonts w:asciiTheme="majorHAnsi" w:hAnsiTheme="majorHAnsi"/>
          <w:sz w:val="20"/>
          <w:szCs w:val="20"/>
        </w:rPr>
      </w:pPr>
    </w:p>
    <w:p w14:paraId="11BC92C2"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26528" behindDoc="1" locked="0" layoutInCell="1" allowOverlap="1" wp14:anchorId="0A56E875" wp14:editId="186CF6E1">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462681821"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FE650F5" w14:textId="77777777" w:rsidR="00672763" w:rsidRPr="00A608EE" w:rsidRDefault="00672763" w:rsidP="00EE208A">
      <w:pPr>
        <w:jc w:val="both"/>
        <w:rPr>
          <w:rFonts w:asciiTheme="majorHAnsi" w:hAnsiTheme="majorHAnsi"/>
          <w:sz w:val="20"/>
          <w:szCs w:val="20"/>
        </w:rPr>
      </w:pPr>
    </w:p>
    <w:p w14:paraId="5BD77F25" w14:textId="08DB96BB" w:rsidR="00AF6928" w:rsidRPr="00A608EE" w:rsidRDefault="00386AB6" w:rsidP="00AF6928">
      <w:pPr>
        <w:jc w:val="both"/>
        <w:rPr>
          <w:rFonts w:asciiTheme="majorHAnsi" w:hAnsiTheme="majorHAnsi"/>
          <w:sz w:val="20"/>
          <w:szCs w:val="20"/>
        </w:rPr>
      </w:pPr>
      <w:r w:rsidRPr="00A608EE">
        <w:rPr>
          <w:rFonts w:ascii="Work Sans" w:hAnsi="Work Sans"/>
          <w:b/>
          <w:bCs/>
          <w:sz w:val="20"/>
          <w:szCs w:val="20"/>
          <w:lang w:eastAsia="fr-FR"/>
        </w:rPr>
        <w:t>DI Indicator:</w:t>
      </w:r>
      <w:r w:rsidRPr="00A608EE">
        <w:rPr>
          <w:rFonts w:ascii="Work Sans" w:hAnsi="Work Sans"/>
          <w:sz w:val="20"/>
          <w:szCs w:val="20"/>
          <w:lang w:eastAsia="fr-FR"/>
        </w:rPr>
        <w:t xml:space="preserve"> </w:t>
      </w:r>
      <w:r w:rsidR="00AF6928" w:rsidRPr="00A608EE">
        <w:rPr>
          <w:rFonts w:asciiTheme="majorHAnsi" w:hAnsiTheme="majorHAnsi"/>
          <w:sz w:val="20"/>
          <w:szCs w:val="20"/>
        </w:rPr>
        <w:t>The provider offers financial products or services to help clients cope with climate shocks that are:</w:t>
      </w:r>
    </w:p>
    <w:p w14:paraId="7535A340" w14:textId="77777777" w:rsidR="00AF6928" w:rsidRPr="00A608EE" w:rsidRDefault="00AF6928" w:rsidP="00AF6928">
      <w:pPr>
        <w:jc w:val="both"/>
        <w:rPr>
          <w:rFonts w:asciiTheme="majorHAnsi" w:hAnsiTheme="majorHAnsi"/>
          <w:sz w:val="20"/>
          <w:szCs w:val="20"/>
        </w:rPr>
      </w:pPr>
      <w:r w:rsidRPr="00A608EE">
        <w:rPr>
          <w:rFonts w:asciiTheme="majorHAnsi" w:hAnsiTheme="majorHAnsi"/>
          <w:sz w:val="20"/>
          <w:szCs w:val="20"/>
        </w:rPr>
        <w:t>-accessible and available to persons with disabilities on an equal basis with others;</w:t>
      </w:r>
    </w:p>
    <w:p w14:paraId="25C4D546" w14:textId="77777777" w:rsidR="00AF6928" w:rsidRPr="00A608EE" w:rsidRDefault="00AF6928" w:rsidP="00AF6928">
      <w:pPr>
        <w:jc w:val="both"/>
        <w:rPr>
          <w:rFonts w:asciiTheme="majorHAnsi" w:hAnsiTheme="majorHAnsi"/>
          <w:sz w:val="20"/>
          <w:szCs w:val="20"/>
        </w:rPr>
      </w:pPr>
      <w:r w:rsidRPr="00A608EE">
        <w:rPr>
          <w:rFonts w:asciiTheme="majorHAnsi" w:hAnsiTheme="majorHAnsi"/>
          <w:sz w:val="20"/>
          <w:szCs w:val="20"/>
        </w:rPr>
        <w:t xml:space="preserve">-do not exclude or discriminate against persons with disabilities; and </w:t>
      </w:r>
    </w:p>
    <w:p w14:paraId="52A6BA8E" w14:textId="0B369E32" w:rsidR="00AF6928" w:rsidRPr="00A608EE" w:rsidRDefault="00AF6928" w:rsidP="00AF6928">
      <w:pPr>
        <w:jc w:val="both"/>
        <w:rPr>
          <w:rFonts w:asciiTheme="majorHAnsi" w:hAnsiTheme="majorHAnsi"/>
          <w:sz w:val="20"/>
          <w:szCs w:val="20"/>
        </w:rPr>
      </w:pPr>
      <w:r w:rsidRPr="00A608EE">
        <w:rPr>
          <w:rFonts w:asciiTheme="majorHAnsi" w:hAnsiTheme="majorHAnsi"/>
          <w:sz w:val="20"/>
          <w:szCs w:val="20"/>
        </w:rPr>
        <w:t>-are responsive to their needs.</w:t>
      </w:r>
    </w:p>
    <w:p w14:paraId="4AF65F02" w14:textId="77777777" w:rsidR="00AF6928" w:rsidRPr="00A608EE" w:rsidRDefault="00AF6928" w:rsidP="00EE208A">
      <w:pPr>
        <w:jc w:val="both"/>
        <w:rPr>
          <w:rFonts w:asciiTheme="majorHAnsi" w:hAnsiTheme="majorHAnsi"/>
          <w:sz w:val="20"/>
          <w:szCs w:val="20"/>
        </w:rPr>
      </w:pPr>
    </w:p>
    <w:p w14:paraId="7B0E658D" w14:textId="045649CC" w:rsidR="00D90E63" w:rsidRPr="00A608EE" w:rsidRDefault="00D90E63" w:rsidP="00EE208A">
      <w:pPr>
        <w:jc w:val="both"/>
        <w:rPr>
          <w:rFonts w:asciiTheme="majorHAnsi" w:hAnsiTheme="majorHAnsi"/>
          <w:b/>
          <w:bCs/>
          <w:sz w:val="20"/>
          <w:szCs w:val="20"/>
        </w:rPr>
      </w:pPr>
      <w:r w:rsidRPr="00A608EE">
        <w:rPr>
          <w:noProof/>
        </w:rPr>
        <w:lastRenderedPageBreak/>
        <mc:AlternateContent>
          <mc:Choice Requires="wps">
            <w:drawing>
              <wp:anchor distT="0" distB="0" distL="114300" distR="114300" simplePos="0" relativeHeight="251769856" behindDoc="0" locked="0" layoutInCell="1" allowOverlap="1" wp14:anchorId="7D59D72B" wp14:editId="7AA0986F">
                <wp:simplePos x="0" y="0"/>
                <wp:positionH relativeFrom="column">
                  <wp:posOffset>0</wp:posOffset>
                </wp:positionH>
                <wp:positionV relativeFrom="paragraph">
                  <wp:posOffset>152400</wp:posOffset>
                </wp:positionV>
                <wp:extent cx="1828800" cy="1828800"/>
                <wp:effectExtent l="0" t="0" r="24130" b="27940"/>
                <wp:wrapSquare wrapText="bothSides"/>
                <wp:docPr id="1441551436"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4A7BDAF2" w14:textId="6BB4D2CD" w:rsidR="00D90E63" w:rsidRPr="00820B09" w:rsidRDefault="0084416A" w:rsidP="00D90E63">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D90E63" w:rsidRPr="00820B09">
                              <w:rPr>
                                <w:rFonts w:asciiTheme="majorHAnsi" w:hAnsiTheme="majorHAnsi"/>
                                <w:b/>
                                <w:bCs/>
                                <w:sz w:val="20"/>
                                <w:szCs w:val="20"/>
                                <w:lang w:eastAsia="fr-FR"/>
                              </w:rPr>
                              <w:t>7.C.1.1</w:t>
                            </w:r>
                          </w:p>
                          <w:p w14:paraId="0C8B4724" w14:textId="77777777" w:rsidR="00D90E63" w:rsidRPr="00820B09" w:rsidRDefault="00D90E63" w:rsidP="00D90E63">
                            <w:pPr>
                              <w:jc w:val="both"/>
                              <w:rPr>
                                <w:rFonts w:asciiTheme="majorHAnsi" w:hAnsiTheme="majorHAnsi"/>
                                <w:sz w:val="20"/>
                                <w:szCs w:val="20"/>
                                <w:lang w:eastAsia="fr-FR"/>
                              </w:rPr>
                            </w:pPr>
                          </w:p>
                          <w:p w14:paraId="37FF8B0D" w14:textId="2FA2D87F" w:rsidR="00D90E63" w:rsidRPr="00820B09" w:rsidRDefault="00D90E63" w:rsidP="00D90E63">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vulnerable to the impacts of climate-change, and in particular are at greater risk during climate-related disasters and emergencies (see indicator 7.B.2.1). </w:t>
                            </w:r>
                            <w:r w:rsidR="008A612A" w:rsidRPr="00820B09">
                              <w:rPr>
                                <w:rFonts w:asciiTheme="majorHAnsi" w:hAnsiTheme="majorHAnsi"/>
                                <w:sz w:val="20"/>
                                <w:szCs w:val="20"/>
                                <w:lang w:eastAsia="fr-FR"/>
                              </w:rPr>
                              <w:t>In addition, persons with disabilities face particular barriers to accessing products that can help them to manage the impact of climate shocks, such as loans and insurance products</w:t>
                            </w:r>
                            <w:r w:rsidR="00F8422A" w:rsidRPr="00820B09">
                              <w:rPr>
                                <w:rFonts w:asciiTheme="majorHAnsi" w:hAnsiTheme="majorHAnsi"/>
                                <w:sz w:val="20"/>
                                <w:szCs w:val="20"/>
                                <w:lang w:eastAsia="fr-FR"/>
                              </w:rPr>
                              <w:t xml:space="preserve">. </w:t>
                            </w:r>
                            <w:r w:rsidR="008A612A" w:rsidRPr="00820B09">
                              <w:rPr>
                                <w:rFonts w:asciiTheme="majorHAnsi" w:hAnsiTheme="majorHAnsi"/>
                                <w:sz w:val="20"/>
                                <w:szCs w:val="20"/>
                                <w:lang w:eastAsia="fr-FR"/>
                              </w:rPr>
                              <w:t xml:space="preserve">Indicator </w:t>
                            </w:r>
                            <w:r w:rsidR="00F8422A" w:rsidRPr="00820B09">
                              <w:rPr>
                                <w:rFonts w:asciiTheme="majorHAnsi" w:hAnsiTheme="majorHAnsi"/>
                                <w:sz w:val="20"/>
                                <w:szCs w:val="20"/>
                                <w:lang w:eastAsia="fr-FR"/>
                              </w:rPr>
                              <w:t>3.B.4.2 gives more information about these barriers, and how providers can address these.</w:t>
                            </w:r>
                          </w:p>
                          <w:p w14:paraId="2390E687" w14:textId="77777777" w:rsidR="00BB7E24" w:rsidRPr="00820B09" w:rsidRDefault="00BB7E24" w:rsidP="00D90E63">
                            <w:pPr>
                              <w:jc w:val="both"/>
                              <w:rPr>
                                <w:rFonts w:asciiTheme="majorHAnsi" w:hAnsiTheme="majorHAnsi"/>
                                <w:sz w:val="20"/>
                                <w:szCs w:val="20"/>
                                <w:lang w:eastAsia="fr-FR"/>
                              </w:rPr>
                            </w:pPr>
                          </w:p>
                          <w:p w14:paraId="6C3B2FE9" w14:textId="59A151E1" w:rsidR="00BB7E24" w:rsidRPr="00820B09" w:rsidRDefault="00BB7E24" w:rsidP="00D90E63">
                            <w:pPr>
                              <w:jc w:val="both"/>
                              <w:rPr>
                                <w:rFonts w:asciiTheme="majorHAnsi" w:hAnsiTheme="majorHAnsi"/>
                                <w:sz w:val="20"/>
                                <w:szCs w:val="20"/>
                                <w:lang w:eastAsia="fr-FR"/>
                              </w:rPr>
                            </w:pPr>
                            <w:r w:rsidRPr="00820B09">
                              <w:rPr>
                                <w:rFonts w:asciiTheme="majorHAnsi" w:hAnsiTheme="majorHAnsi"/>
                                <w:sz w:val="20"/>
                                <w:szCs w:val="20"/>
                                <w:lang w:eastAsia="fr-FR"/>
                              </w:rPr>
                              <w:t xml:space="preserve">Providers should apply inclusive design processes in collaboration with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to ensure the needs and vulnerabilities of persons with disabilities in their target client groups are understood and addressed when designing, piloting and user-testing financial products or services to help clients cope with climate shocks, and that these products and services are accessible to persons with disabilities (for more information about inclusive design processes, see indicator 3.A.1.1 ). </w:t>
                            </w:r>
                          </w:p>
                          <w:p w14:paraId="7CEC2D41" w14:textId="77777777" w:rsidR="00D90E63" w:rsidRPr="00820B09" w:rsidRDefault="00D90E63" w:rsidP="00D90E63">
                            <w:pPr>
                              <w:jc w:val="both"/>
                              <w:rPr>
                                <w:rFonts w:asciiTheme="majorHAnsi" w:hAnsiTheme="majorHAnsi"/>
                                <w:sz w:val="20"/>
                                <w:szCs w:val="20"/>
                                <w:lang w:eastAsia="fr-FR"/>
                              </w:rPr>
                            </w:pPr>
                          </w:p>
                          <w:p w14:paraId="4B0907DE" w14:textId="704E3889" w:rsidR="00D90E63" w:rsidRPr="00820B09" w:rsidRDefault="00BB7E24" w:rsidP="00D90E63">
                            <w:pPr>
                              <w:jc w:val="both"/>
                              <w:rPr>
                                <w:rFonts w:asciiTheme="majorHAnsi" w:hAnsiTheme="majorHAnsi"/>
                                <w:sz w:val="20"/>
                                <w:szCs w:val="20"/>
                                <w:lang w:eastAsia="fr-FR"/>
                              </w:rPr>
                            </w:pPr>
                            <w:r w:rsidRPr="00820B09">
                              <w:rPr>
                                <w:rFonts w:asciiTheme="majorHAnsi" w:hAnsiTheme="majorHAnsi"/>
                                <w:sz w:val="20"/>
                                <w:szCs w:val="20"/>
                                <w:lang w:eastAsia="fr-FR"/>
                              </w:rPr>
                              <w:t>For example,</w:t>
                            </w:r>
                            <w:r w:rsidR="008A612A" w:rsidRPr="00820B09">
                              <w:rPr>
                                <w:rFonts w:asciiTheme="majorHAnsi" w:hAnsiTheme="majorHAnsi"/>
                                <w:sz w:val="20"/>
                                <w:szCs w:val="20"/>
                                <w:lang w:eastAsia="fr-FR"/>
                              </w:rPr>
                              <w:t xml:space="preserve"> the Pacific Insurance and Climate Adaptation Programme (PICAP) strengthened gender- and disability-disaggregated data systems and used consultative design processes to develop inclusive climate risk insurance products that are accessible, affordable, and relevant for women and persons with disabilities, who face heightened risks from climate change impacts in Pacific Island nations</w:t>
                            </w:r>
                            <w:r w:rsidR="00F5562D" w:rsidRPr="00820B09">
                              <w:rPr>
                                <w:rFonts w:asciiTheme="majorHAnsi" w:hAnsiTheme="majorHAnsi"/>
                                <w:sz w:val="20"/>
                                <w:szCs w:val="20"/>
                                <w:lang w:eastAsia="fr-FR"/>
                              </w:rPr>
                              <w:t xml:space="preserve"> (see resources for this indicator).</w:t>
                            </w:r>
                          </w:p>
                          <w:p w14:paraId="072D5056" w14:textId="5925906F" w:rsidR="00D90E63" w:rsidRPr="00820B09" w:rsidRDefault="00D90E63" w:rsidP="00D90E63">
                            <w:pPr>
                              <w:jc w:val="both"/>
                              <w:rPr>
                                <w:rFonts w:asciiTheme="majorHAnsi" w:hAnsiTheme="majorHAnsi"/>
                                <w:sz w:val="20"/>
                                <w:szCs w:val="20"/>
                                <w:lang w:eastAsia="fr-FR"/>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D59D72B" id="_x0000_s1074" type="#_x0000_t202" style="position:absolute;left:0;text-align:left;margin-left:0;margin-top:12pt;width:2in;height:2in;z-index:2517698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mqoLAIAAFsEAAAOAAAAZHJzL2Uyb0RvYy54bWysVN9v2jAQfp+0/8Hy+0hgtGU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" filled="f" strokeweight=".5pt">
                <v:textbox style="mso-fit-shape-to-text:t">
                  <w:txbxContent>
                    <w:p w14:paraId="4A7BDAF2" w14:textId="6BB4D2CD" w:rsidR="00D90E63" w:rsidRPr="00820B09" w:rsidRDefault="0084416A" w:rsidP="00D90E63">
                      <w:pPr>
                        <w:jc w:val="both"/>
                        <w:rPr>
                          <w:rFonts w:asciiTheme="majorHAnsi" w:hAnsiTheme="majorHAnsi"/>
                          <w:b/>
                          <w:bCs/>
                          <w:sz w:val="20"/>
                          <w:szCs w:val="20"/>
                          <w:lang w:eastAsia="fr-FR"/>
                        </w:rPr>
                      </w:pPr>
                      <w:r w:rsidRPr="00820B09">
                        <w:rPr>
                          <w:rFonts w:asciiTheme="majorHAnsi" w:hAnsiTheme="majorHAnsi"/>
                          <w:b/>
                          <w:bCs/>
                          <w:sz w:val="20"/>
                          <w:szCs w:val="20"/>
                          <w:lang w:eastAsia="fr-FR"/>
                        </w:rPr>
                        <w:t xml:space="preserve">Disability Inclusion - Info Box </w:t>
                      </w:r>
                      <w:r w:rsidR="00D90E63" w:rsidRPr="00820B09">
                        <w:rPr>
                          <w:rFonts w:asciiTheme="majorHAnsi" w:hAnsiTheme="majorHAnsi"/>
                          <w:b/>
                          <w:bCs/>
                          <w:sz w:val="20"/>
                          <w:szCs w:val="20"/>
                          <w:lang w:eastAsia="fr-FR"/>
                        </w:rPr>
                        <w:t>7.C.1.1</w:t>
                      </w:r>
                    </w:p>
                    <w:p w14:paraId="0C8B4724" w14:textId="77777777" w:rsidR="00D90E63" w:rsidRPr="00820B09" w:rsidRDefault="00D90E63" w:rsidP="00D90E63">
                      <w:pPr>
                        <w:jc w:val="both"/>
                        <w:rPr>
                          <w:rFonts w:asciiTheme="majorHAnsi" w:hAnsiTheme="majorHAnsi"/>
                          <w:sz w:val="20"/>
                          <w:szCs w:val="20"/>
                          <w:lang w:eastAsia="fr-FR"/>
                        </w:rPr>
                      </w:pPr>
                    </w:p>
                    <w:p w14:paraId="37FF8B0D" w14:textId="2FA2D87F" w:rsidR="00D90E63" w:rsidRPr="00820B09" w:rsidRDefault="00D90E63" w:rsidP="00D90E63">
                      <w:pPr>
                        <w:jc w:val="both"/>
                        <w:rPr>
                          <w:rFonts w:asciiTheme="majorHAnsi" w:hAnsiTheme="majorHAnsi"/>
                          <w:sz w:val="20"/>
                          <w:szCs w:val="20"/>
                          <w:lang w:eastAsia="fr-FR"/>
                        </w:rPr>
                      </w:pPr>
                      <w:r w:rsidRPr="00820B09">
                        <w:rPr>
                          <w:rFonts w:asciiTheme="majorHAnsi" w:hAnsiTheme="majorHAnsi"/>
                          <w:sz w:val="20"/>
                          <w:szCs w:val="20"/>
                          <w:lang w:eastAsia="fr-FR"/>
                        </w:rPr>
                        <w:t xml:space="preserve">Persons with disabilities are particularly vulnerable to the impacts of climate-change, and in particular are at greater risk during climate-related disasters and emergencies (see indicator 7.B.2.1). </w:t>
                      </w:r>
                      <w:r w:rsidR="008A612A" w:rsidRPr="00820B09">
                        <w:rPr>
                          <w:rFonts w:asciiTheme="majorHAnsi" w:hAnsiTheme="majorHAnsi"/>
                          <w:sz w:val="20"/>
                          <w:szCs w:val="20"/>
                          <w:lang w:eastAsia="fr-FR"/>
                        </w:rPr>
                        <w:t>In addition, persons with disabilities face particular barriers to accessing products that can help them to manage the impact of climate shocks, such as loans and insurance products</w:t>
                      </w:r>
                      <w:r w:rsidR="00F8422A" w:rsidRPr="00820B09">
                        <w:rPr>
                          <w:rFonts w:asciiTheme="majorHAnsi" w:hAnsiTheme="majorHAnsi"/>
                          <w:sz w:val="20"/>
                          <w:szCs w:val="20"/>
                          <w:lang w:eastAsia="fr-FR"/>
                        </w:rPr>
                        <w:t xml:space="preserve">. </w:t>
                      </w:r>
                      <w:r w:rsidR="008A612A" w:rsidRPr="00820B09">
                        <w:rPr>
                          <w:rFonts w:asciiTheme="majorHAnsi" w:hAnsiTheme="majorHAnsi"/>
                          <w:sz w:val="20"/>
                          <w:szCs w:val="20"/>
                          <w:lang w:eastAsia="fr-FR"/>
                        </w:rPr>
                        <w:t xml:space="preserve">Indicator </w:t>
                      </w:r>
                      <w:r w:rsidR="00F8422A" w:rsidRPr="00820B09">
                        <w:rPr>
                          <w:rFonts w:asciiTheme="majorHAnsi" w:hAnsiTheme="majorHAnsi"/>
                          <w:sz w:val="20"/>
                          <w:szCs w:val="20"/>
                          <w:lang w:eastAsia="fr-FR"/>
                        </w:rPr>
                        <w:t>3.B.4.2 gives more information about these barriers, and how providers can address these.</w:t>
                      </w:r>
                    </w:p>
                    <w:p w14:paraId="2390E687" w14:textId="77777777" w:rsidR="00BB7E24" w:rsidRPr="00820B09" w:rsidRDefault="00BB7E24" w:rsidP="00D90E63">
                      <w:pPr>
                        <w:jc w:val="both"/>
                        <w:rPr>
                          <w:rFonts w:asciiTheme="majorHAnsi" w:hAnsiTheme="majorHAnsi"/>
                          <w:sz w:val="20"/>
                          <w:szCs w:val="20"/>
                          <w:lang w:eastAsia="fr-FR"/>
                        </w:rPr>
                      </w:pPr>
                    </w:p>
                    <w:p w14:paraId="6C3B2FE9" w14:textId="59A151E1" w:rsidR="00BB7E24" w:rsidRPr="00820B09" w:rsidRDefault="00BB7E24" w:rsidP="00D90E63">
                      <w:pPr>
                        <w:jc w:val="both"/>
                        <w:rPr>
                          <w:rFonts w:asciiTheme="majorHAnsi" w:hAnsiTheme="majorHAnsi"/>
                          <w:sz w:val="20"/>
                          <w:szCs w:val="20"/>
                          <w:lang w:eastAsia="fr-FR"/>
                        </w:rPr>
                      </w:pPr>
                      <w:r w:rsidRPr="00820B09">
                        <w:rPr>
                          <w:rFonts w:asciiTheme="majorHAnsi" w:hAnsiTheme="majorHAnsi"/>
                          <w:sz w:val="20"/>
                          <w:szCs w:val="20"/>
                          <w:lang w:eastAsia="fr-FR"/>
                        </w:rPr>
                        <w:t xml:space="preserve">Providers should apply inclusive design processes in collaboration with </w:t>
                      </w:r>
                      <w:r w:rsidR="00FE5465" w:rsidRPr="00820B09">
                        <w:rPr>
                          <w:rFonts w:asciiTheme="majorHAnsi" w:hAnsiTheme="majorHAnsi"/>
                          <w:sz w:val="20"/>
                          <w:szCs w:val="20"/>
                          <w:lang w:eastAsia="fr-FR"/>
                        </w:rPr>
                        <w:t>organizations of persons with disabilities (</w:t>
                      </w:r>
                      <w:r w:rsidRPr="00820B09">
                        <w:rPr>
                          <w:rFonts w:asciiTheme="majorHAnsi" w:hAnsiTheme="majorHAnsi"/>
                          <w:sz w:val="20"/>
                          <w:szCs w:val="20"/>
                          <w:lang w:eastAsia="fr-FR"/>
                        </w:rPr>
                        <w:t>OPDs</w:t>
                      </w:r>
                      <w:r w:rsidR="00FE5465" w:rsidRPr="00820B09">
                        <w:rPr>
                          <w:rFonts w:asciiTheme="majorHAnsi" w:hAnsiTheme="majorHAnsi"/>
                          <w:sz w:val="20"/>
                          <w:szCs w:val="20"/>
                          <w:lang w:eastAsia="fr-FR"/>
                        </w:rPr>
                        <w:t>)</w:t>
                      </w:r>
                      <w:r w:rsidRPr="00820B09">
                        <w:rPr>
                          <w:rFonts w:asciiTheme="majorHAnsi" w:hAnsiTheme="majorHAnsi"/>
                          <w:sz w:val="20"/>
                          <w:szCs w:val="20"/>
                          <w:lang w:eastAsia="fr-FR"/>
                        </w:rPr>
                        <w:t xml:space="preserve"> to ensure the needs and vulnerabilities of persons with disabilities in their target client groups are understood and addressed when designing, piloting and user-testing financial products or services to help clients cope with climate shocks, and that these products and services are accessible to persons with disabilities (for more information about inclusive design processes, see indicator 3.A.1.1 ). </w:t>
                      </w:r>
                    </w:p>
                    <w:p w14:paraId="7CEC2D41" w14:textId="77777777" w:rsidR="00D90E63" w:rsidRPr="00820B09" w:rsidRDefault="00D90E63" w:rsidP="00D90E63">
                      <w:pPr>
                        <w:jc w:val="both"/>
                        <w:rPr>
                          <w:rFonts w:asciiTheme="majorHAnsi" w:hAnsiTheme="majorHAnsi"/>
                          <w:sz w:val="20"/>
                          <w:szCs w:val="20"/>
                          <w:lang w:eastAsia="fr-FR"/>
                        </w:rPr>
                      </w:pPr>
                    </w:p>
                    <w:p w14:paraId="4B0907DE" w14:textId="704E3889" w:rsidR="00D90E63" w:rsidRPr="00820B09" w:rsidRDefault="00BB7E24" w:rsidP="00D90E63">
                      <w:pPr>
                        <w:jc w:val="both"/>
                        <w:rPr>
                          <w:rFonts w:asciiTheme="majorHAnsi" w:hAnsiTheme="majorHAnsi"/>
                          <w:sz w:val="20"/>
                          <w:szCs w:val="20"/>
                          <w:lang w:eastAsia="fr-FR"/>
                        </w:rPr>
                      </w:pPr>
                      <w:r w:rsidRPr="00820B09">
                        <w:rPr>
                          <w:rFonts w:asciiTheme="majorHAnsi" w:hAnsiTheme="majorHAnsi"/>
                          <w:sz w:val="20"/>
                          <w:szCs w:val="20"/>
                          <w:lang w:eastAsia="fr-FR"/>
                        </w:rPr>
                        <w:t>For example,</w:t>
                      </w:r>
                      <w:r w:rsidR="008A612A" w:rsidRPr="00820B09">
                        <w:rPr>
                          <w:rFonts w:asciiTheme="majorHAnsi" w:hAnsiTheme="majorHAnsi"/>
                          <w:sz w:val="20"/>
                          <w:szCs w:val="20"/>
                          <w:lang w:eastAsia="fr-FR"/>
                        </w:rPr>
                        <w:t xml:space="preserve"> the Pacific Insurance and Climate Adaptation Programme (PICAP) strengthened gender- and disability-disaggregated data systems and used consultative design processes to develop inclusive climate risk insurance products that are accessible, affordable, and relevant for women and persons with disabilities, who face heightened risks from climate change impacts in Pacific Island nations</w:t>
                      </w:r>
                      <w:r w:rsidR="00F5562D" w:rsidRPr="00820B09">
                        <w:rPr>
                          <w:rFonts w:asciiTheme="majorHAnsi" w:hAnsiTheme="majorHAnsi"/>
                          <w:sz w:val="20"/>
                          <w:szCs w:val="20"/>
                          <w:lang w:eastAsia="fr-FR"/>
                        </w:rPr>
                        <w:t xml:space="preserve"> (see resources for this indicator).</w:t>
                      </w:r>
                    </w:p>
                    <w:p w14:paraId="072D5056" w14:textId="5925906F" w:rsidR="00D90E63" w:rsidRPr="00820B09" w:rsidRDefault="00D90E63" w:rsidP="00D90E63">
                      <w:pPr>
                        <w:jc w:val="both"/>
                        <w:rPr>
                          <w:rFonts w:asciiTheme="majorHAnsi" w:hAnsiTheme="majorHAnsi"/>
                          <w:sz w:val="20"/>
                          <w:szCs w:val="20"/>
                          <w:lang w:eastAsia="fr-FR"/>
                        </w:rPr>
                      </w:pPr>
                    </w:p>
                  </w:txbxContent>
                </v:textbox>
                <w10:wrap type="square"/>
              </v:shape>
            </w:pict>
          </mc:Fallback>
        </mc:AlternateContent>
      </w:r>
    </w:p>
    <w:p w14:paraId="636D93B1" w14:textId="77777777" w:rsidR="00D90E63" w:rsidRPr="00A608EE" w:rsidRDefault="00D90E63" w:rsidP="00EE208A">
      <w:pPr>
        <w:jc w:val="both"/>
        <w:rPr>
          <w:rFonts w:asciiTheme="majorHAnsi" w:hAnsiTheme="majorHAnsi"/>
          <w:b/>
          <w:bCs/>
          <w:sz w:val="20"/>
          <w:szCs w:val="20"/>
        </w:rPr>
      </w:pPr>
    </w:p>
    <w:p w14:paraId="34CB4206" w14:textId="10484F4E" w:rsidR="00141B41" w:rsidRPr="00A608EE" w:rsidRDefault="00141B41" w:rsidP="00EE208A">
      <w:pPr>
        <w:jc w:val="both"/>
        <w:rPr>
          <w:rFonts w:asciiTheme="majorHAnsi" w:hAnsiTheme="majorHAnsi"/>
          <w:b/>
          <w:bCs/>
          <w:sz w:val="20"/>
          <w:szCs w:val="20"/>
        </w:rPr>
      </w:pPr>
      <w:r w:rsidRPr="00A608EE">
        <w:rPr>
          <w:rFonts w:asciiTheme="majorHAnsi" w:hAnsiTheme="majorHAnsi"/>
          <w:b/>
          <w:bCs/>
          <w:sz w:val="20"/>
          <w:szCs w:val="20"/>
        </w:rPr>
        <w:t>Scoring guidance</w:t>
      </w:r>
    </w:p>
    <w:p w14:paraId="634316CF" w14:textId="61347722" w:rsidR="00141B41" w:rsidRPr="00A608EE" w:rsidRDefault="00141B41" w:rsidP="00EE208A">
      <w:pPr>
        <w:jc w:val="both"/>
        <w:rPr>
          <w:rFonts w:asciiTheme="majorHAnsi" w:hAnsiTheme="majorHAnsi"/>
          <w:sz w:val="20"/>
          <w:szCs w:val="20"/>
        </w:rPr>
      </w:pPr>
      <w:r w:rsidRPr="00A608EE">
        <w:rPr>
          <w:rFonts w:asciiTheme="majorHAnsi" w:hAnsiTheme="majorHAnsi"/>
          <w:sz w:val="20"/>
          <w:szCs w:val="20"/>
          <w:u w:val="single"/>
        </w:rPr>
        <w:t>For 7.C.1.1.1</w:t>
      </w:r>
    </w:p>
    <w:p w14:paraId="1FCEF5D7" w14:textId="77777777" w:rsidR="00141B41" w:rsidRPr="00A608EE" w:rsidRDefault="00141B41" w:rsidP="00A27AAA">
      <w:pPr>
        <w:pStyle w:val="ListParagraph"/>
        <w:numPr>
          <w:ilvl w:val="0"/>
          <w:numId w:val="379"/>
        </w:numPr>
        <w:spacing w:after="0" w:line="240" w:lineRule="auto"/>
        <w:jc w:val="both"/>
        <w:rPr>
          <w:rFonts w:asciiTheme="majorHAnsi" w:hAnsiTheme="majorHAnsi"/>
          <w:szCs w:val="20"/>
        </w:rPr>
      </w:pPr>
      <w:r w:rsidRPr="00A608EE">
        <w:rPr>
          <w:rFonts w:asciiTheme="majorHAnsi" w:hAnsiTheme="majorHAnsi"/>
          <w:szCs w:val="20"/>
        </w:rPr>
        <w:t>To answer ‘yes’, the provider must have a formal procedure specifying how emergency loans, loans rescheduling, or loan restructuring are applied in case of climate shocks or natural disasters. Emergency loans do not have to be specifically designed for climate risks; they can be generic emergency loans but must have a formal procedure specifying that they apply particularly in cases of climate shocks. The provider must also give evidence that emergency loans, loans rescheduling, or loan restructuring are effectively provided to clients in cases of climate shocks.</w:t>
      </w:r>
    </w:p>
    <w:p w14:paraId="61BA0F7F" w14:textId="77777777" w:rsidR="00141B41" w:rsidRPr="00A608EE" w:rsidRDefault="00141B41" w:rsidP="00A27AAA">
      <w:pPr>
        <w:pStyle w:val="ListParagraph"/>
        <w:numPr>
          <w:ilvl w:val="0"/>
          <w:numId w:val="379"/>
        </w:numPr>
        <w:spacing w:after="0" w:line="240" w:lineRule="auto"/>
        <w:jc w:val="both"/>
        <w:rPr>
          <w:rFonts w:asciiTheme="majorHAnsi" w:hAnsiTheme="majorHAnsi"/>
          <w:szCs w:val="20"/>
        </w:rPr>
      </w:pPr>
      <w:r w:rsidRPr="00A608EE">
        <w:rPr>
          <w:rFonts w:asciiTheme="majorHAnsi" w:hAnsiTheme="majorHAnsi"/>
          <w:szCs w:val="20"/>
        </w:rPr>
        <w:t>If the procedures or products have not been formalized but there is evidence that they are applied in cases of climate shocks, the answer can be ‘partially.’</w:t>
      </w:r>
    </w:p>
    <w:p w14:paraId="13B382A8" w14:textId="33D39D01" w:rsidR="00141B41" w:rsidRPr="00A608EE" w:rsidRDefault="00141B41" w:rsidP="00A27AAA">
      <w:pPr>
        <w:pStyle w:val="ListParagraph"/>
        <w:numPr>
          <w:ilvl w:val="0"/>
          <w:numId w:val="379"/>
        </w:numPr>
        <w:spacing w:after="0" w:line="240" w:lineRule="auto"/>
        <w:jc w:val="both"/>
        <w:rPr>
          <w:rFonts w:asciiTheme="majorHAnsi" w:hAnsiTheme="majorHAnsi"/>
          <w:szCs w:val="20"/>
        </w:rPr>
      </w:pPr>
      <w:r w:rsidRPr="00A608EE">
        <w:rPr>
          <w:rFonts w:asciiTheme="majorHAnsi" w:hAnsiTheme="majorHAnsi"/>
          <w:szCs w:val="20"/>
        </w:rPr>
        <w:t>Assign ‘no’ if no formal procedures or informal practices are in place.</w:t>
      </w:r>
    </w:p>
    <w:p w14:paraId="36BE32F4" w14:textId="77777777" w:rsidR="00141B41" w:rsidRPr="00A608EE" w:rsidRDefault="00141B41" w:rsidP="00EE208A">
      <w:pPr>
        <w:jc w:val="both"/>
        <w:rPr>
          <w:rFonts w:asciiTheme="majorHAnsi" w:hAnsiTheme="majorHAnsi"/>
          <w:sz w:val="20"/>
          <w:szCs w:val="20"/>
          <w:u w:val="single"/>
        </w:rPr>
      </w:pPr>
    </w:p>
    <w:p w14:paraId="39F16589" w14:textId="74B09E84" w:rsidR="00141B41" w:rsidRPr="00A608EE" w:rsidRDefault="00141B41" w:rsidP="00EE208A">
      <w:pPr>
        <w:jc w:val="both"/>
        <w:rPr>
          <w:rFonts w:asciiTheme="majorHAnsi" w:hAnsiTheme="majorHAnsi"/>
          <w:sz w:val="20"/>
          <w:szCs w:val="20"/>
        </w:rPr>
      </w:pPr>
      <w:r w:rsidRPr="00A608EE">
        <w:rPr>
          <w:rFonts w:asciiTheme="majorHAnsi" w:hAnsiTheme="majorHAnsi"/>
          <w:sz w:val="20"/>
          <w:szCs w:val="20"/>
          <w:u w:val="single"/>
        </w:rPr>
        <w:t>For 7.C.1.1.2</w:t>
      </w:r>
    </w:p>
    <w:p w14:paraId="7CD10FE8" w14:textId="77777777" w:rsidR="00141B41" w:rsidRPr="00A608EE" w:rsidRDefault="00141B41" w:rsidP="00A27AAA">
      <w:pPr>
        <w:pStyle w:val="ListParagraph"/>
        <w:numPr>
          <w:ilvl w:val="0"/>
          <w:numId w:val="380"/>
        </w:numPr>
        <w:spacing w:after="0" w:line="240" w:lineRule="auto"/>
        <w:jc w:val="both"/>
        <w:rPr>
          <w:rFonts w:asciiTheme="majorHAnsi" w:hAnsiTheme="majorHAnsi"/>
          <w:szCs w:val="20"/>
        </w:rPr>
      </w:pPr>
      <w:r w:rsidRPr="00A608EE">
        <w:rPr>
          <w:rFonts w:asciiTheme="majorHAnsi" w:hAnsiTheme="majorHAnsi"/>
          <w:szCs w:val="20"/>
        </w:rPr>
        <w:t>To answer ‘yes’, the provider must have a formal insurance product that specifically cover climate and/or agricultural risks – and not only other general risks such as death, health, etc. The insurance product can be offered directly by the provider or through a partnership with a third-party. The provider must also give evidence that the insurance product is effectively mobilized in cases of climate shocks.</w:t>
      </w:r>
    </w:p>
    <w:p w14:paraId="7B5C40FF" w14:textId="77777777" w:rsidR="00141B41" w:rsidRPr="00A608EE" w:rsidRDefault="00141B41" w:rsidP="00A27AAA">
      <w:pPr>
        <w:pStyle w:val="ListParagraph"/>
        <w:numPr>
          <w:ilvl w:val="0"/>
          <w:numId w:val="380"/>
        </w:numPr>
        <w:spacing w:after="0" w:line="240" w:lineRule="auto"/>
        <w:jc w:val="both"/>
        <w:rPr>
          <w:rFonts w:asciiTheme="majorHAnsi" w:hAnsiTheme="majorHAnsi"/>
          <w:szCs w:val="20"/>
        </w:rPr>
      </w:pPr>
      <w:r w:rsidRPr="00A608EE">
        <w:rPr>
          <w:rFonts w:asciiTheme="majorHAnsi" w:hAnsiTheme="majorHAnsi"/>
          <w:szCs w:val="20"/>
        </w:rPr>
        <w:t>If the provider can give evidence (documents, past events, etc.) that an insurance product that is not specific for climate or agriculture risks has been able to cover losses from an agriculture or climate event, score ‘partially.’</w:t>
      </w:r>
    </w:p>
    <w:p w14:paraId="6EB2CA78" w14:textId="30E31971" w:rsidR="00141B41" w:rsidRPr="00A608EE" w:rsidRDefault="00141B41" w:rsidP="00A27AAA">
      <w:pPr>
        <w:pStyle w:val="ListParagraph"/>
        <w:numPr>
          <w:ilvl w:val="0"/>
          <w:numId w:val="380"/>
        </w:numPr>
        <w:spacing w:after="0" w:line="240" w:lineRule="auto"/>
        <w:jc w:val="both"/>
        <w:rPr>
          <w:rFonts w:asciiTheme="majorHAnsi" w:hAnsiTheme="majorHAnsi"/>
          <w:szCs w:val="20"/>
        </w:rPr>
      </w:pPr>
      <w:r w:rsidRPr="00A608EE">
        <w:rPr>
          <w:rFonts w:asciiTheme="majorHAnsi" w:hAnsiTheme="majorHAnsi"/>
          <w:szCs w:val="20"/>
        </w:rPr>
        <w:t>Assign ‘no’ if no insurance product can address climate risks.</w:t>
      </w:r>
    </w:p>
    <w:p w14:paraId="73078372" w14:textId="77777777" w:rsidR="00141B41" w:rsidRPr="00A608EE" w:rsidRDefault="00141B41" w:rsidP="00EE208A">
      <w:pPr>
        <w:jc w:val="both"/>
        <w:rPr>
          <w:rFonts w:asciiTheme="majorHAnsi" w:hAnsiTheme="majorHAnsi"/>
          <w:sz w:val="20"/>
          <w:szCs w:val="20"/>
        </w:rPr>
      </w:pPr>
    </w:p>
    <w:p w14:paraId="77B77330" w14:textId="77777777" w:rsidR="00141B41" w:rsidRPr="00A608EE" w:rsidRDefault="00141B41" w:rsidP="00EE208A">
      <w:pPr>
        <w:jc w:val="both"/>
        <w:rPr>
          <w:rFonts w:asciiTheme="majorHAnsi" w:hAnsiTheme="majorHAnsi"/>
          <w:sz w:val="20"/>
          <w:szCs w:val="20"/>
        </w:rPr>
      </w:pPr>
      <w:r w:rsidRPr="00A608EE">
        <w:rPr>
          <w:rFonts w:asciiTheme="majorHAnsi" w:hAnsiTheme="majorHAnsi"/>
          <w:sz w:val="20"/>
          <w:szCs w:val="20"/>
          <w:u w:val="single"/>
        </w:rPr>
        <w:t>For 7.C.1.1.3</w:t>
      </w:r>
      <w:r w:rsidRPr="00A608EE">
        <w:rPr>
          <w:rFonts w:asciiTheme="majorHAnsi" w:hAnsiTheme="majorHAnsi"/>
          <w:sz w:val="20"/>
          <w:szCs w:val="20"/>
        </w:rPr>
        <w:t xml:space="preserve"> </w:t>
      </w:r>
    </w:p>
    <w:p w14:paraId="1D367172" w14:textId="0939567B" w:rsidR="00141B41" w:rsidRPr="00A608EE" w:rsidRDefault="00141B41" w:rsidP="00A27AAA">
      <w:pPr>
        <w:pStyle w:val="ListParagraph"/>
        <w:numPr>
          <w:ilvl w:val="0"/>
          <w:numId w:val="380"/>
        </w:numPr>
        <w:spacing w:after="0" w:line="240" w:lineRule="auto"/>
        <w:jc w:val="both"/>
        <w:rPr>
          <w:rFonts w:asciiTheme="majorHAnsi" w:hAnsiTheme="majorHAnsi"/>
          <w:szCs w:val="20"/>
        </w:rPr>
      </w:pPr>
      <w:r w:rsidRPr="00A608EE">
        <w:rPr>
          <w:rFonts w:asciiTheme="majorHAnsi" w:hAnsiTheme="majorHAnsi"/>
          <w:szCs w:val="20"/>
        </w:rPr>
        <w:t xml:space="preserve">To answer ‘yes’, the provider must have a formal procedure specifying how saving products, money transfer, remittances, or guarantees are mobilized to help clients in case of climate shocks or natural disasters. These financial products and services do not have to be specifically designed for climate risks; they can be generic financial products and services, but must have a formal procedure specifying that they can easily and quickly be mobilized in cases of climate shocks (e.g. term deposits made available in cases of climate shocks). The provider must also give evidence that the products or services are effectively provided to clients in cases of climate shocks. </w:t>
      </w:r>
      <w:r w:rsidRPr="00A608EE">
        <w:rPr>
          <w:rFonts w:asciiTheme="majorHAnsi" w:hAnsiTheme="majorHAnsi"/>
          <w:szCs w:val="20"/>
        </w:rPr>
        <w:lastRenderedPageBreak/>
        <w:t>These financial products or services can be offered directly by the provider or through partnerships.</w:t>
      </w:r>
    </w:p>
    <w:p w14:paraId="4CAAF12A" w14:textId="084A92E4" w:rsidR="00141B41" w:rsidRPr="00A608EE" w:rsidRDefault="00141B41" w:rsidP="00A27AAA">
      <w:pPr>
        <w:pStyle w:val="ListParagraph"/>
        <w:numPr>
          <w:ilvl w:val="0"/>
          <w:numId w:val="380"/>
        </w:numPr>
        <w:spacing w:after="0" w:line="240" w:lineRule="auto"/>
        <w:jc w:val="both"/>
        <w:rPr>
          <w:rFonts w:asciiTheme="majorHAnsi" w:hAnsiTheme="majorHAnsi"/>
          <w:szCs w:val="20"/>
        </w:rPr>
      </w:pPr>
      <w:r w:rsidRPr="00A608EE">
        <w:rPr>
          <w:rFonts w:asciiTheme="majorHAnsi" w:hAnsiTheme="majorHAnsi"/>
          <w:szCs w:val="20"/>
        </w:rPr>
        <w:t>If the procedures or products have not been formalized but there is evidence that they are applied in cases of climate shocks, the answer can be ‘partially.’</w:t>
      </w:r>
    </w:p>
    <w:p w14:paraId="6DFF6ECA" w14:textId="539F8399" w:rsidR="00141B41" w:rsidRPr="00A608EE" w:rsidRDefault="00141B41" w:rsidP="00A27AAA">
      <w:pPr>
        <w:pStyle w:val="ListParagraph"/>
        <w:numPr>
          <w:ilvl w:val="0"/>
          <w:numId w:val="380"/>
        </w:numPr>
        <w:spacing w:after="0" w:line="240" w:lineRule="auto"/>
        <w:jc w:val="both"/>
        <w:rPr>
          <w:rFonts w:asciiTheme="majorHAnsi" w:hAnsiTheme="majorHAnsi"/>
          <w:szCs w:val="20"/>
        </w:rPr>
      </w:pPr>
      <w:r w:rsidRPr="00A608EE">
        <w:rPr>
          <w:rFonts w:asciiTheme="majorHAnsi" w:hAnsiTheme="majorHAnsi"/>
          <w:szCs w:val="20"/>
        </w:rPr>
        <w:t>Assign ‘no’ if no savings product can address climate risks.</w:t>
      </w:r>
    </w:p>
    <w:p w14:paraId="2B08F56E" w14:textId="77777777" w:rsidR="00141B41" w:rsidRPr="00A608EE" w:rsidRDefault="00141B41" w:rsidP="00EE208A">
      <w:pPr>
        <w:jc w:val="both"/>
        <w:rPr>
          <w:rFonts w:asciiTheme="majorHAnsi" w:hAnsiTheme="majorHAnsi"/>
          <w:sz w:val="20"/>
          <w:szCs w:val="20"/>
        </w:rPr>
      </w:pPr>
    </w:p>
    <w:p w14:paraId="54F2AE6D" w14:textId="46E3C4FD" w:rsidR="00141B41" w:rsidRPr="00A608EE" w:rsidRDefault="00141B41" w:rsidP="00EE208A">
      <w:pPr>
        <w:jc w:val="both"/>
        <w:rPr>
          <w:rFonts w:asciiTheme="majorHAnsi" w:hAnsiTheme="majorHAnsi"/>
          <w:b/>
          <w:bCs/>
          <w:sz w:val="20"/>
          <w:szCs w:val="20"/>
        </w:rPr>
      </w:pPr>
      <w:r w:rsidRPr="00A608EE">
        <w:rPr>
          <w:rFonts w:asciiTheme="majorHAnsi" w:hAnsiTheme="majorHAnsi"/>
          <w:b/>
          <w:bCs/>
          <w:sz w:val="20"/>
          <w:szCs w:val="20"/>
        </w:rPr>
        <w:t>Sources of information</w:t>
      </w:r>
    </w:p>
    <w:p w14:paraId="7D1A6116" w14:textId="77777777" w:rsidR="00141B41" w:rsidRPr="00A608EE" w:rsidRDefault="00141B41" w:rsidP="00A27AAA">
      <w:pPr>
        <w:numPr>
          <w:ilvl w:val="0"/>
          <w:numId w:val="378"/>
        </w:numPr>
        <w:jc w:val="both"/>
        <w:rPr>
          <w:rFonts w:asciiTheme="majorHAnsi" w:hAnsiTheme="majorHAnsi"/>
          <w:sz w:val="20"/>
          <w:szCs w:val="20"/>
        </w:rPr>
      </w:pPr>
      <w:r w:rsidRPr="00A608EE">
        <w:rPr>
          <w:rFonts w:asciiTheme="majorHAnsi" w:hAnsiTheme="majorHAnsi"/>
          <w:sz w:val="20"/>
          <w:szCs w:val="20"/>
        </w:rPr>
        <w:t>Product descriptions</w:t>
      </w:r>
    </w:p>
    <w:p w14:paraId="780B92DB" w14:textId="77777777" w:rsidR="00141B41" w:rsidRPr="00A608EE" w:rsidRDefault="00141B41" w:rsidP="00A27AAA">
      <w:pPr>
        <w:numPr>
          <w:ilvl w:val="0"/>
          <w:numId w:val="378"/>
        </w:numPr>
        <w:jc w:val="both"/>
        <w:rPr>
          <w:rFonts w:asciiTheme="majorHAnsi" w:hAnsiTheme="majorHAnsi"/>
          <w:sz w:val="20"/>
          <w:szCs w:val="20"/>
        </w:rPr>
      </w:pPr>
      <w:r w:rsidRPr="00A608EE">
        <w:rPr>
          <w:rFonts w:asciiTheme="majorHAnsi" w:hAnsiTheme="majorHAnsi"/>
          <w:sz w:val="20"/>
          <w:szCs w:val="20"/>
        </w:rPr>
        <w:t>Credit manual</w:t>
      </w:r>
    </w:p>
    <w:p w14:paraId="6F0DE426" w14:textId="77777777" w:rsidR="00141B41" w:rsidRPr="00A608EE" w:rsidRDefault="00141B41" w:rsidP="00A27AAA">
      <w:pPr>
        <w:numPr>
          <w:ilvl w:val="0"/>
          <w:numId w:val="378"/>
        </w:numPr>
        <w:jc w:val="both"/>
        <w:rPr>
          <w:rFonts w:asciiTheme="majorHAnsi" w:hAnsiTheme="majorHAnsi"/>
          <w:sz w:val="20"/>
          <w:szCs w:val="20"/>
        </w:rPr>
      </w:pPr>
      <w:r w:rsidRPr="00A608EE">
        <w:rPr>
          <w:rFonts w:asciiTheme="majorHAnsi" w:hAnsiTheme="majorHAnsi"/>
          <w:sz w:val="20"/>
          <w:szCs w:val="20"/>
        </w:rPr>
        <w:t>Partnerships agreements</w:t>
      </w:r>
    </w:p>
    <w:p w14:paraId="02F68B1B" w14:textId="77777777" w:rsidR="00141B41" w:rsidRPr="00A608EE" w:rsidRDefault="00141B41" w:rsidP="00A27AAA">
      <w:pPr>
        <w:numPr>
          <w:ilvl w:val="0"/>
          <w:numId w:val="378"/>
        </w:numPr>
        <w:jc w:val="both"/>
        <w:rPr>
          <w:rFonts w:asciiTheme="majorHAnsi" w:hAnsiTheme="majorHAnsi"/>
          <w:sz w:val="20"/>
          <w:szCs w:val="20"/>
        </w:rPr>
      </w:pPr>
      <w:r w:rsidRPr="00A608EE">
        <w:rPr>
          <w:rFonts w:asciiTheme="majorHAnsi" w:hAnsiTheme="majorHAnsi"/>
          <w:sz w:val="20"/>
          <w:szCs w:val="20"/>
        </w:rPr>
        <w:t>Interview with the dedicated person on environmental strategy (if applicable)</w:t>
      </w:r>
    </w:p>
    <w:p w14:paraId="474343AE" w14:textId="77777777" w:rsidR="00141B41" w:rsidRPr="00A608EE" w:rsidRDefault="00141B41" w:rsidP="00A27AAA">
      <w:pPr>
        <w:numPr>
          <w:ilvl w:val="0"/>
          <w:numId w:val="378"/>
        </w:numPr>
        <w:jc w:val="both"/>
        <w:rPr>
          <w:rFonts w:asciiTheme="majorHAnsi" w:hAnsiTheme="majorHAnsi"/>
          <w:sz w:val="20"/>
          <w:szCs w:val="20"/>
        </w:rPr>
      </w:pPr>
      <w:r w:rsidRPr="00A608EE">
        <w:rPr>
          <w:rFonts w:asciiTheme="majorHAnsi" w:hAnsiTheme="majorHAnsi"/>
          <w:sz w:val="20"/>
          <w:szCs w:val="20"/>
        </w:rPr>
        <w:t>Interviews with head of operations, branch managers, loan officers</w:t>
      </w:r>
    </w:p>
    <w:p w14:paraId="7A883EE1" w14:textId="77777777" w:rsidR="00141B41" w:rsidRPr="00A608EE" w:rsidRDefault="00141B41" w:rsidP="00A27AAA">
      <w:pPr>
        <w:numPr>
          <w:ilvl w:val="0"/>
          <w:numId w:val="378"/>
        </w:numPr>
        <w:jc w:val="both"/>
        <w:rPr>
          <w:rFonts w:asciiTheme="majorHAnsi" w:hAnsiTheme="majorHAnsi"/>
          <w:sz w:val="20"/>
          <w:szCs w:val="20"/>
        </w:rPr>
      </w:pPr>
      <w:r w:rsidRPr="00A608EE">
        <w:rPr>
          <w:rFonts w:asciiTheme="majorHAnsi" w:hAnsiTheme="majorHAnsi"/>
          <w:sz w:val="20"/>
          <w:szCs w:val="20"/>
        </w:rPr>
        <w:t>Interviews with clients</w:t>
      </w:r>
    </w:p>
    <w:p w14:paraId="57E13852" w14:textId="77777777" w:rsidR="00141B41" w:rsidRPr="00A608EE" w:rsidRDefault="00141B41" w:rsidP="00EE208A">
      <w:pPr>
        <w:jc w:val="both"/>
        <w:rPr>
          <w:rFonts w:asciiTheme="majorHAnsi" w:hAnsiTheme="majorHAnsi"/>
          <w:sz w:val="20"/>
          <w:szCs w:val="20"/>
        </w:rPr>
      </w:pPr>
      <w:r w:rsidRPr="00A608EE">
        <w:rPr>
          <w:rFonts w:asciiTheme="majorHAnsi" w:hAnsiTheme="majorHAnsi"/>
          <w:sz w:val="20"/>
          <w:szCs w:val="20"/>
        </w:rPr>
        <w:t>Evidence to provide</w:t>
      </w:r>
    </w:p>
    <w:p w14:paraId="763A81EB" w14:textId="77777777" w:rsidR="00141B41" w:rsidRPr="00A608EE" w:rsidRDefault="00141B41" w:rsidP="00EE208A">
      <w:pPr>
        <w:jc w:val="both"/>
        <w:rPr>
          <w:rFonts w:asciiTheme="majorHAnsi" w:hAnsiTheme="majorHAnsi"/>
          <w:sz w:val="20"/>
          <w:szCs w:val="20"/>
        </w:rPr>
      </w:pPr>
      <w:r w:rsidRPr="00A608EE">
        <w:rPr>
          <w:rFonts w:asciiTheme="majorHAnsi" w:hAnsiTheme="majorHAnsi"/>
          <w:sz w:val="20"/>
          <w:szCs w:val="20"/>
        </w:rPr>
        <w:t>Specify the type of financial product or service and how it is provided.</w:t>
      </w:r>
    </w:p>
    <w:p w14:paraId="6318AB80" w14:textId="77777777" w:rsidR="00141B41" w:rsidRPr="00A608EE" w:rsidRDefault="00141B41" w:rsidP="00EE208A">
      <w:pPr>
        <w:jc w:val="both"/>
        <w:rPr>
          <w:rFonts w:asciiTheme="majorHAnsi" w:hAnsiTheme="majorHAnsi"/>
          <w:b/>
          <w:bCs/>
          <w:sz w:val="20"/>
          <w:szCs w:val="20"/>
        </w:rPr>
      </w:pPr>
    </w:p>
    <w:p w14:paraId="42AF3F14" w14:textId="7B7548A9" w:rsidR="00CA6A1B" w:rsidRPr="00A608EE" w:rsidRDefault="00141B41" w:rsidP="00EE208A">
      <w:pPr>
        <w:jc w:val="both"/>
        <w:rPr>
          <w:rFonts w:asciiTheme="majorHAnsi" w:hAnsiTheme="majorHAnsi"/>
          <w:b/>
          <w:bCs/>
          <w:sz w:val="20"/>
          <w:szCs w:val="20"/>
        </w:rPr>
      </w:pPr>
      <w:r w:rsidRPr="00A608EE">
        <w:rPr>
          <w:rFonts w:asciiTheme="majorHAnsi" w:hAnsiTheme="majorHAnsi"/>
          <w:b/>
          <w:bCs/>
          <w:sz w:val="20"/>
          <w:szCs w:val="20"/>
        </w:rPr>
        <w:t>Resources for indicator</w:t>
      </w:r>
      <w:r w:rsidR="00CD460C" w:rsidRPr="00A608EE">
        <w:rPr>
          <w:rFonts w:asciiTheme="majorHAnsi" w:hAnsiTheme="majorHAnsi"/>
          <w:b/>
          <w:bCs/>
          <w:sz w:val="20"/>
          <w:szCs w:val="20"/>
        </w:rPr>
        <w:t xml:space="preserve"> 7.C.1.1</w:t>
      </w:r>
    </w:p>
    <w:p w14:paraId="4C2A42C6" w14:textId="77777777" w:rsidR="000E1FAA" w:rsidRPr="00A608EE" w:rsidRDefault="000E1FAA" w:rsidP="00A27AAA">
      <w:pPr>
        <w:pStyle w:val="NormalWeb"/>
        <w:numPr>
          <w:ilvl w:val="0"/>
          <w:numId w:val="54"/>
        </w:numPr>
        <w:spacing w:before="0" w:beforeAutospacing="0" w:after="0" w:afterAutospacing="0"/>
        <w:jc w:val="both"/>
        <w:rPr>
          <w:rFonts w:asciiTheme="majorHAnsi" w:hAnsiTheme="majorHAnsi"/>
          <w:sz w:val="20"/>
          <w:szCs w:val="20"/>
        </w:rPr>
      </w:pPr>
      <w:hyperlink r:id="rId321">
        <w:r w:rsidRPr="00A608EE">
          <w:rPr>
            <w:rStyle w:val="Hyperlink"/>
            <w:rFonts w:asciiTheme="majorHAnsi" w:hAnsiTheme="majorHAnsi"/>
            <w:sz w:val="20"/>
            <w:szCs w:val="20"/>
          </w:rPr>
          <w:t>Adapting to a New Normal - Strengthening Resilience to Climate Change: Best Practices from the European Microfinance Award 2019</w:t>
        </w:r>
      </w:hyperlink>
    </w:p>
    <w:p w14:paraId="669414E4" w14:textId="3F926BAB" w:rsidR="00F5562D" w:rsidRPr="00A608EE" w:rsidRDefault="00CA18EE" w:rsidP="00A27AAA">
      <w:pPr>
        <w:pStyle w:val="NormalWeb"/>
        <w:numPr>
          <w:ilvl w:val="0"/>
          <w:numId w:val="54"/>
        </w:numPr>
        <w:spacing w:before="0" w:beforeAutospacing="0" w:after="0" w:afterAutospacing="0"/>
        <w:jc w:val="both"/>
        <w:rPr>
          <w:rFonts w:asciiTheme="majorHAnsi" w:hAnsiTheme="majorHAnsi"/>
          <w:sz w:val="20"/>
          <w:szCs w:val="20"/>
        </w:rPr>
      </w:pPr>
      <w:r w:rsidRPr="00A608EE">
        <w:rPr>
          <w:rFonts w:asciiTheme="majorHAnsi" w:hAnsiTheme="majorHAnsi"/>
          <w:b/>
          <w:bCs/>
          <w:sz w:val="20"/>
          <w:szCs w:val="20"/>
        </w:rPr>
        <w:t xml:space="preserve">[DI Focus]: </w:t>
      </w:r>
      <w:hyperlink r:id="rId322" w:history="1">
        <w:r w:rsidRPr="00A608EE">
          <w:rPr>
            <w:rStyle w:val="Hyperlink"/>
            <w:rFonts w:asciiTheme="majorHAnsi" w:hAnsiTheme="majorHAnsi"/>
            <w:sz w:val="20"/>
            <w:szCs w:val="20"/>
          </w:rPr>
          <w:t>Centre of Excellence of Gender-smart Solutions, ‘Gender and Disability Inclusion in Climate Risk Insurance in the Pacific’: Example of The Pacific Insurance and Climate Adaptation Programme (PICAP)</w:t>
        </w:r>
      </w:hyperlink>
    </w:p>
    <w:p w14:paraId="2E874043" w14:textId="77777777" w:rsidR="00273347" w:rsidRPr="00A608EE" w:rsidRDefault="00273347" w:rsidP="00EE208A">
      <w:pPr>
        <w:jc w:val="both"/>
        <w:rPr>
          <w:rFonts w:asciiTheme="majorHAnsi" w:hAnsiTheme="majorHAnsi"/>
          <w:sz w:val="20"/>
          <w:szCs w:val="20"/>
        </w:rPr>
      </w:pPr>
    </w:p>
    <w:p w14:paraId="471E52EE" w14:textId="77777777" w:rsidR="000E1FAA" w:rsidRPr="00A608EE" w:rsidRDefault="000E1FAA" w:rsidP="00EE208A">
      <w:pPr>
        <w:jc w:val="both"/>
        <w:rPr>
          <w:rFonts w:asciiTheme="majorHAnsi" w:hAnsiTheme="majorHAnsi"/>
          <w:szCs w:val="20"/>
        </w:rPr>
      </w:pPr>
    </w:p>
    <w:p w14:paraId="098E5930" w14:textId="28AC6D65" w:rsidR="00CA6A1B" w:rsidRPr="00A608EE" w:rsidRDefault="00CA6A1B" w:rsidP="00EE208A">
      <w:pPr>
        <w:pStyle w:val="Heading4"/>
        <w:spacing w:before="0" w:line="240" w:lineRule="auto"/>
        <w:jc w:val="both"/>
      </w:pPr>
      <w:r w:rsidRPr="00A608EE">
        <w:rPr>
          <w:rStyle w:val="text-primary"/>
        </w:rPr>
        <w:t>7.C.1.2</w:t>
      </w:r>
      <w:r w:rsidRPr="00A608EE">
        <w:t xml:space="preserve"> </w:t>
      </w:r>
      <w:r w:rsidR="00E77F57" w:rsidRPr="00A608EE">
        <w:t>The provider offers loans that allow its clients to implement or maintain green practices and technologies, including</w:t>
      </w:r>
      <w:r w:rsidR="00816A0F" w:rsidRPr="00A608EE">
        <w:t>:</w:t>
      </w:r>
    </w:p>
    <w:p w14:paraId="4DF68385" w14:textId="51C272FE" w:rsidR="00E77F57" w:rsidRPr="00A608EE" w:rsidRDefault="00E77F57"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7.C.1.2.1 Sustainable agriculture, animal breeding, or fishery practices ("nature-based solutions")</w:t>
      </w:r>
    </w:p>
    <w:p w14:paraId="05207530" w14:textId="77777777" w:rsidR="00E77F57" w:rsidRPr="00A608EE" w:rsidRDefault="00E77F57"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7.C.1.2.2 Clean energy and energy efficiency technologies</w:t>
      </w:r>
    </w:p>
    <w:p w14:paraId="493C6D2E" w14:textId="77777777" w:rsidR="00E77F57" w:rsidRPr="00A608EE" w:rsidRDefault="00E77F57"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7.C.1.2.3 Improved access to clean drinking water and sanitation</w:t>
      </w:r>
    </w:p>
    <w:p w14:paraId="3970122B" w14:textId="2E356723" w:rsidR="00CA6A1B" w:rsidRPr="00A608EE" w:rsidRDefault="00E77F57" w:rsidP="00EE208A">
      <w:pPr>
        <w:pStyle w:val="NormalWeb"/>
        <w:spacing w:before="0" w:beforeAutospacing="0" w:after="0" w:afterAutospacing="0"/>
        <w:ind w:left="708"/>
        <w:jc w:val="both"/>
        <w:rPr>
          <w:rFonts w:asciiTheme="majorHAnsi" w:hAnsiTheme="majorHAnsi"/>
          <w:i/>
          <w:sz w:val="20"/>
          <w:szCs w:val="20"/>
        </w:rPr>
      </w:pPr>
      <w:r w:rsidRPr="00A608EE">
        <w:rPr>
          <w:rFonts w:asciiTheme="majorHAnsi" w:hAnsiTheme="majorHAnsi"/>
          <w:i/>
          <w:sz w:val="20"/>
          <w:szCs w:val="20"/>
        </w:rPr>
        <w:t>7.C.1.2.4 Waste management and recycling ("circular economy")</w:t>
      </w:r>
    </w:p>
    <w:p w14:paraId="16841DD5" w14:textId="77777777" w:rsidR="002823A1" w:rsidRPr="00A608EE" w:rsidRDefault="002823A1" w:rsidP="00EE208A">
      <w:pPr>
        <w:pStyle w:val="NormalWeb"/>
        <w:spacing w:before="0" w:beforeAutospacing="0" w:after="0" w:afterAutospacing="0"/>
        <w:ind w:left="708"/>
        <w:jc w:val="both"/>
        <w:rPr>
          <w:rFonts w:asciiTheme="majorHAnsi" w:hAnsiTheme="majorHAnsi"/>
          <w:szCs w:val="20"/>
        </w:rPr>
      </w:pPr>
    </w:p>
    <w:p w14:paraId="14A348ED" w14:textId="7257DCC0" w:rsidR="000E1FAA" w:rsidRPr="00A608EE" w:rsidRDefault="00C8735D" w:rsidP="00EE208A">
      <w:pPr>
        <w:jc w:val="both"/>
        <w:rPr>
          <w:rFonts w:asciiTheme="majorHAnsi" w:hAnsiTheme="majorHAnsi" w:cstheme="majorHAnsi"/>
          <w:b/>
          <w:bCs/>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0E1FAA" w:rsidRPr="00A608EE">
        <w:rPr>
          <w:rFonts w:asciiTheme="majorHAnsi" w:hAnsiTheme="majorHAnsi" w:cstheme="majorHAnsi"/>
          <w:b/>
          <w:bCs/>
          <w:color w:val="2145CC" w:themeColor="accent5" w:themeShade="BF"/>
          <w:sz w:val="20"/>
          <w:szCs w:val="20"/>
        </w:rPr>
        <w:t>SPI5 Entry | SPI5 Full</w:t>
      </w:r>
      <w:r w:rsidR="004876A2" w:rsidRPr="00A608EE">
        <w:rPr>
          <w:rFonts w:asciiTheme="majorHAnsi" w:hAnsiTheme="majorHAnsi" w:cstheme="majorHAnsi"/>
          <w:b/>
          <w:bCs/>
          <w:color w:val="2145CC" w:themeColor="accent5" w:themeShade="BF"/>
          <w:sz w:val="20"/>
          <w:szCs w:val="20"/>
        </w:rPr>
        <w:t xml:space="preserve"> </w:t>
      </w:r>
      <w:r w:rsidR="004876A2" w:rsidRPr="00A608EE">
        <w:rPr>
          <w:rFonts w:ascii="Work Sans" w:hAnsi="Work Sans"/>
          <w:b/>
          <w:bCs/>
          <w:color w:val="2145CC" w:themeColor="accent5" w:themeShade="BF"/>
          <w:sz w:val="20"/>
          <w:szCs w:val="20"/>
        </w:rPr>
        <w:t>| DI Focus</w:t>
      </w:r>
    </w:p>
    <w:p w14:paraId="1E0F465A" w14:textId="0FB04A0A" w:rsidR="000E1FAA" w:rsidRPr="00A608EE" w:rsidRDefault="00AF6928" w:rsidP="00255DF8">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57A066E5" w14:textId="29546E97"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indicator is about financing activities or technologies that are environmentally-friendly, be it through dedicated loan products or more standard loan products; while indicator 7.C.1.3 is more specifically about having developed dedicated loan products to finance these activities.</w:t>
      </w:r>
    </w:p>
    <w:p w14:paraId="5A166DDA"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6ADE5F64"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28576" behindDoc="1" locked="0" layoutInCell="1" allowOverlap="1" wp14:anchorId="6FFE5DCF" wp14:editId="32F9137A">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598895339"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58C07892"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3CF078E7" w14:textId="2829FAF1" w:rsidR="00AF6928" w:rsidRPr="00A608EE" w:rsidRDefault="00386AB6" w:rsidP="00AF6928">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AF6928" w:rsidRPr="00A608EE">
        <w:rPr>
          <w:rFonts w:asciiTheme="majorHAnsi" w:hAnsiTheme="majorHAnsi"/>
          <w:sz w:val="20"/>
          <w:szCs w:val="20"/>
        </w:rPr>
        <w:t>The provider offers loans that allow its clients to implement or maintain green practices and technologies that are:</w:t>
      </w:r>
    </w:p>
    <w:p w14:paraId="705B136D" w14:textId="32386CCE" w:rsidR="00AF6928" w:rsidRPr="00A608EE" w:rsidRDefault="00255DF8" w:rsidP="00A27AAA">
      <w:pPr>
        <w:pStyle w:val="NormalWeb"/>
        <w:numPr>
          <w:ilvl w:val="0"/>
          <w:numId w:val="4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w:t>
      </w:r>
      <w:r w:rsidR="00AF6928" w:rsidRPr="00A608EE">
        <w:rPr>
          <w:rFonts w:asciiTheme="majorHAnsi" w:hAnsiTheme="majorHAnsi"/>
          <w:sz w:val="20"/>
          <w:szCs w:val="20"/>
        </w:rPr>
        <w:t>ccessible and available to persons with disabilities on an equal basis with others;</w:t>
      </w:r>
    </w:p>
    <w:p w14:paraId="710530CF" w14:textId="42244F23" w:rsidR="00AF6928" w:rsidRPr="00A608EE" w:rsidRDefault="00255DF8" w:rsidP="00A27AAA">
      <w:pPr>
        <w:pStyle w:val="NormalWeb"/>
        <w:numPr>
          <w:ilvl w:val="0"/>
          <w:numId w:val="4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D</w:t>
      </w:r>
      <w:r w:rsidR="00AF6928" w:rsidRPr="00A608EE">
        <w:rPr>
          <w:rFonts w:asciiTheme="majorHAnsi" w:hAnsiTheme="majorHAnsi"/>
          <w:sz w:val="20"/>
          <w:szCs w:val="20"/>
        </w:rPr>
        <w:t xml:space="preserve">o not exclude or discriminate against persons with disabilities; and </w:t>
      </w:r>
    </w:p>
    <w:p w14:paraId="50EAE8C6" w14:textId="00024B82" w:rsidR="00AF6928" w:rsidRPr="00A608EE" w:rsidRDefault="00255DF8" w:rsidP="00A27AAA">
      <w:pPr>
        <w:pStyle w:val="NormalWeb"/>
        <w:numPr>
          <w:ilvl w:val="0"/>
          <w:numId w:val="40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w:t>
      </w:r>
      <w:r w:rsidR="00AF6928" w:rsidRPr="00A608EE">
        <w:rPr>
          <w:rFonts w:asciiTheme="majorHAnsi" w:hAnsiTheme="majorHAnsi"/>
          <w:sz w:val="20"/>
          <w:szCs w:val="20"/>
        </w:rPr>
        <w:t>re responsive to their needs.</w:t>
      </w:r>
    </w:p>
    <w:p w14:paraId="592C580E" w14:textId="77777777" w:rsidR="00AF6928" w:rsidRPr="00A608EE" w:rsidRDefault="00AF6928" w:rsidP="00EE208A">
      <w:pPr>
        <w:pStyle w:val="NormalWeb"/>
        <w:spacing w:before="0" w:beforeAutospacing="0" w:after="0" w:afterAutospacing="0"/>
        <w:jc w:val="both"/>
        <w:rPr>
          <w:rFonts w:asciiTheme="majorHAnsi" w:hAnsiTheme="majorHAnsi"/>
          <w:sz w:val="20"/>
          <w:szCs w:val="20"/>
        </w:rPr>
      </w:pPr>
    </w:p>
    <w:p w14:paraId="3853F308"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Regarding 7.C.1.2.1</w:t>
      </w:r>
    </w:p>
    <w:p w14:paraId="3F984312" w14:textId="5984022A"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Smallholder farmers are particularly vulnerable when it comes to dealing with the effects of climate change. Rising temperatures and erratic weather like flooding and drought, can lead to loss of production, reduced productivity, loss of infrastructure, soil erosion and diminished food security. Moreover, smallholder farmers can have practices (e.g. deforestation, use of chemicals…) that negatively impact the environment (pollution, loss of biodiversity, etc.) and can affect their production (e.g. decreased soil quality) and health. Offering financial products that promote sustainable and climate-smart agriculture gives an opportunity for </w:t>
      </w:r>
      <w:r w:rsidRPr="00A608EE">
        <w:rPr>
          <w:rFonts w:asciiTheme="majorHAnsi" w:hAnsiTheme="majorHAnsi"/>
          <w:sz w:val="20"/>
          <w:szCs w:val="20"/>
        </w:rPr>
        <w:lastRenderedPageBreak/>
        <w:t>the provider to help clients be more resilient to climate change, decrease their impacts on ecosystems, improve their productivity and ensure food security.</w:t>
      </w:r>
    </w:p>
    <w:p w14:paraId="6DE7B471"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094A4B6C"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Regarding 7.C.1.2.2</w:t>
      </w:r>
    </w:p>
    <w:p w14:paraId="4F51E83F" w14:textId="1B6192D2"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Loan products that finance renewable energy (RE) and/or energy efficient (EE) technologies help address an important environmental and social risk in contexts where energy sources are impacting negatively the environment (fossil fuel, charcoal) while being expensive, unreliable, polluting and sometimes dangerous for people’s health (e.g. wood-burning cook stoves, kerosene lamps). Because RE and EE technologies often involve a significant upfront cost (especially for poor households), financing such technologies gives an opportunity for the provider to diversify its product line while promoting green energy solutions.</w:t>
      </w:r>
    </w:p>
    <w:p w14:paraId="0B244EAD"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1F4553FA"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Regarding 7.C.1.2.3</w:t>
      </w:r>
    </w:p>
    <w:p w14:paraId="1447A982" w14:textId="0B5A38E5"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Loan products that finance improved access to drinking water and sanitation help address an important environmental and social risk in contexts where people rely on unsafe sources of water that are dangerous for their health, or where the lack of proper sanitation systems generate social discomfort and may contribute to water sources pollution.  Because water and sanitation technologies often involve a significant upfront cost (especially for poor households), financing such technologies also gives an opportunity for the provider to diversify its product line while promoting environmentally-friendly solutions.</w:t>
      </w:r>
    </w:p>
    <w:p w14:paraId="75150782"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39F0FD71"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Regarding 7.C.1.2.4</w:t>
      </w:r>
    </w:p>
    <w:p w14:paraId="1C3E93EE" w14:textId="5BC89B0C"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Significant waste production and improper solid and liquid waste management are the direct causes of serious pollutions of air, soil and water, which directly affect people’s health and ecosystems’ biodiversity. Offering financial products that promote businesses and practices linked to waste management and circular economy (i.e. sharing, leasing, reusing, repairing, refurbishing, and recycling existing materials and products as long as possible) gives an opportunity for the provider to help clients optimize their production processes (reducing wastes, accessing cheaper material…), reduce expenditures, or even develop new businesses.</w:t>
      </w:r>
    </w:p>
    <w:p w14:paraId="73A8C96A"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27BDD1AD" w14:textId="42CDFE7D"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Offering those types of products can also have more global positive impact on the financial sustainability of the provider: decrease of loan default (linked to decrease of clients’ expenditures, increase of revenues due to improvement of agricultural yields or development of new businesses…), increased client retention and satisfaction, impact on the provider’s reputation (which can possibly lead to attracting new investors), etc.</w:t>
      </w:r>
    </w:p>
    <w:p w14:paraId="1E908026"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3821A6E0" w14:textId="2D43D6B4" w:rsidR="00E77F57" w:rsidRPr="00A608EE" w:rsidRDefault="00E77F57"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7E0BAEB8" w14:textId="4A97779C" w:rsidR="00E77F57" w:rsidRPr="00A608EE" w:rsidRDefault="00E77F57" w:rsidP="00A27AAA">
      <w:pPr>
        <w:pStyle w:val="NormalWeb"/>
        <w:numPr>
          <w:ilvl w:val="0"/>
          <w:numId w:val="3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To answer ‘yes’, the provider must give evidence that it offers loans for the implementation of at least one of the green practices or technologies specified in the detailed scoring guidance below. It could be either through dedicated loan products, or through standard loan products. What matters for this indicator is the loan destination (how the loan is used), not the loan product. When the green practices or technologies are financed through standard loan products, the provider must have a monitoring system that enables to track the loan destination in details and show what proportion of the portfolio goes to the financing of the green practices or technologies.</w:t>
      </w:r>
    </w:p>
    <w:p w14:paraId="213AD6C3" w14:textId="312AD904" w:rsidR="00E77F57" w:rsidRPr="00A608EE" w:rsidRDefault="00E77F57" w:rsidP="00A27AAA">
      <w:pPr>
        <w:pStyle w:val="NormalWeb"/>
        <w:numPr>
          <w:ilvl w:val="0"/>
          <w:numId w:val="3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If the green practices and technologies financed represent less than 5% of the provider’s portfolio, then the answer should be ‘partially’.</w:t>
      </w:r>
    </w:p>
    <w:p w14:paraId="2057D811" w14:textId="26FD1D53" w:rsidR="00E77F57" w:rsidRPr="00A608EE" w:rsidRDefault="00E77F57" w:rsidP="00A27AAA">
      <w:pPr>
        <w:pStyle w:val="NormalWeb"/>
        <w:numPr>
          <w:ilvl w:val="0"/>
          <w:numId w:val="38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Assign ‘no’ if there are no green practices and technologies being funded.</w:t>
      </w:r>
    </w:p>
    <w:p w14:paraId="5BDDD420"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2F737176"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For 7.C.1.2.1</w:t>
      </w:r>
    </w:p>
    <w:p w14:paraId="694DAB83" w14:textId="04A7ABB8"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Sustainable agriculture practices include organic, agroecological, conservation agriculture, permaculture, climate-smart and/or ecosystem-based practices, such as: use of organic fertilizers and pesticides, integrated pest management, integrated nutrient management, vermicompost, soil restoration, no-tillage system, drip irrigation, infiltration pits, natural retaining walls, rainwater reservoirs, resilient seeds (no GMO), crop association, crop rotation, crop diversification, local species, live fences, agroforestry, sylvopastoralism, managed grazing, coastal wetland management, etc.</w:t>
      </w:r>
    </w:p>
    <w:p w14:paraId="165E842A"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63B9B507" w14:textId="367A8C20"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It does not include the provision of agriculture or climate insurance, which is assessed in 7.C.1.1.</w:t>
      </w:r>
    </w:p>
    <w:p w14:paraId="2469CCBD"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5B770720"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For 7.C.1.2.2</w:t>
      </w:r>
    </w:p>
    <w:p w14:paraId="6662B1B8" w14:textId="43F9A68B"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Renewable energy technologies include solar photovoltaic solutions (solar lamps, pico PV, solar home systems, solar water pumps…), solar thermal solutions (solar water heaters, solar dryers or dehydrators, solar cookstoves…), biomass solutions (biogas digesters, biomass gasifier stive…), micro-hydro, mini-wind turbine, and clean energy and hybrid mini-grids.</w:t>
      </w:r>
    </w:p>
    <w:p w14:paraId="771D03CA"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7348DA6C" w14:textId="09E025F6"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Energy efficient technologies include housing thermal insulation, improved cook stoves, and energy efficient devices (refrigerators, air conditioners, etc.).</w:t>
      </w:r>
    </w:p>
    <w:p w14:paraId="1E1697A3"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7272767A"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For 7.C.1.2.3</w:t>
      </w:r>
    </w:p>
    <w:p w14:paraId="4CF067BB" w14:textId="7851BAA6"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Water and sanitation solutions include clean water filters, desalination systems, solar water disinfection, rainwater catchment systems, connection to piped water network, improved private toilet, composting toilets, etc.</w:t>
      </w:r>
    </w:p>
    <w:p w14:paraId="114638A1"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58A3EDC3" w14:textId="77777777" w:rsidR="002409CA" w:rsidRPr="00A608EE" w:rsidRDefault="00E77F57" w:rsidP="00EE208A">
      <w:pPr>
        <w:pStyle w:val="NormalWeb"/>
        <w:spacing w:before="0" w:beforeAutospacing="0" w:after="0" w:afterAutospacing="0"/>
        <w:jc w:val="both"/>
        <w:rPr>
          <w:rFonts w:asciiTheme="majorHAnsi" w:hAnsiTheme="majorHAnsi"/>
          <w:sz w:val="20"/>
          <w:szCs w:val="20"/>
          <w:u w:val="single"/>
        </w:rPr>
      </w:pPr>
      <w:r w:rsidRPr="00A608EE">
        <w:rPr>
          <w:rFonts w:asciiTheme="majorHAnsi" w:hAnsiTheme="majorHAnsi"/>
          <w:sz w:val="20"/>
          <w:szCs w:val="20"/>
          <w:u w:val="single"/>
        </w:rPr>
        <w:t>For 7.C.1.2.4</w:t>
      </w:r>
    </w:p>
    <w:p w14:paraId="3DC84C92" w14:textId="3D894EAE"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Circular economy solutions include all models of production and consumption that involve sharing, leasing, reusing, repairing, refurbishing, and recycling existing materials and products as long as possible.</w:t>
      </w:r>
    </w:p>
    <w:p w14:paraId="747B3A5A"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p>
    <w:p w14:paraId="482E5C7F" w14:textId="63C4158A" w:rsidR="00E77F57" w:rsidRPr="00A608EE" w:rsidRDefault="00E77F57"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359F5DB6" w14:textId="77777777" w:rsidR="00E77F57" w:rsidRPr="00A608EE" w:rsidRDefault="00E77F57" w:rsidP="00A27AAA">
      <w:pPr>
        <w:pStyle w:val="NormalWeb"/>
        <w:numPr>
          <w:ilvl w:val="0"/>
          <w:numId w:val="3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Product descriptions</w:t>
      </w:r>
    </w:p>
    <w:p w14:paraId="3DDAE656" w14:textId="77777777" w:rsidR="00E77F57" w:rsidRPr="00A608EE" w:rsidRDefault="00E77F57" w:rsidP="00A27AAA">
      <w:pPr>
        <w:pStyle w:val="NormalWeb"/>
        <w:numPr>
          <w:ilvl w:val="0"/>
          <w:numId w:val="3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MIS</w:t>
      </w:r>
    </w:p>
    <w:p w14:paraId="11C33535" w14:textId="77777777" w:rsidR="00E77F57" w:rsidRPr="00A608EE" w:rsidRDefault="00E77F57" w:rsidP="00A27AAA">
      <w:pPr>
        <w:pStyle w:val="NormalWeb"/>
        <w:numPr>
          <w:ilvl w:val="0"/>
          <w:numId w:val="3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Partnerships agreements</w:t>
      </w:r>
    </w:p>
    <w:p w14:paraId="08DCDC11" w14:textId="77777777" w:rsidR="00E77F57" w:rsidRPr="00A608EE" w:rsidRDefault="00E77F57" w:rsidP="00A27AAA">
      <w:pPr>
        <w:pStyle w:val="NormalWeb"/>
        <w:numPr>
          <w:ilvl w:val="0"/>
          <w:numId w:val="3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Purchase orders to providers of green technologies</w:t>
      </w:r>
    </w:p>
    <w:p w14:paraId="1BF3394A" w14:textId="77777777" w:rsidR="00E77F57" w:rsidRPr="00A608EE" w:rsidRDefault="00E77F57" w:rsidP="00A27AAA">
      <w:pPr>
        <w:pStyle w:val="NormalWeb"/>
        <w:numPr>
          <w:ilvl w:val="0"/>
          <w:numId w:val="3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the dedicated person on environmental strategy (if applicable)</w:t>
      </w:r>
    </w:p>
    <w:p w14:paraId="5CE99FCD" w14:textId="77777777" w:rsidR="00E77F57" w:rsidRPr="00A608EE" w:rsidRDefault="00E77F57" w:rsidP="00A27AAA">
      <w:pPr>
        <w:pStyle w:val="NormalWeb"/>
        <w:numPr>
          <w:ilvl w:val="0"/>
          <w:numId w:val="3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head of operations, branch managers, loan officers</w:t>
      </w:r>
    </w:p>
    <w:p w14:paraId="09A46619" w14:textId="77777777" w:rsidR="00E77F57" w:rsidRPr="00A608EE" w:rsidRDefault="00E77F57" w:rsidP="00A27AAA">
      <w:pPr>
        <w:pStyle w:val="NormalWeb"/>
        <w:numPr>
          <w:ilvl w:val="0"/>
          <w:numId w:val="381"/>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clients</w:t>
      </w:r>
    </w:p>
    <w:p w14:paraId="4CB1E945" w14:textId="77777777" w:rsidR="00CB6F14" w:rsidRPr="00A608EE" w:rsidRDefault="00CB6F14" w:rsidP="00EE208A">
      <w:pPr>
        <w:pStyle w:val="NormalWeb"/>
        <w:spacing w:before="0" w:beforeAutospacing="0" w:after="0" w:afterAutospacing="0"/>
        <w:jc w:val="both"/>
        <w:rPr>
          <w:rFonts w:asciiTheme="majorHAnsi" w:hAnsiTheme="majorHAnsi"/>
          <w:sz w:val="20"/>
          <w:szCs w:val="20"/>
        </w:rPr>
      </w:pPr>
    </w:p>
    <w:p w14:paraId="02ED92C5" w14:textId="3D7F0364" w:rsidR="00E77F57" w:rsidRPr="00A608EE" w:rsidRDefault="00E77F57"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6F244031" w14:textId="77777777" w:rsidR="00E77F57" w:rsidRPr="00A608EE" w:rsidRDefault="00E77F57"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types of green practices and technologies financed, the % of portfolio they represent, and how the provider gives evidence of the loan destination (dedicated loan product, monitoring system).</w:t>
      </w:r>
    </w:p>
    <w:p w14:paraId="15642228" w14:textId="77777777" w:rsidR="00CB6F14" w:rsidRPr="00A608EE" w:rsidRDefault="00CB6F14" w:rsidP="00EE208A">
      <w:pPr>
        <w:jc w:val="both"/>
        <w:rPr>
          <w:rFonts w:asciiTheme="majorHAnsi" w:hAnsiTheme="majorHAnsi"/>
          <w:b/>
          <w:bCs/>
          <w:szCs w:val="20"/>
        </w:rPr>
      </w:pPr>
    </w:p>
    <w:p w14:paraId="510CB41C" w14:textId="1A499EF7" w:rsidR="00CA6A1B" w:rsidRPr="00A608EE" w:rsidRDefault="00E77F57" w:rsidP="00EE208A">
      <w:pPr>
        <w:jc w:val="both"/>
        <w:rPr>
          <w:rFonts w:asciiTheme="majorHAnsi" w:hAnsiTheme="majorHAnsi"/>
          <w:b/>
          <w:bCs/>
          <w:szCs w:val="20"/>
        </w:rPr>
      </w:pPr>
      <w:r w:rsidRPr="00A608EE">
        <w:rPr>
          <w:rFonts w:asciiTheme="majorHAnsi" w:hAnsiTheme="majorHAnsi"/>
          <w:b/>
          <w:bCs/>
          <w:szCs w:val="20"/>
        </w:rPr>
        <w:t>Resources for indicator</w:t>
      </w:r>
      <w:r w:rsidR="00CD460C" w:rsidRPr="00A608EE">
        <w:rPr>
          <w:rFonts w:asciiTheme="majorHAnsi" w:hAnsiTheme="majorHAnsi"/>
          <w:b/>
          <w:bCs/>
          <w:szCs w:val="20"/>
        </w:rPr>
        <w:t xml:space="preserve"> 7.C.1.2</w:t>
      </w:r>
    </w:p>
    <w:p w14:paraId="0A84D0B4" w14:textId="77777777" w:rsidR="000E1FAA" w:rsidRPr="00A608EE" w:rsidRDefault="000E1FAA" w:rsidP="00A27AAA">
      <w:pPr>
        <w:pStyle w:val="NormalWeb"/>
        <w:numPr>
          <w:ilvl w:val="0"/>
          <w:numId w:val="55"/>
        </w:numPr>
        <w:spacing w:before="0" w:beforeAutospacing="0" w:after="0" w:afterAutospacing="0"/>
        <w:jc w:val="both"/>
        <w:rPr>
          <w:rFonts w:asciiTheme="majorHAnsi" w:hAnsiTheme="majorHAnsi"/>
          <w:sz w:val="20"/>
          <w:szCs w:val="20"/>
        </w:rPr>
      </w:pPr>
      <w:hyperlink r:id="rId323" w:tgtFrame="_blank" w:history="1">
        <w:r w:rsidRPr="00A608EE">
          <w:rPr>
            <w:rStyle w:val="Hyperlink"/>
            <w:rFonts w:asciiTheme="majorHAnsi" w:hAnsiTheme="majorHAnsi"/>
            <w:sz w:val="20"/>
            <w:szCs w:val="20"/>
          </w:rPr>
          <w:t>VIDEO - ESAF's Clean Energy for the Poor Initiative</w:t>
        </w:r>
      </w:hyperlink>
    </w:p>
    <w:p w14:paraId="24474C74" w14:textId="77777777" w:rsidR="000E1FAA" w:rsidRPr="00A608EE" w:rsidRDefault="000E1FAA" w:rsidP="00A27AAA">
      <w:pPr>
        <w:pStyle w:val="NormalWeb"/>
        <w:numPr>
          <w:ilvl w:val="0"/>
          <w:numId w:val="55"/>
        </w:numPr>
        <w:spacing w:before="0" w:beforeAutospacing="0" w:after="0" w:afterAutospacing="0"/>
        <w:jc w:val="both"/>
        <w:rPr>
          <w:rFonts w:asciiTheme="majorHAnsi" w:hAnsiTheme="majorHAnsi"/>
          <w:sz w:val="20"/>
          <w:szCs w:val="20"/>
        </w:rPr>
      </w:pPr>
      <w:hyperlink r:id="rId324">
        <w:r w:rsidRPr="00A608EE">
          <w:rPr>
            <w:rStyle w:val="Hyperlink"/>
            <w:rFonts w:asciiTheme="majorHAnsi" w:hAnsiTheme="majorHAnsi"/>
            <w:sz w:val="20"/>
            <w:szCs w:val="20"/>
          </w:rPr>
          <w:t>VIDEO - XacBank's Eco Product Program</w:t>
        </w:r>
      </w:hyperlink>
    </w:p>
    <w:p w14:paraId="07E84E38" w14:textId="77777777" w:rsidR="00606074" w:rsidRPr="00A608EE" w:rsidRDefault="00606074" w:rsidP="00EE208A">
      <w:pPr>
        <w:jc w:val="both"/>
        <w:rPr>
          <w:rFonts w:asciiTheme="majorHAnsi" w:hAnsiTheme="majorHAnsi"/>
          <w:szCs w:val="20"/>
        </w:rPr>
      </w:pPr>
    </w:p>
    <w:p w14:paraId="3F812A4E" w14:textId="5E97DD57" w:rsidR="00CA6A1B" w:rsidRPr="00A608EE" w:rsidRDefault="00CA6A1B" w:rsidP="00EE208A">
      <w:pPr>
        <w:pStyle w:val="Heading3"/>
        <w:spacing w:before="0" w:line="240" w:lineRule="auto"/>
        <w:jc w:val="both"/>
      </w:pPr>
      <w:bookmarkStart w:id="112" w:name="_Toc230938832"/>
      <w:r w:rsidRPr="00A608EE">
        <w:rPr>
          <w:rStyle w:val="text-primary"/>
        </w:rPr>
        <w:t>7.C.2</w:t>
      </w:r>
      <w:r w:rsidRPr="00A608EE">
        <w:t xml:space="preserve"> </w:t>
      </w:r>
      <w:r w:rsidR="001810C2" w:rsidRPr="00A608EE">
        <w:t>The provider offers non-financial services to achieve its environmental goals</w:t>
      </w:r>
      <w:r w:rsidR="0051643A" w:rsidRPr="00A608EE">
        <w:t>.</w:t>
      </w:r>
      <w:bookmarkEnd w:id="112"/>
    </w:p>
    <w:p w14:paraId="4E3C81C1" w14:textId="77777777" w:rsidR="00361043" w:rsidRPr="00A608EE" w:rsidRDefault="00361043" w:rsidP="00EE208A">
      <w:pPr>
        <w:jc w:val="both"/>
        <w:rPr>
          <w:rFonts w:asciiTheme="majorHAnsi" w:hAnsiTheme="majorHAnsi"/>
          <w:szCs w:val="20"/>
        </w:rPr>
      </w:pPr>
    </w:p>
    <w:p w14:paraId="07F4F189" w14:textId="73175EDD" w:rsidR="00576E2B" w:rsidRPr="00A608EE" w:rsidRDefault="001810C2" w:rsidP="00255DF8">
      <w:pPr>
        <w:jc w:val="both"/>
        <w:rPr>
          <w:rFonts w:asciiTheme="majorHAnsi" w:hAnsiTheme="majorHAnsi"/>
          <w:sz w:val="20"/>
          <w:szCs w:val="20"/>
          <w:lang w:eastAsia="fr-FR"/>
        </w:rPr>
      </w:pPr>
      <w:r w:rsidRPr="00A608EE">
        <w:rPr>
          <w:rFonts w:asciiTheme="majorHAnsi" w:hAnsiTheme="majorHAnsi"/>
          <w:sz w:val="20"/>
          <w:szCs w:val="20"/>
          <w:lang w:eastAsia="fr-FR"/>
        </w:rPr>
        <w:t>Addressing environmental issues usually implies changing habits or practices. If financial services can remove some of the barriers to adopting green practices/technologies (i.e. the financial barrier, as well as the physical barrier in case of partnerships with green technology providers), they only work if clients are already aware and willing to change their behavior and adopt new practices/technologies. Non-financial services are indispensable to foster behavior change and help the provider achieve its environmental goals.</w:t>
      </w:r>
    </w:p>
    <w:p w14:paraId="61609015" w14:textId="77777777" w:rsidR="003D3174" w:rsidRPr="00A608EE" w:rsidRDefault="003D3174">
      <w:pPr>
        <w:spacing w:after="160" w:line="259" w:lineRule="auto"/>
        <w:rPr>
          <w:rFonts w:asciiTheme="majorHAnsi" w:eastAsiaTheme="majorEastAsia" w:hAnsiTheme="majorHAnsi" w:cstheme="majorBidi"/>
          <w:i/>
          <w:iCs/>
          <w:szCs w:val="22"/>
          <w:lang w:eastAsia="en-US"/>
        </w:rPr>
      </w:pPr>
      <w:r w:rsidRPr="00A608EE">
        <w:br w:type="page"/>
      </w:r>
    </w:p>
    <w:p w14:paraId="4728B665" w14:textId="5CA281F6" w:rsidR="004D724B" w:rsidRPr="00A608EE" w:rsidRDefault="00CA6A1B" w:rsidP="00EE208A">
      <w:pPr>
        <w:pStyle w:val="Heading4"/>
        <w:spacing w:before="0" w:line="240" w:lineRule="auto"/>
        <w:jc w:val="both"/>
      </w:pPr>
      <w:r w:rsidRPr="00A608EE">
        <w:rPr>
          <w:rStyle w:val="text-primary"/>
        </w:rPr>
        <w:lastRenderedPageBreak/>
        <w:t>7.C.2.1</w:t>
      </w:r>
      <w:r w:rsidRPr="00A608EE">
        <w:t xml:space="preserve"> </w:t>
      </w:r>
      <w:r w:rsidR="001810C2" w:rsidRPr="00A608EE">
        <w:t>The provider raises awareness of its clients on their vulnerability to climate change and environmental degradation, on their adverse impacts on the environment, and/or on green practices and technologies, through at least one of the following channels</w:t>
      </w:r>
      <w:r w:rsidR="004D724B" w:rsidRPr="00A608EE">
        <w:t>:</w:t>
      </w:r>
    </w:p>
    <w:p w14:paraId="5100C586" w14:textId="261EE564" w:rsidR="001810C2" w:rsidRPr="00A608EE" w:rsidRDefault="001810C2" w:rsidP="00A27AAA">
      <w:pPr>
        <w:pStyle w:val="Heading4"/>
        <w:numPr>
          <w:ilvl w:val="0"/>
          <w:numId w:val="42"/>
        </w:numPr>
        <w:spacing w:line="240" w:lineRule="auto"/>
        <w:jc w:val="both"/>
        <w:rPr>
          <w:sz w:val="20"/>
          <w:szCs w:val="20"/>
        </w:rPr>
      </w:pPr>
      <w:r w:rsidRPr="00A608EE">
        <w:rPr>
          <w:sz w:val="20"/>
          <w:szCs w:val="20"/>
        </w:rPr>
        <w:t>Leaflets, brochures, posters, videos</w:t>
      </w:r>
    </w:p>
    <w:p w14:paraId="25A69147" w14:textId="77777777" w:rsidR="001810C2" w:rsidRPr="00A608EE" w:rsidRDefault="001810C2" w:rsidP="00A27AAA">
      <w:pPr>
        <w:pStyle w:val="Heading4"/>
        <w:numPr>
          <w:ilvl w:val="0"/>
          <w:numId w:val="42"/>
        </w:numPr>
        <w:spacing w:line="240" w:lineRule="auto"/>
        <w:jc w:val="both"/>
        <w:rPr>
          <w:sz w:val="20"/>
          <w:szCs w:val="20"/>
        </w:rPr>
      </w:pPr>
      <w:r w:rsidRPr="00A608EE">
        <w:rPr>
          <w:sz w:val="20"/>
          <w:szCs w:val="20"/>
        </w:rPr>
        <w:t>Individual talks</w:t>
      </w:r>
    </w:p>
    <w:p w14:paraId="0C4877F1" w14:textId="02202458" w:rsidR="00606074" w:rsidRPr="00A608EE" w:rsidRDefault="001810C2" w:rsidP="00A27AAA">
      <w:pPr>
        <w:pStyle w:val="Heading4"/>
        <w:numPr>
          <w:ilvl w:val="0"/>
          <w:numId w:val="42"/>
        </w:numPr>
        <w:spacing w:before="0" w:line="240" w:lineRule="auto"/>
        <w:jc w:val="both"/>
        <w:rPr>
          <w:sz w:val="20"/>
          <w:szCs w:val="20"/>
        </w:rPr>
      </w:pPr>
      <w:r w:rsidRPr="00A608EE">
        <w:rPr>
          <w:sz w:val="20"/>
          <w:szCs w:val="20"/>
        </w:rPr>
        <w:t>Awareness-raising events or activities</w:t>
      </w:r>
    </w:p>
    <w:p w14:paraId="1CE44DD4" w14:textId="77777777" w:rsidR="00A77CA2" w:rsidRPr="00A608EE" w:rsidRDefault="00A77CA2" w:rsidP="00EE208A">
      <w:pPr>
        <w:pStyle w:val="NormalWeb"/>
        <w:spacing w:before="0" w:beforeAutospacing="0" w:after="0" w:afterAutospacing="0"/>
        <w:jc w:val="both"/>
        <w:rPr>
          <w:rFonts w:asciiTheme="majorHAnsi" w:hAnsiTheme="majorHAnsi"/>
          <w:sz w:val="20"/>
          <w:szCs w:val="20"/>
        </w:rPr>
      </w:pPr>
    </w:p>
    <w:p w14:paraId="4807C126" w14:textId="77777777" w:rsidR="00CB2F38" w:rsidRPr="00A608EE" w:rsidRDefault="00CB2F38" w:rsidP="00EE208A">
      <w:pPr>
        <w:jc w:val="both"/>
        <w:rPr>
          <w:rFonts w:ascii="Segoe UI Emoji" w:hAnsi="Segoe UI Emoji" w:cs="Segoe UI Emoji"/>
          <w:b/>
          <w:bCs/>
          <w:sz w:val="20"/>
          <w:szCs w:val="20"/>
        </w:rPr>
      </w:pPr>
    </w:p>
    <w:p w14:paraId="59F1BB42" w14:textId="77777777" w:rsidR="00CB2F38" w:rsidRPr="00A608EE" w:rsidRDefault="00CB2F38" w:rsidP="00EE208A">
      <w:pPr>
        <w:jc w:val="both"/>
        <w:rPr>
          <w:rFonts w:ascii="Segoe UI Emoji" w:hAnsi="Segoe UI Emoji" w:cs="Segoe UI Emoji"/>
          <w:b/>
          <w:bCs/>
          <w:sz w:val="20"/>
          <w:szCs w:val="20"/>
        </w:rPr>
      </w:pPr>
    </w:p>
    <w:p w14:paraId="12816D6B" w14:textId="4E1A1703" w:rsidR="00576E2B" w:rsidRPr="00A608EE" w:rsidRDefault="00C8735D" w:rsidP="00EE208A">
      <w:pPr>
        <w:jc w:val="both"/>
        <w:rPr>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576E2B" w:rsidRPr="00A608EE">
        <w:rPr>
          <w:rFonts w:ascii="Work Sans" w:eastAsia="Work Sans" w:hAnsi="Work Sans" w:cs="Work Sans"/>
          <w:b/>
          <w:bCs/>
          <w:color w:val="2145CC" w:themeColor="accent5" w:themeShade="BF"/>
          <w:sz w:val="20"/>
          <w:szCs w:val="20"/>
        </w:rPr>
        <w:t>ALINUS | SPI5 Entry | SPI5 Full</w:t>
      </w:r>
      <w:r w:rsidR="004876A2" w:rsidRPr="00A608EE">
        <w:rPr>
          <w:rFonts w:ascii="Work Sans" w:eastAsia="Work Sans" w:hAnsi="Work Sans" w:cs="Work Sans"/>
          <w:b/>
          <w:bCs/>
          <w:color w:val="2145CC" w:themeColor="accent5" w:themeShade="BF"/>
          <w:sz w:val="20"/>
          <w:szCs w:val="20"/>
        </w:rPr>
        <w:t xml:space="preserve"> </w:t>
      </w:r>
      <w:r w:rsidR="004876A2" w:rsidRPr="00A608EE">
        <w:rPr>
          <w:rFonts w:ascii="Work Sans" w:hAnsi="Work Sans"/>
          <w:b/>
          <w:bCs/>
          <w:color w:val="2145CC" w:themeColor="accent5" w:themeShade="BF"/>
          <w:sz w:val="20"/>
          <w:szCs w:val="20"/>
        </w:rPr>
        <w:t>| DI Focus</w:t>
      </w:r>
    </w:p>
    <w:p w14:paraId="1057DBBB" w14:textId="79150931" w:rsidR="001810C2" w:rsidRPr="00A608EE" w:rsidRDefault="00AF6928" w:rsidP="00255DF8">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24452C15" w14:textId="2278D388" w:rsidR="001810C2" w:rsidRPr="00A608EE" w:rsidRDefault="001810C2"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indicator is about raising awareness – a first, light-touch approach to make clients’ conscious of some key environmental risks and opportunities –, while indicator 7.C.2.2 is about building more in-depth, technical skills around environmental risk mitigation and green practices.</w:t>
      </w:r>
    </w:p>
    <w:p w14:paraId="1AF0B6DB"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6FF32F45" w14:textId="19C9C121" w:rsidR="00AF6928" w:rsidRPr="00A608EE" w:rsidRDefault="001810C2"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Awareness-raising can be used as a strategy to mitigate the client-level environmental risks identified by the provider, or as a necessary, preliminary action to foster the uptake of green loan products. It may take the form of formal awareness sessions / events / campaigns or may be integrated into the existing touch points with clients.</w:t>
      </w:r>
    </w:p>
    <w:p w14:paraId="54956332"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28DD9AEF"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30624" behindDoc="1" locked="0" layoutInCell="1" allowOverlap="1" wp14:anchorId="588D94A3" wp14:editId="48F9D1F9">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878573363"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089A7741"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4E533ED8" w14:textId="4852BD9B" w:rsidR="00386AB6" w:rsidRPr="00A608EE" w:rsidRDefault="00386AB6" w:rsidP="00A02AC4">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p>
    <w:p w14:paraId="255498BF" w14:textId="37C2FC3B" w:rsidR="00AF6928" w:rsidRPr="00A608EE" w:rsidRDefault="00AF6928" w:rsidP="00A27AAA">
      <w:pPr>
        <w:pStyle w:val="NormalWeb"/>
        <w:numPr>
          <w:ilvl w:val="0"/>
          <w:numId w:val="40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 xml:space="preserve">Information provided to raise clients' awareness of their climate-change vulnerability and environmental impacts in formats that are accessible to clients with different types of impairments ((e.g., Easy-read, large print, Braille, audio formats, oral information, sign language, accessible digital channels). </w:t>
      </w:r>
    </w:p>
    <w:p w14:paraId="397495A7" w14:textId="591D94D7" w:rsidR="00AF6928" w:rsidRPr="00A608EE" w:rsidRDefault="00AF6928" w:rsidP="00A27AAA">
      <w:pPr>
        <w:pStyle w:val="NormalWeb"/>
        <w:numPr>
          <w:ilvl w:val="0"/>
          <w:numId w:val="40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Awareness raising events or activities are accessible and inclusive for clients with disabilities.</w:t>
      </w:r>
    </w:p>
    <w:p w14:paraId="69B44FAC" w14:textId="5EE3E2C1" w:rsidR="00AF6928" w:rsidRPr="00A608EE" w:rsidRDefault="00AF6928" w:rsidP="00A27AAA">
      <w:pPr>
        <w:pStyle w:val="NormalWeb"/>
        <w:numPr>
          <w:ilvl w:val="0"/>
          <w:numId w:val="402"/>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Staff carrying out awareness-raising talks and events are trained in accessibility, inclusion and communication with clients with different types of impairments.</w:t>
      </w:r>
    </w:p>
    <w:p w14:paraId="62D22C07"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7CD5F699" w14:textId="0A9DF85D" w:rsidR="005437A0" w:rsidRPr="00A608EE" w:rsidRDefault="005437A0" w:rsidP="005437A0">
      <w:pPr>
        <w:jc w:val="both"/>
        <w:rPr>
          <w:rFonts w:asciiTheme="majorHAnsi" w:hAnsiTheme="majorHAnsi"/>
          <w:sz w:val="20"/>
          <w:szCs w:val="20"/>
          <w:lang w:eastAsia="fr-FR"/>
        </w:rPr>
      </w:pPr>
      <w:bookmarkStart w:id="113" w:name="_Hlk227018097"/>
      <w:r w:rsidRPr="00A608EE">
        <w:rPr>
          <w:rFonts w:asciiTheme="majorHAnsi" w:hAnsiTheme="majorHAnsi"/>
          <w:sz w:val="20"/>
          <w:szCs w:val="20"/>
          <w:lang w:eastAsia="fr-FR"/>
        </w:rPr>
        <w:t>[See indicator 3.B.5.1 for more information about inclusive and accessible client trainings and awareness raising activities]</w:t>
      </w:r>
    </w:p>
    <w:bookmarkEnd w:id="113"/>
    <w:p w14:paraId="57DBEC4E" w14:textId="77777777" w:rsidR="005437A0" w:rsidRPr="00A608EE" w:rsidRDefault="005437A0" w:rsidP="00EE208A">
      <w:pPr>
        <w:pStyle w:val="NormalWeb"/>
        <w:spacing w:before="0" w:beforeAutospacing="0" w:after="0" w:afterAutospacing="0"/>
        <w:jc w:val="both"/>
        <w:rPr>
          <w:rFonts w:asciiTheme="majorHAnsi" w:hAnsiTheme="majorHAnsi"/>
          <w:sz w:val="20"/>
          <w:szCs w:val="20"/>
        </w:rPr>
      </w:pPr>
    </w:p>
    <w:p w14:paraId="0BF1D8C6" w14:textId="77777777" w:rsidR="005437A0" w:rsidRPr="00A608EE" w:rsidRDefault="005437A0" w:rsidP="00EE208A">
      <w:pPr>
        <w:pStyle w:val="NormalWeb"/>
        <w:spacing w:before="0" w:beforeAutospacing="0" w:after="0" w:afterAutospacing="0"/>
        <w:jc w:val="both"/>
        <w:rPr>
          <w:rFonts w:asciiTheme="majorHAnsi" w:hAnsiTheme="majorHAnsi"/>
          <w:sz w:val="20"/>
          <w:szCs w:val="20"/>
        </w:rPr>
      </w:pPr>
    </w:p>
    <w:p w14:paraId="2A193B61" w14:textId="7184BA74" w:rsidR="001810C2" w:rsidRPr="00A608EE" w:rsidRDefault="001810C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Scoring guidance</w:t>
      </w:r>
    </w:p>
    <w:p w14:paraId="2507BB73" w14:textId="135140A3" w:rsidR="001810C2" w:rsidRPr="00A608EE" w:rsidRDefault="001810C2" w:rsidP="00A27AAA">
      <w:pPr>
        <w:pStyle w:val="NormalWeb"/>
        <w:numPr>
          <w:ilvl w:val="0"/>
          <w:numId w:val="38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To answer ‘yes’, the provider must effectively conduct awareness-raising efforts, based on key messages formally defined and communicated to its employees. The awareness-raising efforts can be conducted by the provider itself or in partnerships with a third party. Staff involved in the awareness-raising efforts should be clear on the key messages to communicate to clients, even if these efforts are carried out in an informal way.</w:t>
      </w:r>
    </w:p>
    <w:p w14:paraId="38EC5799" w14:textId="6F6401B4" w:rsidR="001810C2" w:rsidRPr="00A608EE" w:rsidRDefault="001810C2" w:rsidP="00A27AAA">
      <w:pPr>
        <w:pStyle w:val="NormalWeb"/>
        <w:numPr>
          <w:ilvl w:val="0"/>
          <w:numId w:val="38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If the provider conducts awareness-raising efforts but there is no formalization of the key messages or no formal training of the staff to communicate in a consistent way, then the answer should be ‘partially.’ If the awareness-raising activities implemented reach less than 10% of the providers’ clients, then the answer should be ‘partially.’</w:t>
      </w:r>
    </w:p>
    <w:p w14:paraId="7535960C" w14:textId="0598D759" w:rsidR="001810C2" w:rsidRPr="00A608EE" w:rsidRDefault="001810C2" w:rsidP="00A27AAA">
      <w:pPr>
        <w:pStyle w:val="NormalWeb"/>
        <w:numPr>
          <w:ilvl w:val="0"/>
          <w:numId w:val="384"/>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Assign ‘no’ if there are no awareness efforts or if they remain vague and not focused on issues that matter to customers.</w:t>
      </w:r>
    </w:p>
    <w:p w14:paraId="16E902F7"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5DE958C1" w14:textId="33EFF078" w:rsidR="001810C2" w:rsidRPr="00A608EE" w:rsidRDefault="001810C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5BFECB96" w14:textId="77777777" w:rsidR="001810C2" w:rsidRPr="00A608EE" w:rsidRDefault="001810C2" w:rsidP="00A27AAA">
      <w:pPr>
        <w:pStyle w:val="NormalWeb"/>
        <w:numPr>
          <w:ilvl w:val="0"/>
          <w:numId w:val="3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Awareness materials</w:t>
      </w:r>
    </w:p>
    <w:p w14:paraId="58D533C6" w14:textId="77777777" w:rsidR="001810C2" w:rsidRPr="00A608EE" w:rsidRDefault="001810C2" w:rsidP="00A27AAA">
      <w:pPr>
        <w:pStyle w:val="NormalWeb"/>
        <w:numPr>
          <w:ilvl w:val="0"/>
          <w:numId w:val="3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lastRenderedPageBreak/>
        <w:t>Interview with HR/ Training department</w:t>
      </w:r>
    </w:p>
    <w:p w14:paraId="06301D8E" w14:textId="77777777" w:rsidR="001810C2" w:rsidRPr="00A608EE" w:rsidRDefault="001810C2" w:rsidP="00A27AAA">
      <w:pPr>
        <w:pStyle w:val="NormalWeb"/>
        <w:numPr>
          <w:ilvl w:val="0"/>
          <w:numId w:val="3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branch managers, loan officers</w:t>
      </w:r>
    </w:p>
    <w:p w14:paraId="7EEA9644" w14:textId="77777777" w:rsidR="001810C2" w:rsidRPr="00A608EE" w:rsidRDefault="001810C2" w:rsidP="00A27AAA">
      <w:pPr>
        <w:pStyle w:val="NormalWeb"/>
        <w:numPr>
          <w:ilvl w:val="0"/>
          <w:numId w:val="3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dedicated person on environmental strategy (if applicable)</w:t>
      </w:r>
    </w:p>
    <w:p w14:paraId="0893AC10" w14:textId="77777777" w:rsidR="001810C2" w:rsidRPr="00A608EE" w:rsidRDefault="001810C2" w:rsidP="00A27AAA">
      <w:pPr>
        <w:pStyle w:val="NormalWeb"/>
        <w:numPr>
          <w:ilvl w:val="0"/>
          <w:numId w:val="383"/>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clients</w:t>
      </w:r>
    </w:p>
    <w:p w14:paraId="5D8A1DA2"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243C90F2" w14:textId="04236945" w:rsidR="001810C2" w:rsidRPr="00A608EE" w:rsidRDefault="001810C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4291510E"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type of awareness-raising efforts conducted and their outreach.</w:t>
      </w:r>
    </w:p>
    <w:p w14:paraId="43898BF6" w14:textId="77777777" w:rsidR="00606074" w:rsidRPr="00A608EE" w:rsidRDefault="00606074" w:rsidP="00EE208A">
      <w:pPr>
        <w:pStyle w:val="NormalWeb"/>
        <w:spacing w:before="0" w:beforeAutospacing="0" w:after="0" w:afterAutospacing="0"/>
        <w:jc w:val="both"/>
        <w:rPr>
          <w:rFonts w:asciiTheme="majorHAnsi" w:hAnsiTheme="majorHAnsi"/>
          <w:sz w:val="20"/>
          <w:szCs w:val="20"/>
        </w:rPr>
      </w:pPr>
    </w:p>
    <w:p w14:paraId="7AE78D32" w14:textId="4CED7F7A" w:rsidR="00CA6A1B" w:rsidRPr="00A608EE" w:rsidRDefault="00CA6A1B" w:rsidP="00EE208A">
      <w:pPr>
        <w:jc w:val="both"/>
        <w:rPr>
          <w:rFonts w:asciiTheme="majorHAnsi" w:hAnsiTheme="majorHAnsi"/>
          <w:b/>
          <w:bCs/>
          <w:szCs w:val="20"/>
        </w:rPr>
      </w:pPr>
      <w:r w:rsidRPr="00A608EE">
        <w:rPr>
          <w:rFonts w:asciiTheme="majorHAnsi" w:hAnsiTheme="majorHAnsi"/>
          <w:b/>
          <w:bCs/>
          <w:szCs w:val="20"/>
        </w:rPr>
        <w:t>Res</w:t>
      </w:r>
      <w:r w:rsidR="001810C2" w:rsidRPr="00A608EE">
        <w:rPr>
          <w:rFonts w:asciiTheme="majorHAnsi" w:hAnsiTheme="majorHAnsi"/>
          <w:b/>
          <w:bCs/>
          <w:szCs w:val="20"/>
        </w:rPr>
        <w:t>ources for indicator</w:t>
      </w:r>
      <w:r w:rsidR="00CD460C" w:rsidRPr="00A608EE">
        <w:rPr>
          <w:rFonts w:asciiTheme="majorHAnsi" w:hAnsiTheme="majorHAnsi"/>
          <w:b/>
          <w:bCs/>
          <w:szCs w:val="20"/>
        </w:rPr>
        <w:t xml:space="preserve"> 7.C.2.1</w:t>
      </w:r>
    </w:p>
    <w:p w14:paraId="3BF6B86E" w14:textId="77777777" w:rsidR="00576E2B" w:rsidRPr="00A608EE" w:rsidRDefault="00576E2B" w:rsidP="00A27AAA">
      <w:pPr>
        <w:pStyle w:val="NormalWeb"/>
        <w:numPr>
          <w:ilvl w:val="0"/>
          <w:numId w:val="56"/>
        </w:numPr>
        <w:spacing w:before="0" w:beforeAutospacing="0" w:after="0" w:afterAutospacing="0"/>
        <w:jc w:val="both"/>
        <w:rPr>
          <w:rFonts w:asciiTheme="majorHAnsi" w:hAnsiTheme="majorHAnsi"/>
          <w:sz w:val="20"/>
          <w:szCs w:val="20"/>
        </w:rPr>
      </w:pPr>
      <w:hyperlink r:id="rId325" w:history="1">
        <w:r w:rsidRPr="00A608EE">
          <w:rPr>
            <w:rStyle w:val="Hyperlink"/>
            <w:rFonts w:asciiTheme="majorHAnsi" w:hAnsiTheme="majorHAnsi"/>
            <w:sz w:val="20"/>
            <w:szCs w:val="20"/>
          </w:rPr>
          <w:t>Charte Environnementale Aliniha</w:t>
        </w:r>
      </w:hyperlink>
    </w:p>
    <w:p w14:paraId="030E1DC5" w14:textId="77777777" w:rsidR="00576E2B" w:rsidRPr="00A608EE" w:rsidRDefault="00576E2B" w:rsidP="00A27AAA">
      <w:pPr>
        <w:pStyle w:val="NormalWeb"/>
        <w:numPr>
          <w:ilvl w:val="0"/>
          <w:numId w:val="56"/>
        </w:numPr>
        <w:spacing w:before="0" w:beforeAutospacing="0" w:after="0" w:afterAutospacing="0"/>
        <w:jc w:val="both"/>
        <w:rPr>
          <w:rFonts w:asciiTheme="majorHAnsi" w:hAnsiTheme="majorHAnsi"/>
          <w:sz w:val="20"/>
          <w:szCs w:val="20"/>
        </w:rPr>
      </w:pPr>
      <w:hyperlink r:id="rId326" w:history="1">
        <w:r w:rsidRPr="00A608EE">
          <w:rPr>
            <w:rStyle w:val="Hyperlink"/>
            <w:rFonts w:asciiTheme="majorHAnsi" w:hAnsiTheme="majorHAnsi"/>
            <w:sz w:val="20"/>
            <w:szCs w:val="20"/>
          </w:rPr>
          <w:t>Environmental Performance Management in practice #1 – The experience of Assilassimé, in Togo</w:t>
        </w:r>
      </w:hyperlink>
    </w:p>
    <w:p w14:paraId="4F98BED2" w14:textId="77777777" w:rsidR="00576E2B" w:rsidRPr="00A608EE" w:rsidRDefault="00576E2B" w:rsidP="00A27AAA">
      <w:pPr>
        <w:pStyle w:val="NormalWeb"/>
        <w:numPr>
          <w:ilvl w:val="0"/>
          <w:numId w:val="56"/>
        </w:numPr>
        <w:spacing w:before="0" w:beforeAutospacing="0" w:after="0" w:afterAutospacing="0"/>
        <w:jc w:val="both"/>
        <w:rPr>
          <w:rFonts w:asciiTheme="majorHAnsi" w:hAnsiTheme="majorHAnsi"/>
          <w:sz w:val="20"/>
          <w:szCs w:val="20"/>
          <w:lang w:val="fr-FR"/>
        </w:rPr>
      </w:pPr>
      <w:hyperlink r:id="rId327" w:history="1">
        <w:r w:rsidRPr="00A608EE">
          <w:rPr>
            <w:rStyle w:val="Hyperlink"/>
            <w:rFonts w:asciiTheme="majorHAnsi" w:hAnsiTheme="majorHAnsi"/>
            <w:sz w:val="20"/>
            <w:szCs w:val="20"/>
            <w:lang w:val="fr-FR"/>
          </w:rPr>
          <w:t>La Gestion de la Performance Environnementale en pratique #1- Le témoignage d'Assilassimé, au Togo</w:t>
        </w:r>
      </w:hyperlink>
    </w:p>
    <w:p w14:paraId="31DD573C" w14:textId="77777777" w:rsidR="00576E2B" w:rsidRPr="00A608EE" w:rsidRDefault="00576E2B" w:rsidP="00A27AAA">
      <w:pPr>
        <w:pStyle w:val="NormalWeb"/>
        <w:numPr>
          <w:ilvl w:val="0"/>
          <w:numId w:val="56"/>
        </w:numPr>
        <w:spacing w:before="0" w:beforeAutospacing="0" w:after="0" w:afterAutospacing="0"/>
        <w:jc w:val="both"/>
        <w:rPr>
          <w:rFonts w:asciiTheme="majorHAnsi" w:hAnsiTheme="majorHAnsi"/>
          <w:sz w:val="20"/>
          <w:szCs w:val="20"/>
          <w:lang w:val="es-ES"/>
        </w:rPr>
      </w:pPr>
      <w:hyperlink r:id="rId328" w:history="1">
        <w:r w:rsidRPr="00A608EE">
          <w:rPr>
            <w:rStyle w:val="Hyperlink"/>
            <w:rFonts w:asciiTheme="majorHAnsi" w:hAnsiTheme="majorHAnsi"/>
            <w:sz w:val="20"/>
            <w:szCs w:val="20"/>
            <w:lang w:val="es-ES"/>
          </w:rPr>
          <w:t>La Gestión del Desempeño Ambiental en práctica #1 – El testimonio de Assilassimé, en Togo</w:t>
        </w:r>
      </w:hyperlink>
    </w:p>
    <w:p w14:paraId="13685438" w14:textId="77777777" w:rsidR="00576E2B" w:rsidRPr="00A608EE" w:rsidRDefault="00576E2B" w:rsidP="00A27AAA">
      <w:pPr>
        <w:pStyle w:val="NormalWeb"/>
        <w:numPr>
          <w:ilvl w:val="0"/>
          <w:numId w:val="56"/>
        </w:numPr>
        <w:spacing w:before="0" w:beforeAutospacing="0" w:after="0" w:afterAutospacing="0"/>
        <w:jc w:val="both"/>
        <w:rPr>
          <w:rFonts w:asciiTheme="majorHAnsi" w:hAnsiTheme="majorHAnsi"/>
          <w:sz w:val="20"/>
          <w:szCs w:val="20"/>
        </w:rPr>
      </w:pPr>
      <w:hyperlink r:id="rId329">
        <w:r w:rsidRPr="00A608EE">
          <w:rPr>
            <w:rStyle w:val="Hyperlink"/>
            <w:rFonts w:asciiTheme="majorHAnsi" w:hAnsiTheme="majorHAnsi"/>
            <w:sz w:val="20"/>
            <w:szCs w:val="20"/>
          </w:rPr>
          <w:t>The experience of CAMIDE-PASECAS – the Aliniha program</w:t>
        </w:r>
      </w:hyperlink>
    </w:p>
    <w:p w14:paraId="340D7D75" w14:textId="77777777" w:rsidR="00361043" w:rsidRPr="00A608EE" w:rsidRDefault="00361043" w:rsidP="00EE208A">
      <w:pPr>
        <w:jc w:val="both"/>
        <w:rPr>
          <w:rFonts w:asciiTheme="majorHAnsi" w:hAnsiTheme="majorHAnsi"/>
          <w:szCs w:val="20"/>
        </w:rPr>
      </w:pPr>
    </w:p>
    <w:p w14:paraId="646AE520" w14:textId="77777777" w:rsidR="00576E2B" w:rsidRPr="00A608EE" w:rsidRDefault="00576E2B" w:rsidP="00EE208A">
      <w:pPr>
        <w:jc w:val="both"/>
        <w:rPr>
          <w:rFonts w:asciiTheme="majorHAnsi" w:hAnsiTheme="majorHAnsi"/>
          <w:szCs w:val="20"/>
        </w:rPr>
      </w:pPr>
    </w:p>
    <w:p w14:paraId="0CE00676" w14:textId="56062AE8" w:rsidR="004D724B" w:rsidRPr="00A608EE" w:rsidRDefault="00CA6A1B" w:rsidP="00EE208A">
      <w:pPr>
        <w:pStyle w:val="Heading4"/>
        <w:spacing w:before="0" w:line="240" w:lineRule="auto"/>
        <w:jc w:val="both"/>
      </w:pPr>
      <w:r w:rsidRPr="00A608EE">
        <w:rPr>
          <w:rStyle w:val="text-primary"/>
        </w:rPr>
        <w:t>7.C.2.2</w:t>
      </w:r>
      <w:r w:rsidRPr="00A608EE">
        <w:t xml:space="preserve"> </w:t>
      </w:r>
      <w:r w:rsidR="001810C2" w:rsidRPr="00A608EE">
        <w:t>The provider builds the capacity of its clients to reduce their vulnerability to climate change and environmental degradation, to mitigate their adverse impacts on the environment, and/or to adopt green practices and technologies, by offering at least one of the following services</w:t>
      </w:r>
      <w:r w:rsidR="004D724B" w:rsidRPr="00A608EE">
        <w:t>:</w:t>
      </w:r>
    </w:p>
    <w:p w14:paraId="1AB4BB67" w14:textId="5E71B771" w:rsidR="001810C2" w:rsidRPr="00A608EE" w:rsidRDefault="001810C2" w:rsidP="00A27AAA">
      <w:pPr>
        <w:pStyle w:val="Heading4"/>
        <w:numPr>
          <w:ilvl w:val="0"/>
          <w:numId w:val="42"/>
        </w:numPr>
        <w:spacing w:line="240" w:lineRule="auto"/>
        <w:jc w:val="both"/>
        <w:rPr>
          <w:sz w:val="20"/>
          <w:szCs w:val="20"/>
        </w:rPr>
      </w:pPr>
      <w:r w:rsidRPr="00A608EE">
        <w:rPr>
          <w:sz w:val="20"/>
          <w:szCs w:val="20"/>
        </w:rPr>
        <w:t>Field visits or peer-learning opportunities</w:t>
      </w:r>
    </w:p>
    <w:p w14:paraId="22861AF6" w14:textId="77777777" w:rsidR="001810C2" w:rsidRPr="00A608EE" w:rsidRDefault="001810C2" w:rsidP="00A27AAA">
      <w:pPr>
        <w:pStyle w:val="Heading4"/>
        <w:numPr>
          <w:ilvl w:val="0"/>
          <w:numId w:val="42"/>
        </w:numPr>
        <w:spacing w:line="240" w:lineRule="auto"/>
        <w:jc w:val="both"/>
        <w:rPr>
          <w:sz w:val="20"/>
          <w:szCs w:val="20"/>
        </w:rPr>
      </w:pPr>
      <w:r w:rsidRPr="00A608EE">
        <w:rPr>
          <w:sz w:val="20"/>
          <w:szCs w:val="20"/>
        </w:rPr>
        <w:t>Trainings</w:t>
      </w:r>
    </w:p>
    <w:p w14:paraId="608210A0" w14:textId="0DC52038" w:rsidR="00FE15A9" w:rsidRPr="00A608EE" w:rsidRDefault="001810C2" w:rsidP="00A27AAA">
      <w:pPr>
        <w:pStyle w:val="Heading4"/>
        <w:numPr>
          <w:ilvl w:val="0"/>
          <w:numId w:val="42"/>
        </w:numPr>
        <w:spacing w:before="0" w:line="240" w:lineRule="auto"/>
        <w:jc w:val="both"/>
      </w:pPr>
      <w:r w:rsidRPr="00A608EE">
        <w:rPr>
          <w:sz w:val="20"/>
          <w:szCs w:val="20"/>
        </w:rPr>
        <w:t>Technical assistance to implement or maintain green practices and technologies, including after-sales services</w:t>
      </w:r>
    </w:p>
    <w:p w14:paraId="61053125" w14:textId="77777777" w:rsidR="004D724B" w:rsidRPr="00A608EE" w:rsidRDefault="004D724B" w:rsidP="00EE208A">
      <w:pPr>
        <w:jc w:val="both"/>
      </w:pPr>
    </w:p>
    <w:p w14:paraId="02763651" w14:textId="2CB86AB5" w:rsidR="00576E2B" w:rsidRPr="00A608EE" w:rsidRDefault="00C8735D" w:rsidP="00EE208A">
      <w:pPr>
        <w:jc w:val="both"/>
        <w:rPr>
          <w:color w:val="2145CC" w:themeColor="accent5" w:themeShade="BF"/>
          <w:sz w:val="20"/>
          <w:szCs w:val="20"/>
        </w:rPr>
      </w:pPr>
      <w:r w:rsidRPr="00A608EE">
        <w:rPr>
          <w:rFonts w:ascii="Segoe UI Emoji" w:hAnsi="Segoe UI Emoji" w:cs="Segoe UI Emoji"/>
          <w:b/>
          <w:bCs/>
          <w:sz w:val="20"/>
          <w:szCs w:val="20"/>
        </w:rPr>
        <w:t>🔎</w:t>
      </w:r>
      <w:r w:rsidRPr="00A608EE">
        <w:rPr>
          <w:rFonts w:asciiTheme="majorHAnsi" w:hAnsiTheme="majorHAnsi"/>
          <w:b/>
          <w:bCs/>
          <w:color w:val="2145CC" w:themeColor="accent5" w:themeShade="BF"/>
          <w:sz w:val="20"/>
          <w:szCs w:val="20"/>
        </w:rPr>
        <w:t xml:space="preserve"> Indicator in </w:t>
      </w:r>
      <w:r w:rsidR="00576E2B" w:rsidRPr="00A608EE">
        <w:rPr>
          <w:rFonts w:ascii="Work Sans" w:eastAsia="Work Sans" w:hAnsi="Work Sans" w:cs="Work Sans"/>
          <w:b/>
          <w:bCs/>
          <w:color w:val="2145CC" w:themeColor="accent5" w:themeShade="BF"/>
          <w:sz w:val="20"/>
          <w:szCs w:val="20"/>
        </w:rPr>
        <w:t>ALINUS | SPI5 Entry | SPI5 Full</w:t>
      </w:r>
      <w:r w:rsidR="004876A2" w:rsidRPr="00A608EE">
        <w:rPr>
          <w:rFonts w:ascii="Work Sans" w:eastAsia="Work Sans" w:hAnsi="Work Sans" w:cs="Work Sans"/>
          <w:b/>
          <w:bCs/>
          <w:color w:val="2145CC" w:themeColor="accent5" w:themeShade="BF"/>
          <w:sz w:val="20"/>
          <w:szCs w:val="20"/>
        </w:rPr>
        <w:t xml:space="preserve"> </w:t>
      </w:r>
      <w:r w:rsidR="004876A2" w:rsidRPr="00A608EE">
        <w:rPr>
          <w:rFonts w:ascii="Work Sans" w:hAnsi="Work Sans"/>
          <w:b/>
          <w:bCs/>
          <w:color w:val="2145CC" w:themeColor="accent5" w:themeShade="BF"/>
          <w:sz w:val="20"/>
          <w:szCs w:val="20"/>
        </w:rPr>
        <w:t>| DI Focus</w:t>
      </w:r>
    </w:p>
    <w:p w14:paraId="2340A7E8" w14:textId="4700BF2E" w:rsidR="00576E2B" w:rsidRPr="00A608EE" w:rsidRDefault="00AF6928" w:rsidP="00255DF8">
      <w:pPr>
        <w:pStyle w:val="paragraph"/>
        <w:spacing w:before="120" w:beforeAutospacing="0" w:after="120" w:afterAutospacing="0"/>
        <w:jc w:val="both"/>
        <w:textAlignment w:val="baseline"/>
        <w:rPr>
          <w:rFonts w:asciiTheme="majorHAnsi" w:hAnsiTheme="majorHAnsi"/>
          <w:sz w:val="20"/>
          <w:szCs w:val="20"/>
        </w:rPr>
      </w:pPr>
      <w:r w:rsidRPr="00A608EE">
        <w:rPr>
          <w:rFonts w:asciiTheme="majorHAnsi" w:hAnsiTheme="majorHAnsi"/>
          <w:sz w:val="20"/>
          <w:szCs w:val="20"/>
        </w:rPr>
        <w:t> </w:t>
      </w:r>
    </w:p>
    <w:p w14:paraId="4DB23EAA"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This indicator is about building in-depth, technical skills around environmental risk mitigation and green practices, while indicator 7.C.2.1 is about raising awareness, in a first, light-touch approach to make clients’ conscious of some key environmental risks and opportunities.</w:t>
      </w:r>
    </w:p>
    <w:p w14:paraId="653FCF17"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4A1ACDD5"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Capacity-building can be used as a strategy to mitigate the client-level environmental risks identified by the provider (e.g. training clients on climate-smart agricultural practices to reduce their vulnerability to climate change), to foster the transition towards a more ecological economy (e.g. training clients on developing a solar installation business), and/or to make sure that clients properly use and implement new green technologies/practices, and hence increase the probability of positive outcomes.</w:t>
      </w:r>
    </w:p>
    <w:p w14:paraId="62C8E3B3"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691FE691" w14:textId="77777777" w:rsidR="00672763" w:rsidRPr="00A608EE" w:rsidRDefault="00672763" w:rsidP="00672763">
      <w:pPr>
        <w:pStyle w:val="paragraph"/>
        <w:spacing w:before="120" w:beforeAutospacing="0" w:after="120" w:afterAutospacing="0"/>
        <w:jc w:val="both"/>
        <w:textAlignment w:val="baseline"/>
        <w:rPr>
          <w:rStyle w:val="normaltextrun"/>
          <w:rFonts w:asciiTheme="majorHAnsi" w:hAnsiTheme="majorHAnsi"/>
          <w:b/>
          <w:bCs/>
          <w:sz w:val="20"/>
          <w:szCs w:val="20"/>
        </w:rPr>
      </w:pPr>
      <w:r w:rsidRPr="00A608EE">
        <w:rPr>
          <w:rFonts w:asciiTheme="majorHAnsi" w:hAnsiTheme="majorHAnsi"/>
          <w:noProof/>
          <w:sz w:val="20"/>
          <w:szCs w:val="20"/>
        </w:rPr>
        <w:drawing>
          <wp:anchor distT="0" distB="0" distL="114300" distR="114300" simplePos="0" relativeHeight="251932672" behindDoc="1" locked="0" layoutInCell="1" allowOverlap="1" wp14:anchorId="07DD24B1" wp14:editId="196168AF">
            <wp:simplePos x="0" y="0"/>
            <wp:positionH relativeFrom="column">
              <wp:posOffset>1905</wp:posOffset>
            </wp:positionH>
            <wp:positionV relativeFrom="paragraph">
              <wp:posOffset>28575</wp:posOffset>
            </wp:positionV>
            <wp:extent cx="252000" cy="252000"/>
            <wp:effectExtent l="0" t="0" r="0" b="0"/>
            <wp:wrapTight wrapText="bothSides">
              <wp:wrapPolygon edited="0">
                <wp:start x="0" y="0"/>
                <wp:lineTo x="0" y="18813"/>
                <wp:lineTo x="18813" y="18813"/>
                <wp:lineTo x="18813" y="0"/>
                <wp:lineTo x="0" y="0"/>
              </wp:wrapPolygon>
            </wp:wrapTight>
            <wp:docPr id="1826338632" name="Picture 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00459" name="Picture 50">
                      <a:extLst>
                        <a:ext uri="{C183D7F6-B498-43B3-948B-1728B52AA6E4}">
                          <adec:decorative xmlns:adec="http://schemas.microsoft.com/office/drawing/2017/decorative" val="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14:sizeRelH relativeFrom="margin">
              <wp14:pctWidth>0</wp14:pctWidth>
            </wp14:sizeRelH>
            <wp14:sizeRelV relativeFrom="margin">
              <wp14:pctHeight>0</wp14:pctHeight>
            </wp14:sizeRelV>
          </wp:anchor>
        </w:drawing>
      </w:r>
      <w:r w:rsidRPr="00A608EE">
        <w:rPr>
          <w:rStyle w:val="normaltextrun"/>
          <w:rFonts w:asciiTheme="majorHAnsi" w:hAnsiTheme="majorHAnsi"/>
          <w:b/>
          <w:bCs/>
          <w:sz w:val="20"/>
          <w:szCs w:val="20"/>
        </w:rPr>
        <w:t>Disability Inclusion Focus:</w:t>
      </w:r>
    </w:p>
    <w:p w14:paraId="1C4DA0D6" w14:textId="77777777" w:rsidR="00672763" w:rsidRPr="00A608EE" w:rsidRDefault="00672763" w:rsidP="00EE208A">
      <w:pPr>
        <w:pStyle w:val="NormalWeb"/>
        <w:spacing w:before="0" w:beforeAutospacing="0" w:after="0" w:afterAutospacing="0"/>
        <w:jc w:val="both"/>
        <w:rPr>
          <w:rFonts w:asciiTheme="majorHAnsi" w:hAnsiTheme="majorHAnsi"/>
          <w:sz w:val="20"/>
          <w:szCs w:val="20"/>
        </w:rPr>
      </w:pPr>
    </w:p>
    <w:p w14:paraId="64C1DB72" w14:textId="1830B3C9" w:rsidR="00AF6928" w:rsidRPr="00A608EE" w:rsidRDefault="00386AB6" w:rsidP="00AF6928">
      <w:pPr>
        <w:pStyle w:val="NormalWeb"/>
        <w:spacing w:before="0" w:beforeAutospacing="0" w:after="0" w:afterAutospacing="0"/>
        <w:jc w:val="both"/>
        <w:rPr>
          <w:rFonts w:asciiTheme="majorHAnsi" w:hAnsiTheme="majorHAnsi"/>
          <w:sz w:val="20"/>
          <w:szCs w:val="20"/>
        </w:rPr>
      </w:pPr>
      <w:r w:rsidRPr="00A608EE">
        <w:rPr>
          <w:rFonts w:ascii="Work Sans" w:hAnsi="Work Sans"/>
          <w:b/>
          <w:bCs/>
          <w:sz w:val="20"/>
          <w:szCs w:val="20"/>
        </w:rPr>
        <w:t>DI Indicator:</w:t>
      </w:r>
      <w:r w:rsidRPr="00A608EE">
        <w:rPr>
          <w:rFonts w:ascii="Work Sans" w:hAnsi="Work Sans"/>
          <w:sz w:val="20"/>
          <w:szCs w:val="20"/>
        </w:rPr>
        <w:t xml:space="preserve"> </w:t>
      </w:r>
      <w:r w:rsidR="00AF6928" w:rsidRPr="00A608EE">
        <w:rPr>
          <w:rFonts w:asciiTheme="majorHAnsi" w:hAnsiTheme="majorHAnsi"/>
          <w:sz w:val="20"/>
          <w:szCs w:val="20"/>
        </w:rPr>
        <w:t>Capacity-building activities to help clients reduce their climate-change vulnerability and environmental impacts are accessible and inclusive for clients with disabilities.</w:t>
      </w:r>
    </w:p>
    <w:p w14:paraId="569C3642" w14:textId="11510309" w:rsidR="00AF6928" w:rsidRPr="00A608EE" w:rsidRDefault="00AF6928" w:rsidP="00AF6928">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Staff delivering capacity building activities are trained in accessibility, inclusion and communication with clients with different types of impairments.</w:t>
      </w:r>
    </w:p>
    <w:p w14:paraId="5FD85C89" w14:textId="77777777" w:rsidR="005437A0" w:rsidRPr="00A608EE" w:rsidRDefault="005437A0" w:rsidP="00AF6928">
      <w:pPr>
        <w:pStyle w:val="NormalWeb"/>
        <w:spacing w:before="0" w:beforeAutospacing="0" w:after="0" w:afterAutospacing="0"/>
        <w:jc w:val="both"/>
        <w:rPr>
          <w:rFonts w:asciiTheme="majorHAnsi" w:hAnsiTheme="majorHAnsi"/>
          <w:sz w:val="20"/>
          <w:szCs w:val="20"/>
        </w:rPr>
      </w:pPr>
    </w:p>
    <w:p w14:paraId="04BE2222" w14:textId="44C3CE28" w:rsidR="005437A0" w:rsidRPr="00A608EE" w:rsidRDefault="005437A0" w:rsidP="005437A0">
      <w:pPr>
        <w:jc w:val="both"/>
        <w:rPr>
          <w:rFonts w:asciiTheme="majorHAnsi" w:hAnsiTheme="majorHAnsi"/>
          <w:sz w:val="20"/>
          <w:szCs w:val="20"/>
          <w:lang w:eastAsia="fr-FR"/>
        </w:rPr>
      </w:pPr>
      <w:r w:rsidRPr="00A608EE">
        <w:rPr>
          <w:rFonts w:asciiTheme="majorHAnsi" w:hAnsiTheme="majorHAnsi"/>
          <w:sz w:val="20"/>
          <w:szCs w:val="20"/>
          <w:lang w:eastAsia="fr-FR"/>
        </w:rPr>
        <w:t>[See indicator 3.B.5.1 for more information about inclusive and accessible client trainings and awareness raising activities]</w:t>
      </w:r>
    </w:p>
    <w:p w14:paraId="31BE6BC3"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5D34AD89" w14:textId="77777777" w:rsidR="00672763" w:rsidRPr="00A608EE" w:rsidRDefault="00672763" w:rsidP="00EE208A">
      <w:pPr>
        <w:pStyle w:val="NormalWeb"/>
        <w:spacing w:before="0" w:beforeAutospacing="0" w:after="0" w:afterAutospacing="0"/>
        <w:jc w:val="both"/>
        <w:rPr>
          <w:rFonts w:asciiTheme="majorHAnsi" w:hAnsiTheme="majorHAnsi"/>
          <w:b/>
          <w:bCs/>
          <w:sz w:val="20"/>
          <w:szCs w:val="20"/>
        </w:rPr>
      </w:pPr>
    </w:p>
    <w:p w14:paraId="0FC7E3F6" w14:textId="77777777" w:rsidR="00672763" w:rsidRPr="00A608EE" w:rsidRDefault="00672763" w:rsidP="00EE208A">
      <w:pPr>
        <w:pStyle w:val="NormalWeb"/>
        <w:spacing w:before="0" w:beforeAutospacing="0" w:after="0" w:afterAutospacing="0"/>
        <w:jc w:val="both"/>
        <w:rPr>
          <w:rFonts w:asciiTheme="majorHAnsi" w:hAnsiTheme="majorHAnsi"/>
          <w:b/>
          <w:bCs/>
          <w:sz w:val="20"/>
          <w:szCs w:val="20"/>
        </w:rPr>
      </w:pPr>
    </w:p>
    <w:p w14:paraId="01574890" w14:textId="48F23AD5" w:rsidR="001810C2" w:rsidRPr="00A608EE" w:rsidRDefault="001810C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lastRenderedPageBreak/>
        <w:t>Scoring guidance</w:t>
      </w:r>
    </w:p>
    <w:p w14:paraId="0C876A2C" w14:textId="4D82ECFB" w:rsidR="001810C2" w:rsidRPr="00A608EE" w:rsidRDefault="001810C2" w:rsidP="00A27AAA">
      <w:pPr>
        <w:pStyle w:val="NormalWeb"/>
        <w:numPr>
          <w:ilvl w:val="0"/>
          <w:numId w:val="38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To answer ‘yes’, the provider must offer at least one of the capacity-building services mentioned in the indicator. These capacity-building actions must specifically address strategies to reduce vulnerabilities to climate change and environmental degradation, mitigate adverse impacts on the environment, and/or adopt green practices and technologies. They can be conducted by the provider itself or in partnerships with a third party (7.C.2.3).</w:t>
      </w:r>
    </w:p>
    <w:p w14:paraId="4200D3C1" w14:textId="7050012E" w:rsidR="001810C2" w:rsidRPr="00A608EE" w:rsidRDefault="001810C2" w:rsidP="00A27AAA">
      <w:pPr>
        <w:pStyle w:val="NormalWeb"/>
        <w:numPr>
          <w:ilvl w:val="0"/>
          <w:numId w:val="38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If the capacity-building activities implemented reach less than 5% of the providers’ clients, then the answer should be ‘partially’.</w:t>
      </w:r>
    </w:p>
    <w:p w14:paraId="5CADE3E7" w14:textId="77777777" w:rsidR="001810C2" w:rsidRPr="00A608EE" w:rsidRDefault="001810C2" w:rsidP="00A27AAA">
      <w:pPr>
        <w:pStyle w:val="NormalWeb"/>
        <w:numPr>
          <w:ilvl w:val="0"/>
          <w:numId w:val="386"/>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Assign</w:t>
      </w:r>
      <w:r w:rsidRPr="00A608EE">
        <w:rPr>
          <w:sz w:val="20"/>
          <w:szCs w:val="20"/>
        </w:rPr>
        <w:t xml:space="preserve"> </w:t>
      </w:r>
      <w:r w:rsidRPr="00A608EE">
        <w:rPr>
          <w:rFonts w:asciiTheme="majorHAnsi" w:hAnsiTheme="majorHAnsi"/>
          <w:sz w:val="20"/>
          <w:szCs w:val="20"/>
        </w:rPr>
        <w:t>‘no’ if there is no capacity building targeted at environmental issues for customers.</w:t>
      </w:r>
    </w:p>
    <w:p w14:paraId="47427C78"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34C87A2E" w14:textId="77777777" w:rsidR="001810C2" w:rsidRPr="00A608EE" w:rsidRDefault="001810C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Sources of information</w:t>
      </w:r>
    </w:p>
    <w:p w14:paraId="0A03F774" w14:textId="77777777" w:rsidR="001810C2" w:rsidRPr="00A608EE" w:rsidRDefault="001810C2" w:rsidP="00A27AAA">
      <w:pPr>
        <w:pStyle w:val="NormalWeb"/>
        <w:numPr>
          <w:ilvl w:val="0"/>
          <w:numId w:val="38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Training materials</w:t>
      </w:r>
    </w:p>
    <w:p w14:paraId="5538CE38" w14:textId="77777777" w:rsidR="001810C2" w:rsidRPr="00A608EE" w:rsidRDefault="001810C2" w:rsidP="00A27AAA">
      <w:pPr>
        <w:pStyle w:val="NormalWeb"/>
        <w:numPr>
          <w:ilvl w:val="0"/>
          <w:numId w:val="38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HR/ Training department</w:t>
      </w:r>
    </w:p>
    <w:p w14:paraId="7F4C1335" w14:textId="77777777" w:rsidR="001810C2" w:rsidRPr="00A608EE" w:rsidRDefault="001810C2" w:rsidP="00A27AAA">
      <w:pPr>
        <w:pStyle w:val="NormalWeb"/>
        <w:numPr>
          <w:ilvl w:val="0"/>
          <w:numId w:val="38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 with the dedicated person on environmental strategy (if applicable)</w:t>
      </w:r>
    </w:p>
    <w:p w14:paraId="2489C26E" w14:textId="77777777" w:rsidR="001810C2" w:rsidRPr="00A608EE" w:rsidRDefault="001810C2" w:rsidP="00A27AAA">
      <w:pPr>
        <w:pStyle w:val="NormalWeb"/>
        <w:numPr>
          <w:ilvl w:val="0"/>
          <w:numId w:val="385"/>
        </w:numPr>
        <w:spacing w:before="0" w:beforeAutospacing="0" w:after="0" w:afterAutospacing="0"/>
        <w:jc w:val="both"/>
        <w:rPr>
          <w:rFonts w:asciiTheme="majorHAnsi" w:hAnsiTheme="majorHAnsi"/>
          <w:sz w:val="20"/>
          <w:szCs w:val="20"/>
        </w:rPr>
      </w:pPr>
      <w:r w:rsidRPr="00A608EE">
        <w:rPr>
          <w:rFonts w:asciiTheme="majorHAnsi" w:hAnsiTheme="majorHAnsi"/>
          <w:sz w:val="20"/>
          <w:szCs w:val="20"/>
        </w:rPr>
        <w:t>Interviews with clients</w:t>
      </w:r>
    </w:p>
    <w:p w14:paraId="14CC97A6"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p>
    <w:p w14:paraId="53F4B846" w14:textId="77777777" w:rsidR="001810C2" w:rsidRPr="00A608EE" w:rsidRDefault="001810C2" w:rsidP="00EE208A">
      <w:pPr>
        <w:pStyle w:val="NormalWeb"/>
        <w:spacing w:before="0" w:beforeAutospacing="0" w:after="0" w:afterAutospacing="0"/>
        <w:jc w:val="both"/>
        <w:rPr>
          <w:rFonts w:asciiTheme="majorHAnsi" w:hAnsiTheme="majorHAnsi"/>
          <w:b/>
          <w:bCs/>
          <w:sz w:val="20"/>
          <w:szCs w:val="20"/>
        </w:rPr>
      </w:pPr>
      <w:r w:rsidRPr="00A608EE">
        <w:rPr>
          <w:rFonts w:asciiTheme="majorHAnsi" w:hAnsiTheme="majorHAnsi"/>
          <w:b/>
          <w:bCs/>
          <w:sz w:val="20"/>
          <w:szCs w:val="20"/>
        </w:rPr>
        <w:t>Evidence to provide</w:t>
      </w:r>
    </w:p>
    <w:p w14:paraId="6E4E25C0" w14:textId="77777777" w:rsidR="001810C2" w:rsidRPr="00A608EE" w:rsidRDefault="001810C2" w:rsidP="00EE208A">
      <w:pPr>
        <w:pStyle w:val="NormalWeb"/>
        <w:spacing w:before="0" w:beforeAutospacing="0" w:after="0" w:afterAutospacing="0"/>
        <w:jc w:val="both"/>
        <w:rPr>
          <w:rFonts w:asciiTheme="majorHAnsi" w:hAnsiTheme="majorHAnsi"/>
          <w:sz w:val="20"/>
          <w:szCs w:val="20"/>
        </w:rPr>
      </w:pPr>
      <w:r w:rsidRPr="00A608EE">
        <w:rPr>
          <w:rFonts w:asciiTheme="majorHAnsi" w:hAnsiTheme="majorHAnsi"/>
          <w:sz w:val="20"/>
          <w:szCs w:val="20"/>
        </w:rPr>
        <w:t>Specify the type of capacity-building services offered and their outreach.</w:t>
      </w:r>
    </w:p>
    <w:p w14:paraId="7D266295" w14:textId="77777777" w:rsidR="00794731" w:rsidRPr="00A608EE" w:rsidRDefault="00794731" w:rsidP="00EE208A">
      <w:pPr>
        <w:pStyle w:val="NormalWeb"/>
        <w:spacing w:before="0" w:beforeAutospacing="0" w:after="0" w:afterAutospacing="0"/>
        <w:jc w:val="both"/>
        <w:rPr>
          <w:rFonts w:asciiTheme="majorHAnsi" w:hAnsiTheme="majorHAnsi"/>
          <w:sz w:val="20"/>
          <w:szCs w:val="20"/>
        </w:rPr>
      </w:pPr>
    </w:p>
    <w:p w14:paraId="7EE13FA1" w14:textId="0EEC0D04" w:rsidR="00CA6A1B" w:rsidRPr="00A608EE" w:rsidRDefault="00CA6A1B" w:rsidP="00EE208A">
      <w:pPr>
        <w:tabs>
          <w:tab w:val="left" w:pos="1134"/>
        </w:tabs>
        <w:jc w:val="both"/>
        <w:rPr>
          <w:rFonts w:asciiTheme="majorHAnsi" w:hAnsiTheme="majorHAnsi"/>
          <w:b/>
          <w:bCs/>
          <w:sz w:val="20"/>
          <w:szCs w:val="20"/>
        </w:rPr>
      </w:pPr>
      <w:r w:rsidRPr="00A608EE">
        <w:rPr>
          <w:rFonts w:asciiTheme="majorHAnsi" w:hAnsiTheme="majorHAnsi"/>
          <w:b/>
          <w:sz w:val="20"/>
          <w:szCs w:val="20"/>
        </w:rPr>
        <w:t>Re</w:t>
      </w:r>
      <w:r w:rsidR="007829E7" w:rsidRPr="00A608EE">
        <w:rPr>
          <w:rFonts w:asciiTheme="majorHAnsi" w:hAnsiTheme="majorHAnsi"/>
          <w:b/>
          <w:sz w:val="20"/>
          <w:szCs w:val="20"/>
        </w:rPr>
        <w:t>s</w:t>
      </w:r>
      <w:r w:rsidR="001810C2" w:rsidRPr="00A608EE">
        <w:rPr>
          <w:rFonts w:asciiTheme="majorHAnsi" w:hAnsiTheme="majorHAnsi"/>
          <w:b/>
          <w:sz w:val="20"/>
          <w:szCs w:val="20"/>
        </w:rPr>
        <w:t>ources for indicator</w:t>
      </w:r>
      <w:r w:rsidR="00CD460C" w:rsidRPr="00A608EE">
        <w:rPr>
          <w:rFonts w:asciiTheme="majorHAnsi" w:hAnsiTheme="majorHAnsi"/>
          <w:b/>
          <w:bCs/>
          <w:sz w:val="20"/>
          <w:szCs w:val="20"/>
        </w:rPr>
        <w:t xml:space="preserve"> 7.C.2.2</w:t>
      </w:r>
    </w:p>
    <w:p w14:paraId="22C706A9" w14:textId="77777777" w:rsidR="00576E2B" w:rsidRPr="00A608EE" w:rsidRDefault="00576E2B" w:rsidP="00A27AAA">
      <w:pPr>
        <w:pStyle w:val="NormalWeb"/>
        <w:numPr>
          <w:ilvl w:val="0"/>
          <w:numId w:val="57"/>
        </w:numPr>
        <w:spacing w:before="0" w:beforeAutospacing="0" w:after="0" w:afterAutospacing="0"/>
        <w:jc w:val="both"/>
        <w:rPr>
          <w:rFonts w:asciiTheme="majorHAnsi" w:hAnsiTheme="majorHAnsi"/>
          <w:sz w:val="20"/>
          <w:szCs w:val="20"/>
        </w:rPr>
      </w:pPr>
      <w:hyperlink r:id="rId330">
        <w:r w:rsidRPr="00A608EE">
          <w:rPr>
            <w:rStyle w:val="Hyperlink"/>
            <w:rFonts w:asciiTheme="majorHAnsi" w:hAnsiTheme="majorHAnsi"/>
            <w:sz w:val="20"/>
            <w:szCs w:val="20"/>
          </w:rPr>
          <w:t>VIDEO - Kompanion's Credit for Conservation</w:t>
        </w:r>
      </w:hyperlink>
    </w:p>
    <w:p w14:paraId="1D5975C0" w14:textId="77777777" w:rsidR="00373807" w:rsidRPr="00A608EE" w:rsidRDefault="00373807" w:rsidP="00373807">
      <w:pPr>
        <w:pStyle w:val="NormalWeb"/>
        <w:spacing w:before="0" w:beforeAutospacing="0" w:after="0" w:afterAutospacing="0"/>
        <w:jc w:val="both"/>
      </w:pPr>
    </w:p>
    <w:p w14:paraId="527C322B" w14:textId="77777777" w:rsidR="00373807" w:rsidRPr="00A608EE" w:rsidRDefault="00373807" w:rsidP="00373807">
      <w:pPr>
        <w:pStyle w:val="NormalWeb"/>
        <w:spacing w:before="0" w:beforeAutospacing="0" w:after="0" w:afterAutospacing="0"/>
        <w:jc w:val="both"/>
        <w:rPr>
          <w:rFonts w:asciiTheme="majorHAnsi" w:hAnsiTheme="majorHAnsi"/>
          <w:sz w:val="20"/>
          <w:szCs w:val="20"/>
        </w:rPr>
      </w:pPr>
    </w:p>
    <w:p w14:paraId="3E690541" w14:textId="77777777" w:rsidR="00170B05" w:rsidRPr="00A608EE" w:rsidRDefault="00170B05" w:rsidP="00373807">
      <w:pPr>
        <w:pStyle w:val="Heading1"/>
        <w:spacing w:before="0" w:line="240" w:lineRule="auto"/>
        <w:jc w:val="both"/>
        <w:rPr>
          <w:rStyle w:val="normaltextrun"/>
        </w:rPr>
      </w:pPr>
      <w:r w:rsidRPr="00A608EE">
        <w:rPr>
          <w:rStyle w:val="normaltextrun"/>
        </w:rPr>
        <w:br w:type="page"/>
      </w:r>
    </w:p>
    <w:p w14:paraId="476A1C65" w14:textId="3983FE34" w:rsidR="00373807" w:rsidRPr="00A608EE" w:rsidRDefault="00373807" w:rsidP="00373807">
      <w:pPr>
        <w:pStyle w:val="Heading1"/>
        <w:spacing w:before="0" w:line="240" w:lineRule="auto"/>
        <w:jc w:val="both"/>
        <w:rPr>
          <w:rStyle w:val="normaltextrun"/>
        </w:rPr>
      </w:pPr>
      <w:bookmarkStart w:id="114" w:name="_Toc230938833"/>
      <w:r w:rsidRPr="00A608EE">
        <w:rPr>
          <w:rStyle w:val="normaltextrun"/>
        </w:rPr>
        <w:lastRenderedPageBreak/>
        <w:t>Annex 1: Disability Inclusion Indicators</w:t>
      </w:r>
      <w:bookmarkEnd w:id="114"/>
    </w:p>
    <w:p w14:paraId="45AA42E9" w14:textId="77777777" w:rsidR="00373807" w:rsidRPr="00A608EE" w:rsidRDefault="00373807" w:rsidP="00373807">
      <w:pPr>
        <w:rPr>
          <w:lang w:eastAsia="en-US"/>
        </w:rPr>
      </w:pPr>
    </w:p>
    <w:p w14:paraId="7BBA1917" w14:textId="70026406" w:rsidR="00373807" w:rsidRPr="00A608EE" w:rsidRDefault="00373807" w:rsidP="00373807">
      <w:pPr>
        <w:pStyle w:val="Heading2"/>
        <w:spacing w:before="0" w:line="240" w:lineRule="auto"/>
        <w:jc w:val="both"/>
        <w:rPr>
          <w:rStyle w:val="normaltextrun"/>
        </w:rPr>
      </w:pPr>
      <w:bookmarkStart w:id="115" w:name="_Toc230938834"/>
      <w:r w:rsidRPr="00A608EE">
        <w:rPr>
          <w:rStyle w:val="normaltextrun"/>
        </w:rPr>
        <w:t xml:space="preserve">Disability </w:t>
      </w:r>
      <w:r w:rsidR="0019659D" w:rsidRPr="00A608EE">
        <w:rPr>
          <w:rStyle w:val="normaltextrun"/>
        </w:rPr>
        <w:t>I</w:t>
      </w:r>
      <w:r w:rsidRPr="00A608EE">
        <w:rPr>
          <w:rStyle w:val="normaltextrun"/>
        </w:rPr>
        <w:t xml:space="preserve">nclusion </w:t>
      </w:r>
      <w:r w:rsidR="0019659D" w:rsidRPr="00A608EE">
        <w:rPr>
          <w:rStyle w:val="normaltextrun"/>
        </w:rPr>
        <w:t>I</w:t>
      </w:r>
      <w:r w:rsidRPr="00A608EE">
        <w:rPr>
          <w:rStyle w:val="normaltextrun"/>
        </w:rPr>
        <w:t>ndicators: SPI5 Entry</w:t>
      </w:r>
      <w:bookmarkEnd w:id="115"/>
    </w:p>
    <w:p w14:paraId="5D983814" w14:textId="77777777" w:rsidR="00373807" w:rsidRPr="00A608EE" w:rsidRDefault="00373807" w:rsidP="00373807">
      <w:pPr>
        <w:rPr>
          <w:lang w:eastAsia="en-US"/>
        </w:rPr>
      </w:pPr>
    </w:p>
    <w:tbl>
      <w:tblPr>
        <w:tblStyle w:val="TableGrid1"/>
        <w:tblW w:w="8784" w:type="dxa"/>
        <w:tblLook w:val="04A0" w:firstRow="1" w:lastRow="0" w:firstColumn="1" w:lastColumn="0" w:noHBand="0" w:noVBand="1"/>
        <w:tblCaption w:val="Disability Inclusion Indicators mapped to the USSEPM SPI5 Entry tool"/>
        <w:tblDescription w:val="The table structure shows indicators of disability inclusive practices in the Cerise+SPTF SPI5 Entry tool, mapped to the dimentions, standards, essential practices and indicators of the Universal Standards. .  For the disability inclusion indicators within the framework, the table shows the revelant section or sections in chapter 4 of this guide where information and guidance can be found. "/>
      </w:tblPr>
      <w:tblGrid>
        <w:gridCol w:w="8784"/>
      </w:tblGrid>
      <w:tr w:rsidR="00F258C2" w:rsidRPr="00A608EE" w14:paraId="1970ACB0" w14:textId="77777777" w:rsidTr="00F258C2">
        <w:trPr>
          <w:tblHeader/>
        </w:trPr>
        <w:tc>
          <w:tcPr>
            <w:tcW w:w="8784" w:type="dxa"/>
            <w:shd w:val="clear" w:color="auto" w:fill="7AC1E0"/>
          </w:tcPr>
          <w:p w14:paraId="1B4D737F" w14:textId="2579705F"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Disability inclusion indicators (SPI5 Entry)</w:t>
            </w:r>
          </w:p>
        </w:tc>
      </w:tr>
      <w:tr w:rsidR="00F258C2" w:rsidRPr="00A608EE" w14:paraId="71B7725B" w14:textId="77777777" w:rsidTr="00F258C2">
        <w:tc>
          <w:tcPr>
            <w:tcW w:w="8784" w:type="dxa"/>
            <w:shd w:val="clear" w:color="auto" w:fill="AFD9EC"/>
          </w:tcPr>
          <w:p w14:paraId="129D9F00"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1. Social Strategy</w:t>
            </w:r>
          </w:p>
        </w:tc>
      </w:tr>
      <w:tr w:rsidR="00F258C2" w:rsidRPr="00A608EE" w14:paraId="05ADEEAE" w14:textId="77777777" w:rsidTr="00F258C2">
        <w:tc>
          <w:tcPr>
            <w:tcW w:w="8784" w:type="dxa"/>
            <w:shd w:val="clear" w:color="auto" w:fill="E4F2F8"/>
          </w:tcPr>
          <w:p w14:paraId="25AB02D9"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1A. The provider has a strategy to achieve its social goals</w:t>
            </w:r>
          </w:p>
        </w:tc>
      </w:tr>
      <w:tr w:rsidR="00F258C2" w:rsidRPr="00A608EE" w14:paraId="11781C0A" w14:textId="77777777" w:rsidTr="00F258C2">
        <w:tc>
          <w:tcPr>
            <w:tcW w:w="8784" w:type="dxa"/>
            <w:shd w:val="clear" w:color="auto" w:fill="D9D9D9"/>
          </w:tcPr>
          <w:p w14:paraId="7CAA49B9"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b/>
                <w:bCs/>
                <w:sz w:val="20"/>
                <w:szCs w:val="20"/>
                <w:lang w:eastAsia="en-US"/>
              </w:rPr>
              <w:t>Essential Practice 1.A.1 The strategy specifies the provider's target clients, social goals, and how the provider will achieve those goals</w:t>
            </w:r>
          </w:p>
        </w:tc>
      </w:tr>
      <w:tr w:rsidR="00F258C2" w:rsidRPr="00A608EE" w14:paraId="70A8DDA9" w14:textId="77777777" w:rsidTr="00F258C2">
        <w:tc>
          <w:tcPr>
            <w:tcW w:w="8784" w:type="dxa"/>
          </w:tcPr>
          <w:p w14:paraId="47D86E52"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1.A.1.1 Social strategy and goals specifically mention equitable inclusion of persons with disabilities, either as target clients, or as a subset within its target client groups</w:t>
            </w:r>
          </w:p>
        </w:tc>
      </w:tr>
      <w:tr w:rsidR="00F258C2" w:rsidRPr="00A608EE" w14:paraId="70A67FCD" w14:textId="77777777" w:rsidTr="00F258C2">
        <w:tc>
          <w:tcPr>
            <w:tcW w:w="8784" w:type="dxa"/>
          </w:tcPr>
          <w:p w14:paraId="194C9050"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1.A.1.2 The strategy identifies the benefits that the provider seeks to create for clients with disabilities, and describes how the provider's products and services create positive change for clients, aligned to its social goals.</w:t>
            </w:r>
          </w:p>
        </w:tc>
      </w:tr>
      <w:tr w:rsidR="00F258C2" w:rsidRPr="00A608EE" w14:paraId="7A68253B" w14:textId="77777777" w:rsidTr="00F258C2">
        <w:tc>
          <w:tcPr>
            <w:tcW w:w="8784" w:type="dxa"/>
          </w:tcPr>
          <w:p w14:paraId="3E81DB3A"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1.A.1.4 The provider defines a “do no harm” strategy that articulates how it will mitigate the social risks associated with the exclusion of persons with disabilities, and heightened risks experienced by persons with disabilities connected to the use of financial products and services.  </w:t>
            </w:r>
          </w:p>
        </w:tc>
      </w:tr>
      <w:tr w:rsidR="00F258C2" w:rsidRPr="00A608EE" w14:paraId="29BB85F8" w14:textId="77777777" w:rsidTr="00F258C2">
        <w:tc>
          <w:tcPr>
            <w:tcW w:w="8784" w:type="dxa"/>
            <w:shd w:val="clear" w:color="auto" w:fill="D9D9D9"/>
          </w:tcPr>
          <w:p w14:paraId="086936A8"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1.A.2 The strategy defines indicators and targets to measure the provider's progress toward social goals.</w:t>
            </w:r>
          </w:p>
        </w:tc>
      </w:tr>
      <w:tr w:rsidR="00F258C2" w:rsidRPr="00A608EE" w14:paraId="60B805BB" w14:textId="77777777" w:rsidTr="00F258C2">
        <w:tc>
          <w:tcPr>
            <w:tcW w:w="8784" w:type="dxa"/>
          </w:tcPr>
          <w:p w14:paraId="1A0F3803"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1.A.2.1 The provider has at least one measurable indicator on disability inclusion and at least one measurable output and/or outcome target for its disability inclusion goals.</w:t>
            </w:r>
          </w:p>
        </w:tc>
      </w:tr>
      <w:tr w:rsidR="00F258C2" w:rsidRPr="00A608EE" w14:paraId="7F2E3860" w14:textId="77777777" w:rsidTr="00F258C2">
        <w:tc>
          <w:tcPr>
            <w:tcW w:w="8784" w:type="dxa"/>
            <w:shd w:val="clear" w:color="auto" w:fill="E4F2F8"/>
          </w:tcPr>
          <w:p w14:paraId="0EC0AE01"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1B. The provider collects, analyzes, and reports data that are specific to its social goals.</w:t>
            </w:r>
          </w:p>
        </w:tc>
      </w:tr>
      <w:tr w:rsidR="00F258C2" w:rsidRPr="00A608EE" w14:paraId="7D6038A3" w14:textId="77777777" w:rsidTr="00F258C2">
        <w:tc>
          <w:tcPr>
            <w:tcW w:w="8784" w:type="dxa"/>
            <w:shd w:val="clear" w:color="auto" w:fill="D9D9D9"/>
          </w:tcPr>
          <w:p w14:paraId="2B35C7F7"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1.B.1 The provider collects data on outcomes for clients and their households.</w:t>
            </w:r>
          </w:p>
        </w:tc>
      </w:tr>
      <w:tr w:rsidR="00F258C2" w:rsidRPr="00A608EE" w14:paraId="3A6D81BE" w14:textId="77777777" w:rsidTr="00F258C2">
        <w:tc>
          <w:tcPr>
            <w:tcW w:w="8784" w:type="dxa"/>
          </w:tcPr>
          <w:p w14:paraId="6F69CFC1"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1.B.1.1 Social performance data collection modalities are accessible and enable fair representation and participation of persons with different types of impairments.</w:t>
            </w:r>
          </w:p>
        </w:tc>
      </w:tr>
      <w:tr w:rsidR="00F258C2" w:rsidRPr="00A608EE" w14:paraId="1A0985BA" w14:textId="77777777" w:rsidTr="00F258C2">
        <w:tc>
          <w:tcPr>
            <w:tcW w:w="8784" w:type="dxa"/>
          </w:tcPr>
          <w:p w14:paraId="16173470"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1.B.1.2 Employees in relevant positions receive specific training on social performance data collection and entry, including accessibility and inclusion, inclusive data collection, and inclusive interaction and communication with persons with disabilities.</w:t>
            </w:r>
          </w:p>
        </w:tc>
      </w:tr>
      <w:tr w:rsidR="00F258C2" w:rsidRPr="00A608EE" w14:paraId="3D8D81E5" w14:textId="77777777" w:rsidTr="00F258C2">
        <w:tc>
          <w:tcPr>
            <w:tcW w:w="8784" w:type="dxa"/>
          </w:tcPr>
          <w:p w14:paraId="7A5BEF48"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1.B.1.3 The provider collects data on an ongoing basis to measure whether it is achieving its social goals, including data on clients' disability status (preferably using a methodology aligned to the Washington Group Short Set questions).</w:t>
            </w:r>
          </w:p>
        </w:tc>
      </w:tr>
      <w:tr w:rsidR="00F258C2" w:rsidRPr="00A608EE" w14:paraId="17FA1828" w14:textId="77777777" w:rsidTr="00F258C2">
        <w:tc>
          <w:tcPr>
            <w:tcW w:w="8784" w:type="dxa"/>
            <w:shd w:val="clear" w:color="auto" w:fill="D9D9D9"/>
          </w:tcPr>
          <w:p w14:paraId="78BD0E3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1.B.3 The provider reports social performance data internally and externally</w:t>
            </w:r>
          </w:p>
        </w:tc>
      </w:tr>
      <w:tr w:rsidR="00F258C2" w:rsidRPr="00A608EE" w14:paraId="702645EC" w14:textId="77777777" w:rsidTr="00F258C2">
        <w:tc>
          <w:tcPr>
            <w:tcW w:w="8784" w:type="dxa"/>
          </w:tcPr>
          <w:p w14:paraId="707D8474"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sz w:val="20"/>
                <w:szCs w:val="20"/>
                <w:lang w:eastAsia="en-US"/>
              </w:rPr>
              <w:t xml:space="preserve">1.B.3.1 The provider's social audits cover assessment of measures to prevent discrimination or exclusion of persons with disabilities and ensure accessibility, as well as practices related to any specific social goals the provider has identified related to disability inclusion. </w:t>
            </w:r>
          </w:p>
        </w:tc>
      </w:tr>
      <w:tr w:rsidR="00F258C2" w:rsidRPr="00A608EE" w14:paraId="0300E2C7" w14:textId="77777777" w:rsidTr="00F258C2">
        <w:tc>
          <w:tcPr>
            <w:tcW w:w="8784" w:type="dxa"/>
          </w:tcPr>
          <w:p w14:paraId="07555517"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sz w:val="20"/>
                <w:szCs w:val="20"/>
                <w:lang w:eastAsia="en-US"/>
              </w:rPr>
              <w:t>1.B.3.2 The provider reports on disability inclusion within its published social performance reporting</w:t>
            </w:r>
          </w:p>
        </w:tc>
      </w:tr>
      <w:tr w:rsidR="00F258C2" w:rsidRPr="00A608EE" w14:paraId="140A57FF" w14:textId="77777777" w:rsidTr="00F258C2">
        <w:tc>
          <w:tcPr>
            <w:tcW w:w="8784" w:type="dxa"/>
            <w:shd w:val="clear" w:color="auto" w:fill="AFD9EC"/>
          </w:tcPr>
          <w:p w14:paraId="5408A443"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Dimension 2. Committed Leadership</w:t>
            </w:r>
          </w:p>
        </w:tc>
      </w:tr>
      <w:tr w:rsidR="00F258C2" w:rsidRPr="00A608EE" w14:paraId="080E672C" w14:textId="77777777" w:rsidTr="00F258C2">
        <w:tc>
          <w:tcPr>
            <w:tcW w:w="8784" w:type="dxa"/>
            <w:shd w:val="clear" w:color="auto" w:fill="E4F2F8"/>
          </w:tcPr>
          <w:p w14:paraId="6BDE86E9"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2A. Members of the board of directors hold management accountable for achieving the provider’s social goals.</w:t>
            </w:r>
          </w:p>
        </w:tc>
      </w:tr>
      <w:tr w:rsidR="00F258C2" w:rsidRPr="00A608EE" w14:paraId="4B036303" w14:textId="77777777" w:rsidTr="00F258C2">
        <w:tc>
          <w:tcPr>
            <w:tcW w:w="8784" w:type="dxa"/>
            <w:shd w:val="clear" w:color="auto" w:fill="D9D9D9"/>
          </w:tcPr>
          <w:p w14:paraId="2B98C1C7"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2.A.1 Board composition reflects the provider’s social strategy and sound governance practices.</w:t>
            </w:r>
          </w:p>
        </w:tc>
      </w:tr>
      <w:tr w:rsidR="00F258C2" w:rsidRPr="00A608EE" w14:paraId="75048E79" w14:textId="77777777" w:rsidTr="00F258C2">
        <w:tc>
          <w:tcPr>
            <w:tcW w:w="8784" w:type="dxa"/>
          </w:tcPr>
          <w:p w14:paraId="5BFA4A8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2.A.1.2 At least one active board member has experience with disability inclusion from partnering with OPDs. Alternatively, the provider may partner with OPDs or other specialized organisations to ensure appropriate consultation and technical expertise.</w:t>
            </w:r>
          </w:p>
        </w:tc>
      </w:tr>
      <w:tr w:rsidR="00F258C2" w:rsidRPr="00A608EE" w14:paraId="711AECEC" w14:textId="77777777" w:rsidTr="00F258C2">
        <w:tc>
          <w:tcPr>
            <w:tcW w:w="8784" w:type="dxa"/>
            <w:shd w:val="clear" w:color="auto" w:fill="D9D9D9"/>
          </w:tcPr>
          <w:p w14:paraId="4ADAA02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2.A.2 The provider trains board members on their social performance management responsibilities.</w:t>
            </w:r>
          </w:p>
        </w:tc>
      </w:tr>
      <w:tr w:rsidR="00F258C2" w:rsidRPr="00A608EE" w14:paraId="64C4A423" w14:textId="77777777" w:rsidTr="00F258C2">
        <w:tc>
          <w:tcPr>
            <w:tcW w:w="8784" w:type="dxa"/>
          </w:tcPr>
          <w:p w14:paraId="31000568"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2.A.2.1 Training for board members on social performance management responsibilities includes specific training on disability rights and inclusion related to the provider's social goals, including compliance with the UNCRPD and local legislation and regulation.</w:t>
            </w:r>
          </w:p>
        </w:tc>
      </w:tr>
      <w:tr w:rsidR="00F258C2" w:rsidRPr="00A608EE" w14:paraId="67CD7332" w14:textId="77777777" w:rsidTr="00F258C2">
        <w:tc>
          <w:tcPr>
            <w:tcW w:w="8784" w:type="dxa"/>
            <w:shd w:val="clear" w:color="auto" w:fill="D9D9D9"/>
          </w:tcPr>
          <w:p w14:paraId="66D9CF9E"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2.A.3 The board makes strategic decisions based on social and financial data.</w:t>
            </w:r>
          </w:p>
        </w:tc>
      </w:tr>
      <w:tr w:rsidR="00F258C2" w:rsidRPr="00A608EE" w14:paraId="33B906CF" w14:textId="77777777" w:rsidTr="00F258C2">
        <w:tc>
          <w:tcPr>
            <w:tcW w:w="8784" w:type="dxa"/>
          </w:tcPr>
          <w:p w14:paraId="4FC9294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2.A.3.2 The data used by the board to monitor the providers' social strategy should include applicable disability-related data, for instance:</w:t>
            </w:r>
          </w:p>
          <w:p w14:paraId="73410951"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-Outcomes data for clients with disabilities</w:t>
            </w:r>
          </w:p>
          <w:p w14:paraId="210F4CAF"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-Social audit data related to measures to prevent discrimination or exclusion of persons with disabilities and ensure accessibility</w:t>
            </w:r>
          </w:p>
        </w:tc>
      </w:tr>
      <w:tr w:rsidR="00F258C2" w:rsidRPr="00A608EE" w14:paraId="034FFD9C" w14:textId="77777777" w:rsidTr="00F258C2">
        <w:tc>
          <w:tcPr>
            <w:tcW w:w="8784" w:type="dxa"/>
          </w:tcPr>
          <w:p w14:paraId="5C4706E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2.A.3.3 The board uses the following data, provided by management, to monitor decent working conditions for employees (with the listed minimum frequency):</w:t>
            </w:r>
          </w:p>
          <w:p w14:paraId="2BE054E9"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-Employee turnover rate, by gender and disability status. Minimum frequency: annually.</w:t>
            </w:r>
          </w:p>
          <w:p w14:paraId="582640B1"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-Analysis of employee satisfaction surveys, disaggregated by gender and disability status. Minimum frequency: every two years.</w:t>
            </w:r>
          </w:p>
        </w:tc>
      </w:tr>
      <w:tr w:rsidR="00F258C2" w:rsidRPr="00A608EE" w14:paraId="6CC50888" w14:textId="77777777" w:rsidTr="00F258C2">
        <w:tc>
          <w:tcPr>
            <w:tcW w:w="8784" w:type="dxa"/>
            <w:shd w:val="clear" w:color="auto" w:fill="E4F2F8"/>
          </w:tcPr>
          <w:p w14:paraId="2EC0F0F0"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2B. Senior management is responsible for implementing the provider’s strategy for achieving its social goals.</w:t>
            </w:r>
          </w:p>
        </w:tc>
      </w:tr>
      <w:tr w:rsidR="00F258C2" w:rsidRPr="00A608EE" w14:paraId="7129CDAE" w14:textId="77777777" w:rsidTr="00F258C2">
        <w:tc>
          <w:tcPr>
            <w:tcW w:w="8784" w:type="dxa"/>
            <w:shd w:val="clear" w:color="auto" w:fill="D9D9D9"/>
          </w:tcPr>
          <w:p w14:paraId="5DE54496"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2.B.1 The provider includes social goals in its operational plan and the CEO/Managing Director holds senior managers accountable for achieving social targets.</w:t>
            </w:r>
          </w:p>
        </w:tc>
      </w:tr>
      <w:tr w:rsidR="00F258C2" w:rsidRPr="00A608EE" w14:paraId="5DF707A4" w14:textId="77777777" w:rsidTr="00F258C2">
        <w:tc>
          <w:tcPr>
            <w:tcW w:w="8784" w:type="dxa"/>
          </w:tcPr>
          <w:p w14:paraId="6BC48E0F"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2.B.1.1 The provider integrates targets and actions to ensure inclusion of persons with disabilities within its business or operational plan, as a target segment and / or as sub-segments within target segments, aligned to its social goals and targets</w:t>
            </w:r>
          </w:p>
        </w:tc>
      </w:tr>
    </w:tbl>
    <w:p w14:paraId="5D704CA4" w14:textId="77777777" w:rsidR="00F258C2" w:rsidRPr="00A608EE" w:rsidRDefault="00F258C2">
      <w:r w:rsidRPr="00A608EE">
        <w:br w:type="page"/>
      </w:r>
    </w:p>
    <w:tbl>
      <w:tblPr>
        <w:tblStyle w:val="TableGrid1"/>
        <w:tblW w:w="8784" w:type="dxa"/>
        <w:tblLook w:val="04A0" w:firstRow="1" w:lastRow="0" w:firstColumn="1" w:lastColumn="0" w:noHBand="0" w:noVBand="1"/>
        <w:tblCaption w:val="Disability Inclusion Indicators mapped to the USSEPM SPI5 Entry tool"/>
        <w:tblDescription w:val="The table structure shows indicators of disability inclusive practices in the Cerise+SPTF SPI5 Entry tool, mapped to the dimentions, standards, essential practices and indicators of the Universal Standards. .  For the disability inclusion indicators within the framework, the table shows the revelant section or sections in chapter 4 of this guide where information and guidance can be found. "/>
      </w:tblPr>
      <w:tblGrid>
        <w:gridCol w:w="8784"/>
      </w:tblGrid>
      <w:tr w:rsidR="00F258C2" w:rsidRPr="00A608EE" w14:paraId="04791C8C" w14:textId="77777777" w:rsidTr="00F258C2">
        <w:tc>
          <w:tcPr>
            <w:tcW w:w="8784" w:type="dxa"/>
            <w:shd w:val="clear" w:color="auto" w:fill="D9D9D9"/>
          </w:tcPr>
          <w:p w14:paraId="68ECF7F7" w14:textId="68F36B82"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Essential Practice 2.B.2 Management makes strategic and operational decisions based on social and financial data.</w:t>
            </w:r>
          </w:p>
        </w:tc>
      </w:tr>
      <w:tr w:rsidR="00F258C2" w:rsidRPr="00A608EE" w14:paraId="2C2B85A5" w14:textId="77777777" w:rsidTr="00F258C2">
        <w:tc>
          <w:tcPr>
            <w:tcW w:w="8784" w:type="dxa"/>
          </w:tcPr>
          <w:p w14:paraId="3548CC79"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2.B.2.1 Senior management analyzes the following data and assesses risks (Minimum frequency: annually)</w:t>
            </w:r>
          </w:p>
          <w:p w14:paraId="44D91ED7"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Analysis of client protection risks and client outcomes should take into account specific vulnerabilities of clients with disabilities, and disability inclusion.</w:t>
            </w:r>
          </w:p>
          <w:p w14:paraId="5880F2A0"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-Analysis of decent work conditions (health and safety, compensation and benefits, working conditions, accessibility and reasonable accommodations when required)</w:t>
            </w:r>
          </w:p>
        </w:tc>
      </w:tr>
      <w:tr w:rsidR="00F258C2" w:rsidRPr="00A608EE" w14:paraId="66F6A9AF" w14:textId="77777777" w:rsidTr="00F258C2">
        <w:tc>
          <w:tcPr>
            <w:tcW w:w="8784" w:type="dxa"/>
            <w:shd w:val="clear" w:color="auto" w:fill="AFD9EC"/>
          </w:tcPr>
          <w:p w14:paraId="1CB2E4E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3. Client-centered Products and Services</w:t>
            </w:r>
          </w:p>
        </w:tc>
      </w:tr>
      <w:tr w:rsidR="00F258C2" w:rsidRPr="00A608EE" w14:paraId="27B927FA" w14:textId="77777777" w:rsidTr="00F258C2">
        <w:tc>
          <w:tcPr>
            <w:tcW w:w="8784" w:type="dxa"/>
            <w:shd w:val="clear" w:color="auto" w:fill="E4F2F8"/>
          </w:tcPr>
          <w:p w14:paraId="1FD893EA"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3A. The provider collects and analyzes data to understand clients' needs.</w:t>
            </w:r>
          </w:p>
        </w:tc>
      </w:tr>
      <w:tr w:rsidR="00F258C2" w:rsidRPr="00A608EE" w14:paraId="5DD731CD" w14:textId="77777777" w:rsidTr="00F258C2">
        <w:tc>
          <w:tcPr>
            <w:tcW w:w="8784" w:type="dxa"/>
            <w:shd w:val="clear" w:color="auto" w:fill="D9D9D9"/>
          </w:tcPr>
          <w:p w14:paraId="053F6017"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3.A.1 The provider conducts market research and pilot testing.</w:t>
            </w:r>
          </w:p>
        </w:tc>
      </w:tr>
      <w:tr w:rsidR="00F258C2" w:rsidRPr="00A608EE" w14:paraId="72A628D1" w14:textId="77777777" w:rsidTr="00F258C2">
        <w:tc>
          <w:tcPr>
            <w:tcW w:w="8784" w:type="dxa"/>
          </w:tcPr>
          <w:p w14:paraId="239E635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3.A.1.1 Before introducing new products, services, or delivery channels, the provider conducts market research that includes gathering the following data about its target clients: </w:t>
            </w:r>
          </w:p>
          <w:p w14:paraId="0E568AC1"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-Analysis of market share, market saturation, and potential market</w:t>
            </w:r>
          </w:p>
          <w:p w14:paraId="2915C8C9"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-Client profile data, including gender, age, disability status, location (urban/rural), and poverty/income level</w:t>
            </w:r>
          </w:p>
          <w:p w14:paraId="43C4831D"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-Data on clients’ needs, goals, and any obstacles to using financial services</w:t>
            </w:r>
          </w:p>
          <w:p w14:paraId="64E6BCEF"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-Accessibility analysis of the new products, services, or delivery channels.</w:t>
            </w:r>
          </w:p>
          <w:p w14:paraId="02EB0F0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In addition, the provider includes persons with different socioeconomic and demographic characteristics, including persons with different types of impairments (physical, mental, intellectual or sensory impairments), in the design and pilot testing of new products or significant product changes, and seeks feedback on both appropriateness and accessibility.</w:t>
            </w:r>
          </w:p>
        </w:tc>
      </w:tr>
      <w:tr w:rsidR="00F258C2" w:rsidRPr="00A608EE" w14:paraId="17D7157E" w14:textId="77777777" w:rsidTr="00F258C2">
        <w:tc>
          <w:tcPr>
            <w:tcW w:w="8784" w:type="dxa"/>
            <w:shd w:val="clear" w:color="auto" w:fill="D9D9D9"/>
          </w:tcPr>
          <w:p w14:paraId="6B78C5D2"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3.A.2 The provider uses data to identify patterns of financial behavior by client segment.</w:t>
            </w:r>
          </w:p>
        </w:tc>
      </w:tr>
      <w:tr w:rsidR="00F258C2" w:rsidRPr="00A608EE" w14:paraId="1EE79E1D" w14:textId="77777777" w:rsidTr="00F258C2">
        <w:tc>
          <w:tcPr>
            <w:tcW w:w="8784" w:type="dxa"/>
          </w:tcPr>
          <w:p w14:paraId="31603F2B"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3.A.2.1 The provider analyzes transactional data (PAR, average loan size, loan repayments, savings deposits and withdrawals by demographic and socioeconomic segments of its clients, including gender, age and disability status</w:t>
            </w:r>
          </w:p>
        </w:tc>
      </w:tr>
      <w:tr w:rsidR="00F258C2" w:rsidRPr="00A608EE" w14:paraId="024E4820" w14:textId="77777777" w:rsidTr="00F258C2">
        <w:tc>
          <w:tcPr>
            <w:tcW w:w="8784" w:type="dxa"/>
          </w:tcPr>
          <w:p w14:paraId="36A992FB"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3.A.2.2 The provider analyzes product and service use (types and frequency) by persons with disabilities within its client base</w:t>
            </w:r>
          </w:p>
        </w:tc>
      </w:tr>
      <w:tr w:rsidR="00F258C2" w:rsidRPr="00A608EE" w14:paraId="18C1CB9F" w14:textId="77777777" w:rsidTr="00F258C2">
        <w:tc>
          <w:tcPr>
            <w:tcW w:w="8784" w:type="dxa"/>
            <w:shd w:val="clear" w:color="auto" w:fill="D9D9D9"/>
          </w:tcPr>
          <w:p w14:paraId="1031A6E1"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3.A.3 Collect client feedback on their experiences using products and services.</w:t>
            </w:r>
          </w:p>
        </w:tc>
      </w:tr>
      <w:tr w:rsidR="00F258C2" w:rsidRPr="00A608EE" w14:paraId="1B08259C" w14:textId="77777777" w:rsidTr="00F258C2">
        <w:tc>
          <w:tcPr>
            <w:tcW w:w="8784" w:type="dxa"/>
          </w:tcPr>
          <w:p w14:paraId="5DAD56C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3.A.3.1 The provider conducts client satisfaction surveys with clients with disabilities using accessible channels. Minimum frequency: every other year.</w:t>
            </w:r>
          </w:p>
        </w:tc>
      </w:tr>
      <w:tr w:rsidR="00F258C2" w:rsidRPr="00A608EE" w14:paraId="111889CE" w14:textId="77777777" w:rsidTr="00F258C2">
        <w:tc>
          <w:tcPr>
            <w:tcW w:w="8784" w:type="dxa"/>
          </w:tcPr>
          <w:p w14:paraId="22977F9B"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3.A.3.2 The provider conducts interviews with dormant and/or exiting clients with disabilities to look for evidence of product design failures.</w:t>
            </w:r>
          </w:p>
        </w:tc>
      </w:tr>
    </w:tbl>
    <w:p w14:paraId="0144A75D" w14:textId="77777777" w:rsidR="00F258C2" w:rsidRPr="00A608EE" w:rsidRDefault="00F258C2">
      <w:r w:rsidRPr="00A608EE">
        <w:br w:type="page"/>
      </w:r>
    </w:p>
    <w:tbl>
      <w:tblPr>
        <w:tblStyle w:val="TableGrid1"/>
        <w:tblW w:w="8784" w:type="dxa"/>
        <w:tblLook w:val="04A0" w:firstRow="1" w:lastRow="0" w:firstColumn="1" w:lastColumn="0" w:noHBand="0" w:noVBand="1"/>
        <w:tblCaption w:val="Disability Inclusion Indicators mapped to the USSEPM SPI5 Entry tool"/>
        <w:tblDescription w:val="The table structure shows indicators of disability inclusive practices in the Cerise+SPTF SPI5 Entry tool, mapped to the dimentions, standards, essential practices and indicators of the Universal Standards. .  For the disability inclusion indicators within the framework, the table shows the revelant section or sections in chapter 4 of this guide where information and guidance can be found. "/>
      </w:tblPr>
      <w:tblGrid>
        <w:gridCol w:w="8784"/>
      </w:tblGrid>
      <w:tr w:rsidR="00F258C2" w:rsidRPr="00A608EE" w14:paraId="61AECA2E" w14:textId="77777777" w:rsidTr="00F258C2">
        <w:tc>
          <w:tcPr>
            <w:tcW w:w="8784" w:type="dxa"/>
            <w:shd w:val="clear" w:color="auto" w:fill="E4F2F8"/>
          </w:tcPr>
          <w:p w14:paraId="756B5656" w14:textId="3839176E"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Standard 3B. The provider’s products, services, and channels benefit clients.</w:t>
            </w:r>
          </w:p>
        </w:tc>
      </w:tr>
      <w:tr w:rsidR="00F258C2" w:rsidRPr="00A608EE" w14:paraId="6455747C" w14:textId="77777777" w:rsidTr="00F258C2">
        <w:tc>
          <w:tcPr>
            <w:tcW w:w="8784" w:type="dxa"/>
            <w:shd w:val="clear" w:color="auto" w:fill="D9D9D9"/>
          </w:tcPr>
          <w:p w14:paraId="098F3D67"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3.B.1 The provider uses insights from client data to design products, services, and delivery channels.</w:t>
            </w:r>
          </w:p>
        </w:tc>
      </w:tr>
      <w:tr w:rsidR="00F258C2" w:rsidRPr="00A608EE" w14:paraId="21654286" w14:textId="77777777" w:rsidTr="00F258C2">
        <w:tc>
          <w:tcPr>
            <w:tcW w:w="8784" w:type="dxa"/>
          </w:tcPr>
          <w:p w14:paraId="3D62A46B"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3.B.1.1 The provider designs new products, services (financial and non-financial), and delivery channels using insights from market and pilot studies, including disability-inclusive research, client feedback mechanisms, and client outcomes data, including for clients with disabilities. The provider also dedicates resources (funds and employee time) to ensure accessibility and continuous improvement of these products, services, and delivery channels.</w:t>
            </w:r>
          </w:p>
        </w:tc>
      </w:tr>
      <w:tr w:rsidR="00F258C2" w:rsidRPr="00A608EE" w14:paraId="3C3FCD44" w14:textId="77777777" w:rsidTr="00F258C2">
        <w:tc>
          <w:tcPr>
            <w:tcW w:w="8784" w:type="dxa"/>
          </w:tcPr>
          <w:p w14:paraId="44B5C17B"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3.B.1.2 The provider modifies its existing products and services in response to the needs, feedback, and outcomes of persons with different types of impairments, where required. (e.g. specific requirements of persons with disabilities for emergency loans, insurances; financing assistive devices etc.). The provider also dedicates resources (funds and employee time) to ongoing improvements in accessibility of products, services, and delivery channels.</w:t>
            </w:r>
          </w:p>
        </w:tc>
      </w:tr>
      <w:tr w:rsidR="00F258C2" w:rsidRPr="00A608EE" w14:paraId="07CDBA08" w14:textId="77777777" w:rsidTr="00F258C2">
        <w:tc>
          <w:tcPr>
            <w:tcW w:w="8784" w:type="dxa"/>
            <w:shd w:val="clear" w:color="auto" w:fill="D9D9D9"/>
          </w:tcPr>
          <w:p w14:paraId="76B2748E"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3.B.2 The provider removes barriers that prevent access to financial products and services.</w:t>
            </w:r>
          </w:p>
        </w:tc>
      </w:tr>
      <w:tr w:rsidR="00F258C2" w:rsidRPr="00A608EE" w14:paraId="7CA489AD" w14:textId="77777777" w:rsidTr="00F258C2">
        <w:tc>
          <w:tcPr>
            <w:tcW w:w="8784" w:type="dxa"/>
          </w:tcPr>
          <w:p w14:paraId="7A667C80"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3.B.2.2 The provider offers delivery channels (physical and digital) that are accessible for persons with different types of impairments (physical, mental, intellectual or sensory impairments). </w:t>
            </w:r>
          </w:p>
        </w:tc>
      </w:tr>
      <w:tr w:rsidR="00F258C2" w:rsidRPr="00A608EE" w14:paraId="109FE79A" w14:textId="77777777" w:rsidTr="00F258C2">
        <w:tc>
          <w:tcPr>
            <w:tcW w:w="8784" w:type="dxa"/>
            <w:shd w:val="clear" w:color="auto" w:fill="D9D9D9"/>
          </w:tcPr>
          <w:p w14:paraId="4F42B51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3.B.4 The provider's products and services help clients reduce their vulnerability to shock and smooth consumption.</w:t>
            </w:r>
          </w:p>
        </w:tc>
      </w:tr>
      <w:tr w:rsidR="00F258C2" w:rsidRPr="00A608EE" w14:paraId="105D7D53" w14:textId="77777777" w:rsidTr="00F258C2">
        <w:tc>
          <w:tcPr>
            <w:tcW w:w="8784" w:type="dxa"/>
          </w:tcPr>
          <w:p w14:paraId="6184B62A"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3.B.4.1 The provider offers products and services for basic needs, such as housing, energy, and education, that: are accessible and available to persons with disabilities on an equal basis with others; do not exclude or discriminate against persons with disabilities; and are responsive to their needs.</w:t>
            </w:r>
          </w:p>
        </w:tc>
      </w:tr>
      <w:tr w:rsidR="00F258C2" w:rsidRPr="00A608EE" w14:paraId="0CB1ED3A" w14:textId="77777777" w:rsidTr="00F258C2">
        <w:tc>
          <w:tcPr>
            <w:tcW w:w="8784" w:type="dxa"/>
          </w:tcPr>
          <w:p w14:paraId="6D9D844F"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3.B.4.2 The provider offers products and services that help clients maintain stable levels of expenditure despite income fluctuations that: are accessible and available to persons with disabilities on an equal basis with others; do not exclude or discriminate against persons with disabilities; and are responsive to their needs.</w:t>
            </w:r>
          </w:p>
        </w:tc>
      </w:tr>
      <w:tr w:rsidR="00F258C2" w:rsidRPr="00A608EE" w14:paraId="52F54E76" w14:textId="77777777" w:rsidTr="00F258C2">
        <w:tc>
          <w:tcPr>
            <w:tcW w:w="8784" w:type="dxa"/>
            <w:shd w:val="clear" w:color="auto" w:fill="D9D9D9"/>
          </w:tcPr>
          <w:p w14:paraId="20E66F63"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3.B.5 The provider's products and services help clients achieve their goals.</w:t>
            </w:r>
          </w:p>
        </w:tc>
      </w:tr>
      <w:tr w:rsidR="00F258C2" w:rsidRPr="00A608EE" w14:paraId="7506E34B" w14:textId="77777777" w:rsidTr="00F258C2">
        <w:tc>
          <w:tcPr>
            <w:tcW w:w="8784" w:type="dxa"/>
          </w:tcPr>
          <w:p w14:paraId="27CFD903"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3.B.5.2 The provider offers products/services such as business loans for start-up, working capital, and investment. that enable clients to invest in economic opportunities, that: are accessible and available to persons with disabilities on an equal basis with others; do not exclude or discriminate against persons with disabilities; and are responsive to their needs.</w:t>
            </w:r>
          </w:p>
        </w:tc>
      </w:tr>
      <w:tr w:rsidR="00F258C2" w:rsidRPr="00A608EE" w14:paraId="4A80E748" w14:textId="77777777" w:rsidTr="00F258C2">
        <w:tc>
          <w:tcPr>
            <w:tcW w:w="8784" w:type="dxa"/>
          </w:tcPr>
          <w:p w14:paraId="244A9B93"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3.B.5.3 The provider offers products/services for major life events such as weddings, maternity care/child birth, housing, higher education, and funerals, that: are accessible and available to persons with disabilities on an equal basis with others; do not exclude or discriminate against persons with disabilities; and are responsive to their needs.</w:t>
            </w:r>
          </w:p>
        </w:tc>
      </w:tr>
    </w:tbl>
    <w:p w14:paraId="2E95989C" w14:textId="77777777" w:rsidR="00F258C2" w:rsidRPr="00A608EE" w:rsidRDefault="00F258C2">
      <w:r w:rsidRPr="00A608EE">
        <w:br w:type="page"/>
      </w:r>
    </w:p>
    <w:tbl>
      <w:tblPr>
        <w:tblStyle w:val="TableGrid1"/>
        <w:tblW w:w="8784" w:type="dxa"/>
        <w:tblLook w:val="04A0" w:firstRow="1" w:lastRow="0" w:firstColumn="1" w:lastColumn="0" w:noHBand="0" w:noVBand="1"/>
        <w:tblCaption w:val="Disability Inclusion Indicators mapped to the USSEPM SPI5 Entry tool"/>
        <w:tblDescription w:val="The table structure shows indicators of disability inclusive practices in the Cerise+SPTF SPI5 Entry tool, mapped to the dimentions, standards, essential practices and indicators of the Universal Standards. .  For the disability inclusion indicators within the framework, the table shows the revelant section or sections in chapter 4 of this guide where information and guidance can be found. "/>
      </w:tblPr>
      <w:tblGrid>
        <w:gridCol w:w="8784"/>
      </w:tblGrid>
      <w:tr w:rsidR="00F258C2" w:rsidRPr="00A608EE" w14:paraId="2900F586" w14:textId="77777777" w:rsidTr="00F258C2">
        <w:tc>
          <w:tcPr>
            <w:tcW w:w="8784" w:type="dxa"/>
            <w:shd w:val="clear" w:color="auto" w:fill="AFD9EC"/>
          </w:tcPr>
          <w:p w14:paraId="4E3589E6" w14:textId="41D54A71"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Dimension 4. Client Protection</w:t>
            </w:r>
          </w:p>
        </w:tc>
      </w:tr>
      <w:tr w:rsidR="00F258C2" w:rsidRPr="00A608EE" w14:paraId="3D633F55" w14:textId="77777777" w:rsidTr="00F258C2">
        <w:tc>
          <w:tcPr>
            <w:tcW w:w="8784" w:type="dxa"/>
            <w:shd w:val="clear" w:color="auto" w:fill="E4F2F8"/>
          </w:tcPr>
          <w:p w14:paraId="24D7F0D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4A. The provider does not overindebt clients.</w:t>
            </w:r>
          </w:p>
        </w:tc>
      </w:tr>
      <w:tr w:rsidR="00F258C2" w:rsidRPr="00A608EE" w14:paraId="35C11373" w14:textId="77777777" w:rsidTr="00F258C2">
        <w:tc>
          <w:tcPr>
            <w:tcW w:w="8784" w:type="dxa"/>
            <w:shd w:val="clear" w:color="auto" w:fill="D9D9D9"/>
          </w:tcPr>
          <w:p w14:paraId="238174DA"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4.A.1 The provider makes loan decisions based on a client's repayment capacity.</w:t>
            </w:r>
          </w:p>
        </w:tc>
      </w:tr>
      <w:tr w:rsidR="00F258C2" w:rsidRPr="00A608EE" w14:paraId="62B5C76E" w14:textId="77777777" w:rsidTr="00F258C2">
        <w:tc>
          <w:tcPr>
            <w:tcW w:w="8784" w:type="dxa"/>
          </w:tcPr>
          <w:p w14:paraId="4B13FF04"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4.A.1.1 The provider’s loan approval policies prohibit discrimination against persons with disabilities, and do not include requirements or eligibility criteria that directly or indirectly discriminate against or exclude persons with disabilities.</w:t>
            </w:r>
          </w:p>
        </w:tc>
      </w:tr>
      <w:tr w:rsidR="00F258C2" w:rsidRPr="00A608EE" w14:paraId="6A8D385B" w14:textId="77777777" w:rsidTr="00F258C2">
        <w:tc>
          <w:tcPr>
            <w:tcW w:w="8784" w:type="dxa"/>
            <w:shd w:val="clear" w:color="auto" w:fill="E4F2F8"/>
          </w:tcPr>
          <w:p w14:paraId="72B0A12C"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4B. The provider gives clients clear and timely information to support client decision making.</w:t>
            </w:r>
          </w:p>
        </w:tc>
      </w:tr>
      <w:tr w:rsidR="00F258C2" w:rsidRPr="00A608EE" w14:paraId="74DF676A" w14:textId="77777777" w:rsidTr="00F258C2">
        <w:tc>
          <w:tcPr>
            <w:tcW w:w="8784" w:type="dxa"/>
            <w:shd w:val="clear" w:color="auto" w:fill="D9D9D9"/>
          </w:tcPr>
          <w:p w14:paraId="46B7F890"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4.B.1 The provider is transparent about product terms, conditions, and pricing.</w:t>
            </w:r>
          </w:p>
        </w:tc>
      </w:tr>
      <w:tr w:rsidR="00F258C2" w:rsidRPr="00A608EE" w14:paraId="2ED4FC3B" w14:textId="77777777" w:rsidTr="00F258C2">
        <w:tc>
          <w:tcPr>
            <w:tcW w:w="8784" w:type="dxa"/>
          </w:tcPr>
          <w:p w14:paraId="398F349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4.B.1.1 The provider gives a Key Facts Summary Document for borrowers in accessible and alternative formats for clients with different types of impairments (e.g. Easy-read, large print, braille, audio formats) before they sign a contract. </w:t>
            </w:r>
          </w:p>
        </w:tc>
      </w:tr>
      <w:tr w:rsidR="00F258C2" w:rsidRPr="00A608EE" w14:paraId="710C736D" w14:textId="77777777" w:rsidTr="00F258C2">
        <w:tc>
          <w:tcPr>
            <w:tcW w:w="8784" w:type="dxa"/>
          </w:tcPr>
          <w:p w14:paraId="3BDD25A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4.B.1.4 -The provider communicates product information in ways that are accessible for clients with different types of impairments (e.g. Easy-read, large print, braille, audio formats, oral information, sign language, accessible digital channels).</w:t>
            </w:r>
          </w:p>
          <w:p w14:paraId="2DFB00D7"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Loan contracts, savings documentation, transaction information, and insurance-related information (including policy information at enrollment and during the claims process) are provided in accessible and alternative formats for clients with different types of impairments (e.g. easy-read, large print, braille, audio formats, accessible digital formats).</w:t>
            </w:r>
          </w:p>
          <w:p w14:paraId="115C0B47"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-Client-facing staff are trained in accessibility, inclusion and communication with clients with different types of impairments, to support informed decision making by clients with disabilities</w:t>
            </w:r>
          </w:p>
        </w:tc>
      </w:tr>
      <w:tr w:rsidR="00F258C2" w:rsidRPr="00A608EE" w14:paraId="529715F9" w14:textId="77777777" w:rsidTr="00F258C2">
        <w:tc>
          <w:tcPr>
            <w:tcW w:w="8784" w:type="dxa"/>
            <w:shd w:val="clear" w:color="auto" w:fill="D9D9D9"/>
          </w:tcPr>
          <w:p w14:paraId="05B50760"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4.B.2 The provider communicates with clients at appropriate times and through appropriate channels.</w:t>
            </w:r>
          </w:p>
        </w:tc>
      </w:tr>
      <w:tr w:rsidR="00F258C2" w:rsidRPr="00A608EE" w14:paraId="10C33D51" w14:textId="77777777" w:rsidTr="00F258C2">
        <w:tc>
          <w:tcPr>
            <w:tcW w:w="8784" w:type="dxa"/>
          </w:tcPr>
          <w:p w14:paraId="0932C382" w14:textId="77777777" w:rsidR="00F258C2" w:rsidRPr="00A608EE" w:rsidRDefault="00F258C2" w:rsidP="00373807">
            <w:pPr>
              <w:spacing w:after="160" w:line="259" w:lineRule="auto"/>
              <w:rPr>
                <w:rFonts w:asciiTheme="majorHAnsi" w:eastAsia="Calibri" w:hAnsiTheme="majorHAnsi" w:cs="Calibri"/>
                <w:color w:val="2A3049"/>
                <w:sz w:val="20"/>
                <w:szCs w:val="20"/>
                <w:lang w:eastAsia="en-US"/>
              </w:rPr>
            </w:pPr>
            <w:r w:rsidRPr="00A608EE">
              <w:rPr>
                <w:rFonts w:asciiTheme="majorHAnsi" w:eastAsia="Calibri" w:hAnsiTheme="majorHAnsi" w:cs="Calibri"/>
                <w:color w:val="2A3049"/>
                <w:sz w:val="20"/>
                <w:szCs w:val="20"/>
                <w:lang w:eastAsia="en-US"/>
              </w:rPr>
              <w:t xml:space="preserve">4.B.2.1 The provider offers multiple channels for clients to ask questions or receive additional information prior to signing contract, including channels accessible to persons with different types of impairments (physical, mental, intellectual or sensory impairments). </w:t>
            </w:r>
          </w:p>
        </w:tc>
      </w:tr>
      <w:tr w:rsidR="00F258C2" w:rsidRPr="00A608EE" w14:paraId="7286C23E" w14:textId="77777777" w:rsidTr="00F258C2">
        <w:tc>
          <w:tcPr>
            <w:tcW w:w="8784" w:type="dxa"/>
          </w:tcPr>
          <w:p w14:paraId="2D1415EF"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4.B.2.2 -The provider offers alternative mechanisms for registering client consent to a contract for clients who are unable to provide a signature. </w:t>
            </w:r>
          </w:p>
          <w:p w14:paraId="769A2C91"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-The provider makes a completed, signed copy of the contract available to clients with disabilities in accessible channels and formats (including online or physical documents).</w:t>
            </w:r>
          </w:p>
        </w:tc>
      </w:tr>
      <w:tr w:rsidR="00F258C2" w:rsidRPr="00A608EE" w14:paraId="37EF6A50" w14:textId="77777777" w:rsidTr="00F258C2">
        <w:tc>
          <w:tcPr>
            <w:tcW w:w="8784" w:type="dxa"/>
          </w:tcPr>
          <w:p w14:paraId="36D6B36B" w14:textId="77777777" w:rsidR="00F258C2" w:rsidRPr="00A608EE" w:rsidRDefault="00F258C2" w:rsidP="00373807">
            <w:pPr>
              <w:spacing w:after="160" w:line="259" w:lineRule="auto"/>
              <w:rPr>
                <w:rFonts w:asciiTheme="majorHAnsi" w:eastAsia="Calibri" w:hAnsiTheme="majorHAnsi" w:cs="Calibri"/>
                <w:color w:val="2A3049"/>
                <w:sz w:val="20"/>
                <w:szCs w:val="20"/>
                <w:lang w:eastAsia="en-US"/>
              </w:rPr>
            </w:pPr>
            <w:r w:rsidRPr="00A608EE">
              <w:rPr>
                <w:rFonts w:asciiTheme="majorHAnsi" w:eastAsia="Calibri" w:hAnsiTheme="majorHAnsi" w:cs="Calibri"/>
                <w:color w:val="2A3049"/>
                <w:sz w:val="20"/>
                <w:szCs w:val="20"/>
                <w:lang w:eastAsia="en-US"/>
              </w:rPr>
              <w:t>4.B.2.3 The provider gives clients with disabilities clear and accurate balance information in accessible channels and formats (including online or physical documents and messages).</w:t>
            </w:r>
          </w:p>
        </w:tc>
      </w:tr>
    </w:tbl>
    <w:p w14:paraId="4338ECC8" w14:textId="77777777" w:rsidR="00F258C2" w:rsidRPr="00A608EE" w:rsidRDefault="00F258C2">
      <w:r w:rsidRPr="00A608EE">
        <w:br w:type="page"/>
      </w:r>
    </w:p>
    <w:tbl>
      <w:tblPr>
        <w:tblStyle w:val="TableGrid1"/>
        <w:tblW w:w="8784" w:type="dxa"/>
        <w:tblLook w:val="04A0" w:firstRow="1" w:lastRow="0" w:firstColumn="1" w:lastColumn="0" w:noHBand="0" w:noVBand="1"/>
        <w:tblCaption w:val="Disability Inclusion Indicators mapped to the USSEPM SPI5 Entry tool"/>
        <w:tblDescription w:val="The table structure shows indicators of disability inclusive practices in the Cerise+SPTF SPI5 Entry tool, mapped to the dimentions, standards, essential practices and indicators of the Universal Standards. .  For the disability inclusion indicators within the framework, the table shows the revelant section or sections in chapter 4 of this guide where information and guidance can be found. "/>
      </w:tblPr>
      <w:tblGrid>
        <w:gridCol w:w="8784"/>
      </w:tblGrid>
      <w:tr w:rsidR="00F258C2" w:rsidRPr="00A608EE" w14:paraId="0C1EAD95" w14:textId="77777777" w:rsidTr="00F258C2">
        <w:tc>
          <w:tcPr>
            <w:tcW w:w="8784" w:type="dxa"/>
            <w:shd w:val="clear" w:color="auto" w:fill="E4F2F8"/>
          </w:tcPr>
          <w:p w14:paraId="76CE4DCF" w14:textId="3C0C6985"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Standard 4C. The provider enforces fair and respectful treatment of clients.</w:t>
            </w:r>
          </w:p>
        </w:tc>
      </w:tr>
      <w:tr w:rsidR="00F258C2" w:rsidRPr="00A608EE" w14:paraId="2329D91D" w14:textId="77777777" w:rsidTr="00F258C2">
        <w:tc>
          <w:tcPr>
            <w:tcW w:w="8784" w:type="dxa"/>
            <w:shd w:val="clear" w:color="auto" w:fill="D9D9D9"/>
          </w:tcPr>
          <w:p w14:paraId="0FF5D1D9"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4.C.1 The provider's code of conduct requires fair and respectful treatment of clients.</w:t>
            </w:r>
          </w:p>
        </w:tc>
      </w:tr>
      <w:tr w:rsidR="00F258C2" w:rsidRPr="00A608EE" w14:paraId="7FC026FF" w14:textId="77777777" w:rsidTr="00F258C2">
        <w:tc>
          <w:tcPr>
            <w:tcW w:w="8784" w:type="dxa"/>
          </w:tcPr>
          <w:p w14:paraId="177AFEAF"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4.C.1.2 The provider’s policies prohibit discrimination against persons with disabilities (including by denial of reasonable accommodations to access products and services).</w:t>
            </w:r>
          </w:p>
          <w:p w14:paraId="64894E8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-The provider provides information about the prohibited behaviors in its code of conduct in formats that are accessible for clients with different types of impairments (e.g. Easy-read, large print, braille, audio formats, oral information, sign language, accessible digital channels).</w:t>
            </w:r>
          </w:p>
          <w:p w14:paraId="02973BF0"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-Client-facing staff are trained in accessibility, inclusion and communication with clients with different types of impairments</w:t>
            </w:r>
          </w:p>
        </w:tc>
      </w:tr>
      <w:tr w:rsidR="00F258C2" w:rsidRPr="00A608EE" w14:paraId="1DFE6D8F" w14:textId="77777777" w:rsidTr="00F258C2">
        <w:tc>
          <w:tcPr>
            <w:tcW w:w="8784" w:type="dxa"/>
            <w:shd w:val="clear" w:color="auto" w:fill="E4F2F8"/>
          </w:tcPr>
          <w:p w14:paraId="09A509A3"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4D. The provider secures client data and informs clients about their data rights.</w:t>
            </w:r>
          </w:p>
        </w:tc>
      </w:tr>
      <w:tr w:rsidR="00F258C2" w:rsidRPr="00A608EE" w14:paraId="7C02E56D" w14:textId="77777777" w:rsidTr="00F258C2">
        <w:tc>
          <w:tcPr>
            <w:tcW w:w="8784" w:type="dxa"/>
            <w:shd w:val="clear" w:color="auto" w:fill="D9D9D9"/>
          </w:tcPr>
          <w:p w14:paraId="44BDC2AB"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4.D.2 The provider informs clients about data privacy and data rights.</w:t>
            </w:r>
          </w:p>
        </w:tc>
      </w:tr>
      <w:tr w:rsidR="00F258C2" w:rsidRPr="00A608EE" w14:paraId="105ED767" w14:textId="77777777" w:rsidTr="00F258C2">
        <w:tc>
          <w:tcPr>
            <w:tcW w:w="8784" w:type="dxa"/>
          </w:tcPr>
          <w:p w14:paraId="16287E09"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4.D.2.1 When requesting consent, the provider explains in simple, local language (written or oral) how client data will be used, and ensures accessibility for clients with different types of impairments. </w:t>
            </w:r>
          </w:p>
          <w:p w14:paraId="2A77E76D"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-The provider trains clients on the importance of protecting their personal information (including Personal Identification Numbers (PINs), savings account balances, and information on repayment issues), ensuring that training is accessible and inclusive for clients with different types of impairments and provides appropriate adaptations where needed. </w:t>
            </w:r>
          </w:p>
          <w:p w14:paraId="54F6175D"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-The provider gives clients the right to withdraw their permission to use data and clearly explains any consequences of withdrawal, in accessible formats and with communication adapted for clients with different types of impairments. </w:t>
            </w:r>
          </w:p>
          <w:p w14:paraId="7FEB31A8"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-Client-facing staff are trained in accessible communication and interaction with clients with different types of impairments (physical, mental, intellectual, or sensory impairments), particularly in relation to data use, consent, and privacy.</w:t>
            </w:r>
          </w:p>
        </w:tc>
      </w:tr>
      <w:tr w:rsidR="00F258C2" w:rsidRPr="00A608EE" w14:paraId="405CC24D" w14:textId="77777777" w:rsidTr="00F258C2">
        <w:tc>
          <w:tcPr>
            <w:tcW w:w="8784" w:type="dxa"/>
            <w:shd w:val="clear" w:color="auto" w:fill="E4F2F8"/>
          </w:tcPr>
          <w:p w14:paraId="217A40E5"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4E. The provider receives and resolves client complaints.</w:t>
            </w:r>
          </w:p>
        </w:tc>
      </w:tr>
      <w:tr w:rsidR="00F258C2" w:rsidRPr="00A608EE" w14:paraId="279BE245" w14:textId="77777777" w:rsidTr="00F258C2">
        <w:tc>
          <w:tcPr>
            <w:tcW w:w="8784" w:type="dxa"/>
            <w:shd w:val="clear" w:color="auto" w:fill="D9D9D9"/>
          </w:tcPr>
          <w:p w14:paraId="4196E12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4.E.1 The provider has a complaints mechanism that is easily accessible to clients and adapted to their needs.</w:t>
            </w:r>
          </w:p>
        </w:tc>
      </w:tr>
      <w:tr w:rsidR="00F258C2" w:rsidRPr="00A608EE" w14:paraId="3384F502" w14:textId="77777777" w:rsidTr="00F258C2">
        <w:tc>
          <w:tcPr>
            <w:tcW w:w="8784" w:type="dxa"/>
          </w:tcPr>
          <w:p w14:paraId="224429CA"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4.E.1.2 The provider has at least two complaints channels that are free of charge and accessible, including to clients with different types of impairments (physical, mental, intellectual or sensory impairments).</w:t>
            </w:r>
          </w:p>
          <w:p w14:paraId="2C03F11E"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-If the complaint mechanism initially handles complaints through automated means, the provider makes a channel with live, human interaction available to clients, ensuring accessibility for clients with different types of impairments. -Staff interacting with clients to handle complaints are trained in accessibility, inclusion, and communication with clients with different types of impairments.</w:t>
            </w:r>
          </w:p>
          <w:p w14:paraId="2E45D15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-The provider ensures that clients with disabilities receive confirmation of receipt of their complaints and a notification when the complaint has been resolved in accessible formats (e.g. easy-read, large print, braille, audio formats, oral information, sign language, accessible digital channels).</w:t>
            </w:r>
          </w:p>
        </w:tc>
      </w:tr>
      <w:tr w:rsidR="00F258C2" w:rsidRPr="00A608EE" w14:paraId="1A699DD4" w14:textId="77777777" w:rsidTr="00F258C2">
        <w:tc>
          <w:tcPr>
            <w:tcW w:w="8784" w:type="dxa"/>
          </w:tcPr>
          <w:p w14:paraId="0EB82924"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lastRenderedPageBreak/>
              <w:t xml:space="preserve">4.E.1.3 The provider provides information to clients on how to submit a complaint in formats that are accessible for clients with different types of impairments (e.g. Easy-read, large print, braille, audio formats, oral information, sign language, accessible digital channels). </w:t>
            </w:r>
          </w:p>
        </w:tc>
      </w:tr>
      <w:tr w:rsidR="00F258C2" w:rsidRPr="00A608EE" w14:paraId="0D0A5AB0" w14:textId="77777777" w:rsidTr="00F258C2">
        <w:tc>
          <w:tcPr>
            <w:tcW w:w="8784" w:type="dxa"/>
            <w:shd w:val="clear" w:color="auto" w:fill="AFD9EC"/>
          </w:tcPr>
          <w:p w14:paraId="60D88F47"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5. Responsible Human Resource Development</w:t>
            </w:r>
          </w:p>
        </w:tc>
      </w:tr>
      <w:tr w:rsidR="00F258C2" w:rsidRPr="00A608EE" w14:paraId="7E4EDF53" w14:textId="77777777" w:rsidTr="00F258C2">
        <w:tc>
          <w:tcPr>
            <w:tcW w:w="8784" w:type="dxa"/>
            <w:shd w:val="clear" w:color="auto" w:fill="E4F2F8"/>
          </w:tcPr>
          <w:p w14:paraId="6145D871"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5A. The provider creates a safe and equitable work environment.</w:t>
            </w:r>
          </w:p>
        </w:tc>
      </w:tr>
      <w:tr w:rsidR="00F258C2" w:rsidRPr="00A608EE" w14:paraId="1575B21E" w14:textId="77777777" w:rsidTr="00F258C2">
        <w:tc>
          <w:tcPr>
            <w:tcW w:w="8784" w:type="dxa"/>
            <w:shd w:val="clear" w:color="auto" w:fill="D9D9D9"/>
          </w:tcPr>
          <w:p w14:paraId="32DA7A2D"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5.A.1 A written Human Resources policy is available to all employees that explains and protects their rights.</w:t>
            </w:r>
          </w:p>
        </w:tc>
      </w:tr>
      <w:tr w:rsidR="00F258C2" w:rsidRPr="00A608EE" w14:paraId="6F9EA816" w14:textId="77777777" w:rsidTr="00F258C2">
        <w:tc>
          <w:tcPr>
            <w:tcW w:w="8784" w:type="dxa"/>
          </w:tcPr>
          <w:p w14:paraId="5F3EEA9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5.A.1.1 The provider’s Human Resource policy explains employees’ rights and responsibilities related to the following:</w:t>
            </w:r>
          </w:p>
          <w:p w14:paraId="0BBB5EFB"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5.A.1.1.7 Workplace accessibility and the provision of reasonable accommodations in the workplace, to enable persons with disabilities to participate in the workforce on an equal basis with others</w:t>
            </w:r>
          </w:p>
          <w:p w14:paraId="2E3783C6"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5.A.1.1.8. A zero-tolerance policy toward discrimination based on all Protected Categories including sex, disability, race, or religion.</w:t>
            </w:r>
          </w:p>
          <w:p w14:paraId="22C70C70"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-The provider provides the Human Resources policy in formats that are accessible for employees with different types of impairments (e.g. Easy-read, large print, braille, audio formats, oral information, sign language, accessible digital channels</w:t>
            </w:r>
          </w:p>
        </w:tc>
      </w:tr>
      <w:tr w:rsidR="00F258C2" w:rsidRPr="00A608EE" w14:paraId="2A4D1355" w14:textId="77777777" w:rsidTr="00F258C2">
        <w:tc>
          <w:tcPr>
            <w:tcW w:w="8784" w:type="dxa"/>
          </w:tcPr>
          <w:p w14:paraId="34A349C8"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5.A.1.3 The provider’s non-discrimination policy towards employees covers persons with disabilities, and includes the requirement to provide reasonable accommodations to enable persons with disabilities to participate in the workforce on an equal basis with others</w:t>
            </w:r>
          </w:p>
        </w:tc>
      </w:tr>
      <w:tr w:rsidR="00F258C2" w:rsidRPr="00A608EE" w14:paraId="03681F15" w14:textId="77777777" w:rsidTr="00F258C2">
        <w:tc>
          <w:tcPr>
            <w:tcW w:w="8784" w:type="dxa"/>
          </w:tcPr>
          <w:p w14:paraId="69EB648A"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sz w:val="20"/>
                <w:szCs w:val="20"/>
                <w:lang w:eastAsia="en-US"/>
              </w:rPr>
              <w:t>5.A.1.4 The provider analyzes employee data by gender and disability status and job position to check that men and women are equally represented at different levels of the organization, including men and women with disabilities.</w:t>
            </w:r>
          </w:p>
        </w:tc>
      </w:tr>
      <w:tr w:rsidR="00F258C2" w:rsidRPr="00A608EE" w14:paraId="018AA7CA" w14:textId="77777777" w:rsidTr="00F258C2">
        <w:tc>
          <w:tcPr>
            <w:tcW w:w="8784" w:type="dxa"/>
            <w:shd w:val="clear" w:color="auto" w:fill="D9D9D9"/>
          </w:tcPr>
          <w:p w14:paraId="4C7D2C10"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5.A.2 Employee compensation is equitable and adequate.</w:t>
            </w:r>
          </w:p>
        </w:tc>
      </w:tr>
      <w:tr w:rsidR="00F258C2" w:rsidRPr="00A608EE" w14:paraId="1CCF5852" w14:textId="77777777" w:rsidTr="00F258C2">
        <w:tc>
          <w:tcPr>
            <w:tcW w:w="8784" w:type="dxa"/>
          </w:tcPr>
          <w:p w14:paraId="3F539B78"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sz w:val="20"/>
                <w:szCs w:val="20"/>
                <w:lang w:eastAsia="en-US"/>
              </w:rPr>
              <w:t>5.A.2.3 The provider analyzes salary data to check that men and women, including men and women with disabilities, receive equal pay for equal work and have equal opportunities for pay increase/promotion.</w:t>
            </w:r>
          </w:p>
        </w:tc>
      </w:tr>
      <w:tr w:rsidR="00F258C2" w:rsidRPr="00A608EE" w14:paraId="7186E12D" w14:textId="77777777" w:rsidTr="00F258C2">
        <w:tc>
          <w:tcPr>
            <w:tcW w:w="8784" w:type="dxa"/>
            <w:shd w:val="clear" w:color="auto" w:fill="D9D9D9"/>
          </w:tcPr>
          <w:p w14:paraId="597C0466"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5.A.3 The provider has a safety and health management system.</w:t>
            </w:r>
          </w:p>
        </w:tc>
      </w:tr>
      <w:tr w:rsidR="00F258C2" w:rsidRPr="00A608EE" w14:paraId="562A7FCD" w14:textId="77777777" w:rsidTr="00F258C2">
        <w:tc>
          <w:tcPr>
            <w:tcW w:w="8784" w:type="dxa"/>
          </w:tcPr>
          <w:p w14:paraId="5E796EE3"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5.A.3.1 The provider assesses specific health and safety risks faced by employees with disabilities as part of its assessments</w:t>
            </w:r>
          </w:p>
        </w:tc>
      </w:tr>
      <w:tr w:rsidR="00F258C2" w:rsidRPr="00A608EE" w14:paraId="7D05F520" w14:textId="77777777" w:rsidTr="00F258C2">
        <w:tc>
          <w:tcPr>
            <w:tcW w:w="8784" w:type="dxa"/>
          </w:tcPr>
          <w:p w14:paraId="3775AF0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5.A.3.3 The provider provides accommodations to ensure the health and safety of employees with disabilities, and includes measures to ensure the safety of employees with disabilities within emergency/disaster response plans.</w:t>
            </w:r>
          </w:p>
        </w:tc>
      </w:tr>
      <w:tr w:rsidR="00F258C2" w:rsidRPr="00A608EE" w14:paraId="49668FF4" w14:textId="77777777" w:rsidTr="00F258C2">
        <w:tc>
          <w:tcPr>
            <w:tcW w:w="8784" w:type="dxa"/>
            <w:shd w:val="clear" w:color="auto" w:fill="E4F2F8"/>
          </w:tcPr>
          <w:p w14:paraId="6899DA03"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5B. The provider’s Human Resource Development system is designed to attract and maintain a qualified and motivated workforce</w:t>
            </w:r>
          </w:p>
        </w:tc>
      </w:tr>
      <w:tr w:rsidR="00F258C2" w:rsidRPr="00A608EE" w14:paraId="5BBDF01A" w14:textId="77777777" w:rsidTr="00F258C2">
        <w:tc>
          <w:tcPr>
            <w:tcW w:w="8784" w:type="dxa"/>
            <w:shd w:val="clear" w:color="auto" w:fill="D9D9D9"/>
          </w:tcPr>
          <w:p w14:paraId="7EAD6977"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5.B.1 The provider gives employees complete employment documentation and training to understand their job requirements.</w:t>
            </w:r>
          </w:p>
        </w:tc>
      </w:tr>
      <w:tr w:rsidR="00F258C2" w:rsidRPr="00A608EE" w14:paraId="291A6715" w14:textId="77777777" w:rsidTr="00F258C2">
        <w:tc>
          <w:tcPr>
            <w:tcW w:w="8784" w:type="dxa"/>
          </w:tcPr>
          <w:p w14:paraId="20B10730"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5.B.1.1 The provider provides individual employment contracts and terms in formats that are accessible for employees with different types of impairments (e.g. Easy-read, large print, braille, audio formats, oral information, sign language, accessible digital channels). </w:t>
            </w:r>
          </w:p>
        </w:tc>
      </w:tr>
      <w:tr w:rsidR="00F258C2" w:rsidRPr="00A608EE" w14:paraId="0CF13D30" w14:textId="77777777" w:rsidTr="00F258C2">
        <w:tc>
          <w:tcPr>
            <w:tcW w:w="8784" w:type="dxa"/>
          </w:tcPr>
          <w:p w14:paraId="74F156AF"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lastRenderedPageBreak/>
              <w:t>5.B.1.4 Men and women receive equal opportunities for training and skill development, and these opportunities are accessible and inclusive to employees with disabilities, including through the provision of reasonable accommodations.</w:t>
            </w:r>
          </w:p>
          <w:p w14:paraId="69977168"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-All new employees receive orientation and job-specific training that is accessible and inclusive to employees with disabilities, including through the provision of reasonable accommodations.</w:t>
            </w:r>
          </w:p>
          <w:p w14:paraId="71E68A1B"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-The provider makes professional development opportunities available to employees at every level in an accessible and inclusive way for employees with disabilities, including through the provision of reasonable accommodations.</w:t>
            </w:r>
          </w:p>
        </w:tc>
      </w:tr>
      <w:tr w:rsidR="00F258C2" w:rsidRPr="00A608EE" w14:paraId="14D3C3C6" w14:textId="77777777" w:rsidTr="00F258C2">
        <w:tc>
          <w:tcPr>
            <w:tcW w:w="8784" w:type="dxa"/>
            <w:shd w:val="clear" w:color="auto" w:fill="D9D9D9"/>
          </w:tcPr>
          <w:p w14:paraId="1DC506F3"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5.B.2 The provider gives employees formal opportunities to communicate with management.</w:t>
            </w:r>
          </w:p>
        </w:tc>
      </w:tr>
      <w:tr w:rsidR="00F258C2" w:rsidRPr="00A608EE" w14:paraId="34E76057" w14:textId="77777777" w:rsidTr="00F258C2">
        <w:tc>
          <w:tcPr>
            <w:tcW w:w="8784" w:type="dxa"/>
          </w:tcPr>
          <w:p w14:paraId="1B0A2E51"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Calibri"/>
                <w:color w:val="2A3049"/>
                <w:sz w:val="20"/>
                <w:szCs w:val="20"/>
                <w:lang w:eastAsia="en-US"/>
              </w:rPr>
              <w:t xml:space="preserve">5.B.2.2 Grievance mechanisms include channels that are accessible to allow employees with different types of impairments to raise workplace concerns in a confidential manner (e.g. audio formats, accessible digital channels). </w:t>
            </w:r>
          </w:p>
        </w:tc>
      </w:tr>
      <w:tr w:rsidR="00F258C2" w:rsidRPr="00A608EE" w14:paraId="2B96E348" w14:textId="77777777" w:rsidTr="00F258C2">
        <w:tc>
          <w:tcPr>
            <w:tcW w:w="8784" w:type="dxa"/>
            <w:shd w:val="clear" w:color="auto" w:fill="E4F2F8"/>
          </w:tcPr>
          <w:p w14:paraId="2B67B5C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5C. The provider’s Human Resource Development system supports its social strategy.</w:t>
            </w:r>
          </w:p>
        </w:tc>
      </w:tr>
      <w:tr w:rsidR="00F258C2" w:rsidRPr="00A608EE" w14:paraId="10BC0C93" w14:textId="77777777" w:rsidTr="00F258C2">
        <w:tc>
          <w:tcPr>
            <w:tcW w:w="8784" w:type="dxa"/>
            <w:shd w:val="clear" w:color="auto" w:fill="D9D9D9"/>
          </w:tcPr>
          <w:p w14:paraId="569A17EC"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5.C.1 During the recruitment and hiring process, the provider assesses each candidate’s commitment to achieving the provider’s social goals and serving its target clients.</w:t>
            </w:r>
          </w:p>
        </w:tc>
      </w:tr>
      <w:tr w:rsidR="00F258C2" w:rsidRPr="00A608EE" w14:paraId="53E6637A" w14:textId="77777777" w:rsidTr="00F258C2">
        <w:tc>
          <w:tcPr>
            <w:tcW w:w="8784" w:type="dxa"/>
          </w:tcPr>
          <w:p w14:paraId="193B224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5.C.1.4 The provider provides the Code of Conduct in formats that are accessible for employees with different types of impairments (e.g. Easy-read, large print, braille, audio formats, oral information, sign language, accessible digital channels).</w:t>
            </w:r>
          </w:p>
        </w:tc>
      </w:tr>
      <w:tr w:rsidR="00F258C2" w:rsidRPr="00A608EE" w14:paraId="32A7292D" w14:textId="77777777" w:rsidTr="00F258C2">
        <w:tc>
          <w:tcPr>
            <w:tcW w:w="8784" w:type="dxa"/>
            <w:shd w:val="clear" w:color="auto" w:fill="D9D9D9"/>
          </w:tcPr>
          <w:p w14:paraId="48831916"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5.C.2 The provider trains all employees on its social goals and on client protection.</w:t>
            </w:r>
          </w:p>
        </w:tc>
      </w:tr>
      <w:tr w:rsidR="00F258C2" w:rsidRPr="00A608EE" w14:paraId="1BE537D9" w14:textId="77777777" w:rsidTr="00F258C2">
        <w:tc>
          <w:tcPr>
            <w:tcW w:w="8784" w:type="dxa"/>
          </w:tcPr>
          <w:p w14:paraId="51E37133"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5.C.2.2 The provider's training for employees includes training on specific client protection considerations for clients with disabilities</w:t>
            </w:r>
          </w:p>
        </w:tc>
      </w:tr>
      <w:tr w:rsidR="00F258C2" w:rsidRPr="00A608EE" w14:paraId="236F2EA6" w14:textId="77777777" w:rsidTr="00F258C2">
        <w:tc>
          <w:tcPr>
            <w:tcW w:w="8784" w:type="dxa"/>
            <w:shd w:val="clear" w:color="auto" w:fill="AFD9EC"/>
          </w:tcPr>
          <w:p w14:paraId="439C4969"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6. Responsible Growth and Returns</w:t>
            </w:r>
          </w:p>
        </w:tc>
      </w:tr>
      <w:tr w:rsidR="00F258C2" w:rsidRPr="00A608EE" w14:paraId="072E92B2" w14:textId="77777777" w:rsidTr="00F258C2">
        <w:tc>
          <w:tcPr>
            <w:tcW w:w="8784" w:type="dxa"/>
            <w:shd w:val="clear" w:color="auto" w:fill="E4F2F8"/>
          </w:tcPr>
          <w:p w14:paraId="7B5D5FF5"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6A. The provider manages growth in a way that promotes its social goals and mitigates risks to clients.</w:t>
            </w:r>
          </w:p>
        </w:tc>
      </w:tr>
      <w:tr w:rsidR="00F258C2" w:rsidRPr="00A608EE" w14:paraId="3FAE1FE0" w14:textId="77777777" w:rsidTr="00F258C2">
        <w:tc>
          <w:tcPr>
            <w:tcW w:w="8784" w:type="dxa"/>
            <w:shd w:val="clear" w:color="auto" w:fill="D9D9D9"/>
          </w:tcPr>
          <w:p w14:paraId="20BE6845"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6.A.1 The provider's strategic and/or business plan establishes responsible growth targets.</w:t>
            </w:r>
          </w:p>
        </w:tc>
      </w:tr>
      <w:tr w:rsidR="00F258C2" w:rsidRPr="00A608EE" w14:paraId="6832905E" w14:textId="77777777" w:rsidTr="00F258C2">
        <w:tc>
          <w:tcPr>
            <w:tcW w:w="8784" w:type="dxa"/>
          </w:tcPr>
          <w:p w14:paraId="1609993D"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6.A.1.3 The provider allocates funds and human resources to reinforce internal capacities for disability inclusion, such as:</w:t>
            </w:r>
          </w:p>
          <w:p w14:paraId="094869DE"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-inclusive hiring and employment practices including provision of reasonable accommodations; </w:t>
            </w:r>
          </w:p>
          <w:p w14:paraId="3A121FA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-training employees and partners on disability inclusion and accessibility; </w:t>
            </w:r>
          </w:p>
          <w:p w14:paraId="6455E1E6"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-integrating disability-related data in management information systems.</w:t>
            </w:r>
          </w:p>
        </w:tc>
      </w:tr>
      <w:tr w:rsidR="00F258C2" w:rsidRPr="00A608EE" w14:paraId="5C7E687D" w14:textId="77777777" w:rsidTr="00F258C2">
        <w:tc>
          <w:tcPr>
            <w:tcW w:w="8784" w:type="dxa"/>
            <w:shd w:val="clear" w:color="auto" w:fill="AFD9EC"/>
          </w:tcPr>
          <w:p w14:paraId="76D94E72"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7. Environmental Performance Management</w:t>
            </w:r>
          </w:p>
        </w:tc>
      </w:tr>
      <w:tr w:rsidR="00F258C2" w:rsidRPr="00A608EE" w14:paraId="42D4BF73" w14:textId="77777777" w:rsidTr="00F258C2">
        <w:tc>
          <w:tcPr>
            <w:tcW w:w="8784" w:type="dxa"/>
            <w:shd w:val="clear" w:color="auto" w:fill="E4F2F8"/>
          </w:tcPr>
          <w:p w14:paraId="787B7A8B"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7A. The provider has an environmental strategy and systems in place to implement it.</w:t>
            </w:r>
          </w:p>
        </w:tc>
      </w:tr>
      <w:tr w:rsidR="00F258C2" w:rsidRPr="00A608EE" w14:paraId="3908C9F4" w14:textId="77777777" w:rsidTr="00F258C2">
        <w:tc>
          <w:tcPr>
            <w:tcW w:w="8784" w:type="dxa"/>
            <w:shd w:val="clear" w:color="auto" w:fill="D9D9D9"/>
          </w:tcPr>
          <w:p w14:paraId="76C16D00"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Essential Practice 7.A.2 The provider collects, analyzes, and reports data that are specific to its environmental goals.</w:t>
            </w:r>
          </w:p>
        </w:tc>
      </w:tr>
      <w:tr w:rsidR="00F258C2" w:rsidRPr="00A608EE" w14:paraId="6D8DA936" w14:textId="77777777" w:rsidTr="00F258C2">
        <w:tc>
          <w:tcPr>
            <w:tcW w:w="8784" w:type="dxa"/>
          </w:tcPr>
          <w:p w14:paraId="2138573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7.A.2.1 The provider collects, analyzes and reports data on clients' vulnerability to climate change disaggregated by gender, age and disability status.</w:t>
            </w:r>
          </w:p>
          <w:p w14:paraId="09763D43"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The provider collects, analyzes and reports data on client outcomes related to its green products and services disaggregated by gender, age and disability status.</w:t>
            </w:r>
          </w:p>
        </w:tc>
      </w:tr>
      <w:tr w:rsidR="00F258C2" w:rsidRPr="00A608EE" w14:paraId="3E814B8A" w14:textId="77777777" w:rsidTr="00F258C2">
        <w:tc>
          <w:tcPr>
            <w:tcW w:w="8784" w:type="dxa"/>
            <w:shd w:val="clear" w:color="auto" w:fill="E4F2F8"/>
          </w:tcPr>
          <w:p w14:paraId="6EA16C7C"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7B. The provider identifies and manages environmental risks and opportunities.</w:t>
            </w:r>
          </w:p>
        </w:tc>
      </w:tr>
      <w:tr w:rsidR="00F258C2" w:rsidRPr="00A608EE" w14:paraId="6C1AE963" w14:textId="77777777" w:rsidTr="00F258C2">
        <w:tc>
          <w:tcPr>
            <w:tcW w:w="8784" w:type="dxa"/>
            <w:shd w:val="clear" w:color="auto" w:fill="D9D9D9"/>
          </w:tcPr>
          <w:p w14:paraId="013BB944" w14:textId="77777777" w:rsidR="00F258C2" w:rsidRPr="00A608EE" w:rsidRDefault="00F258C2" w:rsidP="00373807">
            <w:pPr>
              <w:spacing w:after="160" w:line="259" w:lineRule="auto"/>
              <w:rPr>
                <w:rFonts w:asciiTheme="majorHAnsi" w:eastAsia="Calibri" w:hAnsiTheme="majorHAnsi" w:cs="Calibri"/>
                <w:b/>
                <w:bCs/>
                <w:color w:val="2A3049"/>
                <w:sz w:val="20"/>
                <w:szCs w:val="20"/>
                <w:lang w:eastAsia="en-US"/>
              </w:rPr>
            </w:pPr>
            <w:r w:rsidRPr="00A608EE">
              <w:rPr>
                <w:rFonts w:asciiTheme="majorHAnsi" w:eastAsia="Calibri" w:hAnsiTheme="majorHAnsi" w:cs="DaunPenh"/>
                <w:b/>
                <w:bCs/>
                <w:sz w:val="20"/>
                <w:szCs w:val="20"/>
                <w:lang w:eastAsia="en-US"/>
              </w:rPr>
              <w:t>Essential Practice 7.B.2 The provider identifies and manages client-level environmental risks.</w:t>
            </w:r>
          </w:p>
        </w:tc>
      </w:tr>
      <w:tr w:rsidR="00F258C2" w:rsidRPr="00A608EE" w14:paraId="7354C4AD" w14:textId="77777777" w:rsidTr="00F258C2">
        <w:tc>
          <w:tcPr>
            <w:tcW w:w="8784" w:type="dxa"/>
          </w:tcPr>
          <w:p w14:paraId="5F785CE5"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Calibri"/>
                <w:color w:val="2A3049"/>
                <w:sz w:val="20"/>
                <w:szCs w:val="20"/>
                <w:lang w:eastAsia="en-US"/>
              </w:rPr>
              <w:t>7.B.2.1 The provider identifies specific vulnerabilities of clients with disabilities to climate change and environmental degradation</w:t>
            </w:r>
          </w:p>
        </w:tc>
      </w:tr>
      <w:tr w:rsidR="00F258C2" w:rsidRPr="00A608EE" w14:paraId="21D5B0DA" w14:textId="77777777" w:rsidTr="00F258C2">
        <w:tc>
          <w:tcPr>
            <w:tcW w:w="8784" w:type="dxa"/>
          </w:tcPr>
          <w:p w14:paraId="160A136A"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Calibri"/>
                <w:color w:val="2A3049"/>
                <w:sz w:val="20"/>
                <w:szCs w:val="20"/>
                <w:lang w:eastAsia="en-US"/>
              </w:rPr>
              <w:t>7.B.2.3 The provider's risk mitigation policies and processes respond to the identified vulnerabilities of persons with disabilities to climate change and environmental degradation.</w:t>
            </w:r>
          </w:p>
        </w:tc>
      </w:tr>
      <w:tr w:rsidR="00F258C2" w:rsidRPr="00A608EE" w14:paraId="06C56071" w14:textId="77777777" w:rsidTr="00F258C2">
        <w:tc>
          <w:tcPr>
            <w:tcW w:w="8784" w:type="dxa"/>
            <w:shd w:val="clear" w:color="auto" w:fill="E4F2F8"/>
          </w:tcPr>
          <w:p w14:paraId="1DEE6DD8"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7C. The provider offers financial and non-financial products and services to achieve its environmental goals</w:t>
            </w:r>
          </w:p>
        </w:tc>
      </w:tr>
      <w:tr w:rsidR="00F258C2" w:rsidRPr="00A608EE" w14:paraId="5FD5D351" w14:textId="77777777" w:rsidTr="00F258C2">
        <w:tc>
          <w:tcPr>
            <w:tcW w:w="8784" w:type="dxa"/>
            <w:shd w:val="clear" w:color="auto" w:fill="D9D9D9"/>
          </w:tcPr>
          <w:p w14:paraId="5D11794F"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7.C.1 The provider offers financial products and services to achieve its  environmental goals.</w:t>
            </w:r>
          </w:p>
        </w:tc>
      </w:tr>
      <w:tr w:rsidR="00F258C2" w:rsidRPr="00A608EE" w14:paraId="1B7F42CB" w14:textId="77777777" w:rsidTr="00F258C2">
        <w:tc>
          <w:tcPr>
            <w:tcW w:w="8784" w:type="dxa"/>
          </w:tcPr>
          <w:p w14:paraId="2918B74D"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7.C.1.1 The provider offers financial products or services to help clients cope with climate shocks that: are accessible and available to persons with disabilities on an equal basis with others; do not exclude or discriminate against persons with disabilities; and are responsive to their needs.</w:t>
            </w:r>
          </w:p>
        </w:tc>
      </w:tr>
      <w:tr w:rsidR="00F258C2" w:rsidRPr="00A608EE" w14:paraId="345EA07A" w14:textId="77777777" w:rsidTr="00F258C2">
        <w:tc>
          <w:tcPr>
            <w:tcW w:w="8784" w:type="dxa"/>
          </w:tcPr>
          <w:p w14:paraId="7C3220DC"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7.C.1.2 The provider offers loans that allow its clients to implement or maintain green practices and technologies that: are accessible and available to persons with disabilities on an equal basis with others; do not exclude or discriminate against persons with disabilities; and are responsive to their needs.</w:t>
            </w:r>
          </w:p>
        </w:tc>
      </w:tr>
      <w:tr w:rsidR="00F258C2" w:rsidRPr="00A608EE" w14:paraId="18BFD33C" w14:textId="77777777" w:rsidTr="00F258C2">
        <w:tc>
          <w:tcPr>
            <w:tcW w:w="8784" w:type="dxa"/>
            <w:shd w:val="clear" w:color="auto" w:fill="D9D9D9"/>
          </w:tcPr>
          <w:p w14:paraId="2D3F3666" w14:textId="77777777" w:rsidR="00F258C2" w:rsidRPr="00A608EE" w:rsidRDefault="00F258C2" w:rsidP="00373807">
            <w:pPr>
              <w:spacing w:after="160" w:line="259" w:lineRule="auto"/>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7.C.2 The provider offers non-financial services to achieve its environmental goals.</w:t>
            </w:r>
          </w:p>
        </w:tc>
      </w:tr>
      <w:tr w:rsidR="00F258C2" w:rsidRPr="00A608EE" w14:paraId="6F00940E" w14:textId="77777777" w:rsidTr="00F258C2">
        <w:tc>
          <w:tcPr>
            <w:tcW w:w="8784" w:type="dxa"/>
          </w:tcPr>
          <w:p w14:paraId="12175E92"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7.C.2.1 -Information provided to raise clients' awareness of their climate-change vulnerability and environmental impacts in formats that are accessible to clients with different types of impairments (e.g. Easy-read, large print, Braille, audio formats, oral information, sign language, accessible digital channels). </w:t>
            </w:r>
          </w:p>
          <w:p w14:paraId="2593BC3D"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-Awareness raising events or activities are accessible and inclusive for clients with disabilities.</w:t>
            </w:r>
          </w:p>
          <w:p w14:paraId="2FA948A7"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-Staff carrying out awareness-raising talks and events are trained in accessibility, inclusion and communication with clients with different types of impairments.</w:t>
            </w:r>
          </w:p>
        </w:tc>
      </w:tr>
      <w:tr w:rsidR="00F258C2" w:rsidRPr="00A608EE" w14:paraId="2043161F" w14:textId="77777777" w:rsidTr="00F258C2">
        <w:tc>
          <w:tcPr>
            <w:tcW w:w="8784" w:type="dxa"/>
          </w:tcPr>
          <w:p w14:paraId="043CC2B1"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7.C.2.2 Capacity-building activities to help clients reduce their climate-change vulnerability and environmental impacts are accessible and inclusive for clients with disabilities.</w:t>
            </w:r>
          </w:p>
          <w:p w14:paraId="2A05BF78" w14:textId="77777777" w:rsidR="00F258C2" w:rsidRPr="00A608EE" w:rsidRDefault="00F258C2" w:rsidP="00373807">
            <w:pPr>
              <w:spacing w:after="160" w:line="259" w:lineRule="auto"/>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-Staff delivering capacity building activities are trained in accessibility, inclusion and communication with clients with different types of impairments.</w:t>
            </w:r>
          </w:p>
        </w:tc>
      </w:tr>
    </w:tbl>
    <w:p w14:paraId="0C542B93" w14:textId="71632846" w:rsidR="00373807" w:rsidRPr="00A608EE" w:rsidRDefault="00373807" w:rsidP="00EE208A">
      <w:pPr>
        <w:jc w:val="both"/>
        <w:rPr>
          <w:rFonts w:asciiTheme="majorHAnsi" w:hAnsiTheme="majorHAnsi" w:cstheme="majorHAnsi"/>
          <w:szCs w:val="20"/>
        </w:rPr>
      </w:pPr>
      <w:r w:rsidRPr="00A608EE">
        <w:rPr>
          <w:rFonts w:asciiTheme="majorHAnsi" w:hAnsiTheme="majorHAnsi" w:cstheme="majorHAnsi"/>
          <w:szCs w:val="20"/>
        </w:rPr>
        <w:br w:type="page"/>
      </w:r>
    </w:p>
    <w:p w14:paraId="0022B47F" w14:textId="5D8E8ACA" w:rsidR="00373807" w:rsidRPr="00A608EE" w:rsidRDefault="00373807" w:rsidP="00373807">
      <w:pPr>
        <w:pStyle w:val="Heading2"/>
        <w:spacing w:before="0" w:line="240" w:lineRule="auto"/>
        <w:jc w:val="both"/>
        <w:rPr>
          <w:rStyle w:val="normaltextrun"/>
        </w:rPr>
      </w:pPr>
      <w:bookmarkStart w:id="116" w:name="_Toc230938835"/>
      <w:r w:rsidRPr="00A608EE">
        <w:rPr>
          <w:rStyle w:val="normaltextrun"/>
        </w:rPr>
        <w:lastRenderedPageBreak/>
        <w:t xml:space="preserve">Additional Disability </w:t>
      </w:r>
      <w:r w:rsidR="0019659D" w:rsidRPr="00A608EE">
        <w:rPr>
          <w:rStyle w:val="normaltextrun"/>
        </w:rPr>
        <w:t>I</w:t>
      </w:r>
      <w:r w:rsidRPr="00A608EE">
        <w:rPr>
          <w:rStyle w:val="normaltextrun"/>
        </w:rPr>
        <w:t xml:space="preserve">nclusion </w:t>
      </w:r>
      <w:r w:rsidR="0019659D" w:rsidRPr="00A608EE">
        <w:rPr>
          <w:rStyle w:val="normaltextrun"/>
        </w:rPr>
        <w:t>I</w:t>
      </w:r>
      <w:r w:rsidRPr="00A608EE">
        <w:rPr>
          <w:rStyle w:val="normaltextrun"/>
        </w:rPr>
        <w:t xml:space="preserve">ndicators: SPI5 </w:t>
      </w:r>
      <w:r w:rsidR="0019659D" w:rsidRPr="00A608EE">
        <w:rPr>
          <w:rStyle w:val="normaltextrun"/>
        </w:rPr>
        <w:t>Full</w:t>
      </w:r>
      <w:bookmarkEnd w:id="116"/>
    </w:p>
    <w:p w14:paraId="21C8DE43" w14:textId="77777777" w:rsidR="00AA652B" w:rsidRPr="00A608EE" w:rsidRDefault="00AA652B" w:rsidP="00AA652B">
      <w:pPr>
        <w:rPr>
          <w:lang w:eastAsia="en-US"/>
        </w:rPr>
      </w:pPr>
    </w:p>
    <w:tbl>
      <w:tblPr>
        <w:tblStyle w:val="TableGrid2"/>
        <w:tblW w:w="8784" w:type="dxa"/>
        <w:tblLook w:val="04A0" w:firstRow="1" w:lastRow="0" w:firstColumn="1" w:lastColumn="0" w:noHBand="0" w:noVBand="1"/>
        <w:tblCaption w:val="Additional disability inclusion indicators: SPI5 Full"/>
        <w:tblDescription w:val="The table structure shows aadditional indicators of disability inclusive practices in the Cerise+SPTF SPI5 Full tool, mapped to the dimentions, standards, essential practices and indicators of the Universal Standards.  For the disability inclusion indicators within the framework, the table shows the revelant section or sections in chapter 4 of this guide where information and guidance can be found. "/>
      </w:tblPr>
      <w:tblGrid>
        <w:gridCol w:w="8784"/>
      </w:tblGrid>
      <w:tr w:rsidR="00F258C2" w:rsidRPr="00A608EE" w14:paraId="3E85DB4C" w14:textId="77777777" w:rsidTr="00F258C2">
        <w:trPr>
          <w:tblHeader/>
        </w:trPr>
        <w:tc>
          <w:tcPr>
            <w:tcW w:w="8784" w:type="dxa"/>
            <w:shd w:val="clear" w:color="auto" w:fill="3AAF7D"/>
          </w:tcPr>
          <w:p w14:paraId="0CD85C2B" w14:textId="3B0915AA"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Disability inclusion indicators (Additional indicators in SPI5 Full)</w:t>
            </w:r>
          </w:p>
        </w:tc>
      </w:tr>
      <w:tr w:rsidR="00F258C2" w:rsidRPr="00A608EE" w14:paraId="444FCF1E" w14:textId="77777777" w:rsidTr="00F258C2">
        <w:tc>
          <w:tcPr>
            <w:tcW w:w="8784" w:type="dxa"/>
            <w:shd w:val="clear" w:color="auto" w:fill="82D5B1"/>
          </w:tcPr>
          <w:p w14:paraId="303ACA6D"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1. Social Strategy</w:t>
            </w:r>
          </w:p>
        </w:tc>
      </w:tr>
      <w:tr w:rsidR="00F258C2" w:rsidRPr="00A608EE" w14:paraId="3850A0FF" w14:textId="77777777" w:rsidTr="00F258C2">
        <w:tc>
          <w:tcPr>
            <w:tcW w:w="8784" w:type="dxa"/>
            <w:shd w:val="clear" w:color="auto" w:fill="D5F1E5"/>
          </w:tcPr>
          <w:p w14:paraId="44C99C5F"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Standard 1B. The provider collects, analyzes, and reports data that are specific to its social goals.</w:t>
            </w:r>
          </w:p>
        </w:tc>
      </w:tr>
      <w:tr w:rsidR="00F258C2" w:rsidRPr="00A608EE" w14:paraId="4EB52435" w14:textId="77777777" w:rsidTr="00F258C2">
        <w:tc>
          <w:tcPr>
            <w:tcW w:w="8784" w:type="dxa"/>
            <w:shd w:val="clear" w:color="auto" w:fill="D9D9D9"/>
          </w:tcPr>
          <w:p w14:paraId="083D2B4F"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Essential Practice 1.B.2 The provider analyzes outcomes data by client segment.</w:t>
            </w:r>
          </w:p>
        </w:tc>
      </w:tr>
      <w:tr w:rsidR="00F258C2" w:rsidRPr="00A608EE" w14:paraId="56F76568" w14:textId="77777777" w:rsidTr="00F258C2">
        <w:tc>
          <w:tcPr>
            <w:tcW w:w="8784" w:type="dxa"/>
          </w:tcPr>
          <w:p w14:paraId="163ADFFF"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sz w:val="20"/>
                <w:szCs w:val="20"/>
                <w:lang w:eastAsia="en-US"/>
              </w:rPr>
              <w:t>1.B.2.2 The provider analyzes outcomes for according to their client profile by: gender; age; disability status, location (urban/rural); poverty/income level</w:t>
            </w:r>
          </w:p>
        </w:tc>
      </w:tr>
      <w:tr w:rsidR="00F258C2" w:rsidRPr="00A608EE" w14:paraId="3B13AAFE" w14:textId="77777777" w:rsidTr="00F258C2">
        <w:tc>
          <w:tcPr>
            <w:tcW w:w="8784" w:type="dxa"/>
            <w:shd w:val="clear" w:color="auto" w:fill="82D5B1"/>
          </w:tcPr>
          <w:p w14:paraId="6BFA1993"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2. Committed Leadership</w:t>
            </w:r>
          </w:p>
        </w:tc>
      </w:tr>
      <w:tr w:rsidR="00F258C2" w:rsidRPr="00A608EE" w14:paraId="67ACC509" w14:textId="77777777" w:rsidTr="00F258C2">
        <w:tc>
          <w:tcPr>
            <w:tcW w:w="8784" w:type="dxa"/>
            <w:shd w:val="clear" w:color="auto" w:fill="D5F1E5"/>
          </w:tcPr>
          <w:p w14:paraId="7C93A3B8"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2A. Members of the board of directors hold management accountable for achieving the provider’s social goals.</w:t>
            </w:r>
          </w:p>
        </w:tc>
      </w:tr>
      <w:tr w:rsidR="00F258C2" w:rsidRPr="00A608EE" w14:paraId="5708F2BC" w14:textId="77777777" w:rsidTr="00F258C2">
        <w:tc>
          <w:tcPr>
            <w:tcW w:w="8784" w:type="dxa"/>
            <w:shd w:val="clear" w:color="auto" w:fill="D9D9D9"/>
          </w:tcPr>
          <w:p w14:paraId="6A0FE932"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b/>
                <w:bCs/>
                <w:sz w:val="20"/>
                <w:szCs w:val="20"/>
                <w:lang w:eastAsia="en-US"/>
              </w:rPr>
              <w:t>Essential Practice 2.A.1 Board composition reflects the provider’s social strategy and sound governance practices.</w:t>
            </w:r>
          </w:p>
        </w:tc>
      </w:tr>
      <w:tr w:rsidR="00F258C2" w:rsidRPr="00A608EE" w14:paraId="180F44A4" w14:textId="77777777" w:rsidTr="00F258C2">
        <w:tc>
          <w:tcPr>
            <w:tcW w:w="8784" w:type="dxa"/>
          </w:tcPr>
          <w:p w14:paraId="0D550485"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2.A.1.4. The board includes members representative of the provider’s target clients, including persons with disabilities, aligned to its social strategy. Alternatively, the provider may partner with OPDs to ensure appropriate representation of the perspectives of persons with disabilities.</w:t>
            </w:r>
          </w:p>
        </w:tc>
      </w:tr>
      <w:tr w:rsidR="00F258C2" w:rsidRPr="00A608EE" w14:paraId="152A685D" w14:textId="77777777" w:rsidTr="00F258C2">
        <w:tc>
          <w:tcPr>
            <w:tcW w:w="8784" w:type="dxa"/>
            <w:shd w:val="clear" w:color="auto" w:fill="82D5B1"/>
          </w:tcPr>
          <w:p w14:paraId="1CC90FF6"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b/>
                <w:bCs/>
                <w:sz w:val="20"/>
                <w:szCs w:val="20"/>
                <w:lang w:eastAsia="en-US"/>
              </w:rPr>
              <w:t>Dimension 3. Client-centered Products and Services</w:t>
            </w:r>
          </w:p>
        </w:tc>
      </w:tr>
      <w:tr w:rsidR="00F258C2" w:rsidRPr="00A608EE" w14:paraId="34C193DD" w14:textId="77777777" w:rsidTr="00F258C2">
        <w:tc>
          <w:tcPr>
            <w:tcW w:w="8784" w:type="dxa"/>
            <w:shd w:val="clear" w:color="auto" w:fill="D5F1E5"/>
          </w:tcPr>
          <w:p w14:paraId="16F27B73"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b/>
                <w:bCs/>
                <w:sz w:val="20"/>
                <w:szCs w:val="20"/>
                <w:lang w:eastAsia="en-US"/>
              </w:rPr>
              <w:t>Standard 3A. The provider collects and analyzes data to understand clients' needs.</w:t>
            </w:r>
          </w:p>
        </w:tc>
      </w:tr>
      <w:tr w:rsidR="00F258C2" w:rsidRPr="00A608EE" w14:paraId="11A753B8" w14:textId="77777777" w:rsidTr="00F258C2">
        <w:tc>
          <w:tcPr>
            <w:tcW w:w="8784" w:type="dxa"/>
            <w:shd w:val="clear" w:color="auto" w:fill="D9D9D9"/>
          </w:tcPr>
          <w:p w14:paraId="015257C9"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b/>
                <w:bCs/>
                <w:sz w:val="20"/>
                <w:szCs w:val="20"/>
                <w:lang w:eastAsia="en-US"/>
              </w:rPr>
              <w:t>Essential Practice 3.A.3 Collect client feedback on their experiences using products and services.</w:t>
            </w:r>
          </w:p>
        </w:tc>
      </w:tr>
      <w:tr w:rsidR="00F258C2" w:rsidRPr="00A608EE" w14:paraId="0D293213" w14:textId="77777777" w:rsidTr="00F258C2">
        <w:tc>
          <w:tcPr>
            <w:tcW w:w="8784" w:type="dxa"/>
          </w:tcPr>
          <w:p w14:paraId="5B436ED1" w14:textId="77777777" w:rsidR="00F258C2" w:rsidRPr="00A608EE" w:rsidRDefault="00F258C2" w:rsidP="00F258C2">
            <w:pPr>
              <w:spacing w:after="160"/>
              <w:rPr>
                <w:rFonts w:asciiTheme="majorHAnsi" w:eastAsia="Calibri" w:hAnsiTheme="majorHAnsi" w:cs="Calibri"/>
                <w:sz w:val="20"/>
                <w:szCs w:val="20"/>
                <w:lang w:eastAsia="en-US"/>
              </w:rPr>
            </w:pPr>
            <w:r w:rsidRPr="00A608EE">
              <w:rPr>
                <w:rFonts w:asciiTheme="majorHAnsi" w:eastAsia="Calibri" w:hAnsiTheme="majorHAnsi" w:cs="Calibri"/>
                <w:sz w:val="20"/>
                <w:szCs w:val="20"/>
                <w:lang w:eastAsia="en-US"/>
              </w:rPr>
              <w:t>3.A.3.3 The provider investigates whether particular stresses for households which include members with disabilities make it more difficult for persons with disabilities and / or their families / support persons to use its products and services</w:t>
            </w:r>
          </w:p>
        </w:tc>
      </w:tr>
      <w:tr w:rsidR="00F258C2" w:rsidRPr="00A608EE" w14:paraId="26C99C0D" w14:textId="77777777" w:rsidTr="00F258C2">
        <w:tc>
          <w:tcPr>
            <w:tcW w:w="8784" w:type="dxa"/>
            <w:shd w:val="clear" w:color="auto" w:fill="D5F1E5"/>
          </w:tcPr>
          <w:p w14:paraId="0072B243"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3B. The provider’s products, services, and channels benefit clients.</w:t>
            </w:r>
          </w:p>
        </w:tc>
      </w:tr>
      <w:tr w:rsidR="00F258C2" w:rsidRPr="00A608EE" w14:paraId="7688F238" w14:textId="77777777" w:rsidTr="00F258C2">
        <w:tc>
          <w:tcPr>
            <w:tcW w:w="8784" w:type="dxa"/>
            <w:shd w:val="clear" w:color="auto" w:fill="D9D9D9"/>
          </w:tcPr>
          <w:p w14:paraId="1F7463CF"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3.B.3 The provider's products, services, and channels protect clients from harm.</w:t>
            </w:r>
          </w:p>
        </w:tc>
      </w:tr>
      <w:tr w:rsidR="00F258C2" w:rsidRPr="00A608EE" w14:paraId="2FF5CD2E" w14:textId="77777777" w:rsidTr="00F258C2">
        <w:tc>
          <w:tcPr>
            <w:tcW w:w="8784" w:type="dxa"/>
          </w:tcPr>
          <w:p w14:paraId="7EC14E3E"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3.B.3.3 The provider accepts alternative forms of collateral from clients whose gender, disability status or age creates barriers to access in the local context.</w:t>
            </w:r>
          </w:p>
        </w:tc>
      </w:tr>
      <w:tr w:rsidR="00F258C2" w:rsidRPr="00A608EE" w14:paraId="037C9890" w14:textId="77777777" w:rsidTr="00F258C2">
        <w:tc>
          <w:tcPr>
            <w:tcW w:w="8784" w:type="dxa"/>
          </w:tcPr>
          <w:p w14:paraId="03CD2D4A"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3.B.3.7 If the provider uses agents, it should have procedures to ensure agents comply with its client protection policies, including specific client protection measures related to clients with disabilities, and that services provided by agents are accessible for clients with disabilities.</w:t>
            </w:r>
          </w:p>
        </w:tc>
      </w:tr>
      <w:tr w:rsidR="00F258C2" w:rsidRPr="00A608EE" w14:paraId="6740205B" w14:textId="77777777" w:rsidTr="00F258C2">
        <w:tc>
          <w:tcPr>
            <w:tcW w:w="8784" w:type="dxa"/>
            <w:shd w:val="clear" w:color="auto" w:fill="D9D9D9"/>
          </w:tcPr>
          <w:p w14:paraId="5DF58D93"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3.B.5 The provider's products and services help clients achieve their goals.</w:t>
            </w:r>
          </w:p>
        </w:tc>
      </w:tr>
      <w:tr w:rsidR="00F258C2" w:rsidRPr="00A608EE" w14:paraId="0F41BD44" w14:textId="77777777" w:rsidTr="00F258C2">
        <w:tc>
          <w:tcPr>
            <w:tcW w:w="8784" w:type="dxa"/>
          </w:tcPr>
          <w:p w14:paraId="22262FDB"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3.B.5.1 The provider offers training to clients in areas where they have skill gaps that prevent them from achieving their goals, using training modalities, format, content and delivery that are accessible to and inclusive of persons with disabilities.</w:t>
            </w:r>
          </w:p>
          <w:p w14:paraId="184D4F99"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-Staff carrying out training to clients are trained in accessibility, inclusion and communication with clients with different types of impairments.</w:t>
            </w:r>
          </w:p>
          <w:p w14:paraId="2E06B482" w14:textId="77777777" w:rsidR="00F258C2" w:rsidRPr="00A608EE" w:rsidRDefault="00F258C2" w:rsidP="00F258C2">
            <w:pPr>
              <w:spacing w:after="160"/>
              <w:rPr>
                <w:rFonts w:asciiTheme="majorHAnsi" w:eastAsia="Calibri" w:hAnsiTheme="majorHAnsi" w:cs="DaunPenh"/>
                <w:b/>
                <w:bCs/>
                <w:sz w:val="20"/>
                <w:szCs w:val="20"/>
                <w:lang w:eastAsia="en-US"/>
              </w:rPr>
            </w:pPr>
          </w:p>
        </w:tc>
      </w:tr>
      <w:tr w:rsidR="00F258C2" w:rsidRPr="00A608EE" w14:paraId="0A2A1BED" w14:textId="77777777" w:rsidTr="00F258C2">
        <w:tc>
          <w:tcPr>
            <w:tcW w:w="8784" w:type="dxa"/>
            <w:shd w:val="clear" w:color="auto" w:fill="82D5B1"/>
          </w:tcPr>
          <w:p w14:paraId="6806A1C8"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Dimension 4. Client Protection</w:t>
            </w:r>
          </w:p>
        </w:tc>
      </w:tr>
      <w:tr w:rsidR="00F258C2" w:rsidRPr="00A608EE" w14:paraId="64384FDC" w14:textId="77777777" w:rsidTr="00F258C2">
        <w:tc>
          <w:tcPr>
            <w:tcW w:w="8784" w:type="dxa"/>
            <w:shd w:val="clear" w:color="auto" w:fill="D5F1E5"/>
          </w:tcPr>
          <w:p w14:paraId="0C7E1543"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4A. The provider does not overindebt clients.</w:t>
            </w:r>
          </w:p>
        </w:tc>
      </w:tr>
      <w:tr w:rsidR="00F258C2" w:rsidRPr="00A608EE" w14:paraId="341138C2" w14:textId="77777777" w:rsidTr="00F258C2">
        <w:tc>
          <w:tcPr>
            <w:tcW w:w="8784" w:type="dxa"/>
            <w:shd w:val="clear" w:color="auto" w:fill="D9D9D9"/>
          </w:tcPr>
          <w:p w14:paraId="5F5C9C36"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4.A.1 The provider makes loan decisions based on a client's repayment capacity.</w:t>
            </w:r>
          </w:p>
        </w:tc>
      </w:tr>
      <w:tr w:rsidR="00F258C2" w:rsidRPr="00A608EE" w14:paraId="38A0B308" w14:textId="77777777" w:rsidTr="00F258C2">
        <w:tc>
          <w:tcPr>
            <w:tcW w:w="8784" w:type="dxa"/>
          </w:tcPr>
          <w:p w14:paraId="13BB3B07"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4.A.1.4 The provider's development processes and reviews of its algorithms include mitigation of bias against persons with different types of impairments.</w:t>
            </w:r>
          </w:p>
        </w:tc>
      </w:tr>
      <w:tr w:rsidR="00F258C2" w:rsidRPr="00A608EE" w14:paraId="166B4799" w14:textId="77777777" w:rsidTr="00F258C2">
        <w:tc>
          <w:tcPr>
            <w:tcW w:w="8784" w:type="dxa"/>
            <w:shd w:val="clear" w:color="auto" w:fill="D5F1E5"/>
          </w:tcPr>
          <w:p w14:paraId="0801000B"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4B. The provider gives clients clear and timely information to support client decision making.</w:t>
            </w:r>
          </w:p>
        </w:tc>
      </w:tr>
      <w:tr w:rsidR="00F258C2" w:rsidRPr="00A608EE" w14:paraId="1A9EC470" w14:textId="77777777" w:rsidTr="00F258C2">
        <w:tc>
          <w:tcPr>
            <w:tcW w:w="8784" w:type="dxa"/>
            <w:shd w:val="clear" w:color="auto" w:fill="D9D9D9"/>
          </w:tcPr>
          <w:p w14:paraId="2CA67101"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4.B.1 The provider is transparent about product terms, conditions, and pricing.</w:t>
            </w:r>
          </w:p>
        </w:tc>
      </w:tr>
      <w:tr w:rsidR="00F258C2" w:rsidRPr="00A608EE" w14:paraId="277A4090" w14:textId="77777777" w:rsidTr="00F258C2">
        <w:tc>
          <w:tcPr>
            <w:tcW w:w="8784" w:type="dxa"/>
          </w:tcPr>
          <w:p w14:paraId="57E2BD46" w14:textId="77777777" w:rsidR="00F258C2" w:rsidRPr="00A608EE" w:rsidRDefault="00F258C2" w:rsidP="00F258C2">
            <w:pPr>
              <w:spacing w:after="160"/>
              <w:rPr>
                <w:rFonts w:asciiTheme="majorHAnsi" w:eastAsia="Calibri" w:hAnsiTheme="majorHAnsi" w:cs="Calibri"/>
                <w:sz w:val="20"/>
                <w:szCs w:val="20"/>
                <w:lang w:eastAsia="en-US"/>
              </w:rPr>
            </w:pPr>
            <w:r w:rsidRPr="00A608EE">
              <w:rPr>
                <w:rFonts w:asciiTheme="majorHAnsi" w:eastAsia="Calibri" w:hAnsiTheme="majorHAnsi" w:cs="Calibri"/>
                <w:sz w:val="20"/>
                <w:szCs w:val="20"/>
                <w:lang w:eastAsia="en-US"/>
              </w:rPr>
              <w:t>4.B.1.5 If the provider uses agents, it verifies that agents provide sufficient documentation in accessible and alternative formats for clients with different types of impairments (e.g. Easy-read, large print, braille, audio formats, accessible digital formats)</w:t>
            </w:r>
          </w:p>
        </w:tc>
      </w:tr>
      <w:tr w:rsidR="00F258C2" w:rsidRPr="00A608EE" w14:paraId="229CCC65" w14:textId="77777777" w:rsidTr="00F258C2">
        <w:tc>
          <w:tcPr>
            <w:tcW w:w="8784" w:type="dxa"/>
            <w:shd w:val="clear" w:color="auto" w:fill="D9D9D9"/>
          </w:tcPr>
          <w:p w14:paraId="180BA084"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4.B.2 The provider communicates with clients at appropriate times and through appropriate channels.</w:t>
            </w:r>
          </w:p>
        </w:tc>
      </w:tr>
      <w:tr w:rsidR="00F258C2" w:rsidRPr="00A608EE" w14:paraId="5144F97E" w14:textId="77777777" w:rsidTr="00F258C2">
        <w:tc>
          <w:tcPr>
            <w:tcW w:w="8784" w:type="dxa"/>
          </w:tcPr>
          <w:p w14:paraId="745A1575"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4.B.2.4 The provider gives clients with disabilities loan repayment reminders in accessible channels and formats (including online or physical documents).</w:t>
            </w:r>
          </w:p>
        </w:tc>
      </w:tr>
      <w:tr w:rsidR="00F258C2" w:rsidRPr="00A608EE" w14:paraId="2100C7E8" w14:textId="77777777" w:rsidTr="00F258C2">
        <w:tc>
          <w:tcPr>
            <w:tcW w:w="8784" w:type="dxa"/>
            <w:shd w:val="clear" w:color="auto" w:fill="D5F1E5"/>
          </w:tcPr>
          <w:p w14:paraId="5E242F73"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4C. The provider enforces fair and respectful treatment of clients.</w:t>
            </w:r>
          </w:p>
        </w:tc>
      </w:tr>
      <w:tr w:rsidR="00F258C2" w:rsidRPr="00A608EE" w14:paraId="1AC4C99F" w14:textId="77777777" w:rsidTr="00F258C2">
        <w:tc>
          <w:tcPr>
            <w:tcW w:w="8784" w:type="dxa"/>
            <w:shd w:val="clear" w:color="auto" w:fill="D9D9D9"/>
          </w:tcPr>
          <w:p w14:paraId="3601C694"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4.C.1 The provider's code of conduct requires fair and respectful treatment of clients.</w:t>
            </w:r>
          </w:p>
        </w:tc>
      </w:tr>
      <w:tr w:rsidR="00F258C2" w:rsidRPr="00A608EE" w14:paraId="363F0ED6" w14:textId="77777777" w:rsidTr="00F258C2">
        <w:tc>
          <w:tcPr>
            <w:tcW w:w="8784" w:type="dxa"/>
          </w:tcPr>
          <w:p w14:paraId="0A7793BC"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4.C.1.4 If the provider partners with third parties, it reviews the third party's code of conduct prior to signing a contract to check for commitment to fair and respectful treatment of clients, including clients with disabilities.</w:t>
            </w:r>
          </w:p>
        </w:tc>
      </w:tr>
      <w:tr w:rsidR="00F258C2" w:rsidRPr="00A608EE" w14:paraId="6F6DB81E" w14:textId="77777777" w:rsidTr="00F258C2">
        <w:tc>
          <w:tcPr>
            <w:tcW w:w="8784" w:type="dxa"/>
            <w:shd w:val="clear" w:color="auto" w:fill="D5F1E5"/>
          </w:tcPr>
          <w:p w14:paraId="2C28F512"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4D. The provider secures client data and informs clients about their data rights.</w:t>
            </w:r>
          </w:p>
        </w:tc>
      </w:tr>
      <w:tr w:rsidR="00F258C2" w:rsidRPr="00A608EE" w14:paraId="0A0F1272" w14:textId="77777777" w:rsidTr="00F258C2">
        <w:tc>
          <w:tcPr>
            <w:tcW w:w="8784" w:type="dxa"/>
            <w:shd w:val="clear" w:color="auto" w:fill="D9D9D9"/>
          </w:tcPr>
          <w:p w14:paraId="5F3D59A6"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4.D.1 The provider maintains the security and confidentiality of client data.</w:t>
            </w:r>
          </w:p>
        </w:tc>
      </w:tr>
      <w:tr w:rsidR="00F258C2" w:rsidRPr="00A608EE" w14:paraId="06FE6A6B" w14:textId="77777777" w:rsidTr="00F258C2">
        <w:tc>
          <w:tcPr>
            <w:tcW w:w="8784" w:type="dxa"/>
          </w:tcPr>
          <w:p w14:paraId="7F434FE4"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4.D.1.1 The provider's policies should include measures that enable clients with different types of impairments to access its products and services, prioritizing independent access, while mitigating risks to the client and safeguarding the security of the client's data.</w:t>
            </w:r>
          </w:p>
        </w:tc>
      </w:tr>
      <w:tr w:rsidR="00F258C2" w:rsidRPr="00A608EE" w14:paraId="11254E3C" w14:textId="77777777" w:rsidTr="00F258C2">
        <w:tc>
          <w:tcPr>
            <w:tcW w:w="8784" w:type="dxa"/>
            <w:shd w:val="clear" w:color="auto" w:fill="82D5B1"/>
          </w:tcPr>
          <w:p w14:paraId="694531AF"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5. Responsible Human Resource Development</w:t>
            </w:r>
          </w:p>
        </w:tc>
      </w:tr>
      <w:tr w:rsidR="00F258C2" w:rsidRPr="00A608EE" w14:paraId="5A3BDE36" w14:textId="77777777" w:rsidTr="00F258C2">
        <w:tc>
          <w:tcPr>
            <w:tcW w:w="8784" w:type="dxa"/>
            <w:shd w:val="clear" w:color="auto" w:fill="D5F1E5"/>
          </w:tcPr>
          <w:p w14:paraId="5F370912"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5A. The provider creates a safe and equitable work environment.</w:t>
            </w:r>
          </w:p>
        </w:tc>
      </w:tr>
      <w:tr w:rsidR="00F258C2" w:rsidRPr="00A608EE" w14:paraId="6DCF5E90" w14:textId="77777777" w:rsidTr="00F258C2">
        <w:tc>
          <w:tcPr>
            <w:tcW w:w="8784" w:type="dxa"/>
            <w:shd w:val="clear" w:color="auto" w:fill="D9D9D9"/>
          </w:tcPr>
          <w:p w14:paraId="45C894D5"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5.A.3 The provider has a safety and health management system.</w:t>
            </w:r>
            <w:r w:rsidRPr="00A608EE">
              <w:rPr>
                <w:rFonts w:asciiTheme="majorHAnsi" w:eastAsia="Calibri" w:hAnsiTheme="majorHAnsi" w:cs="DaunPenh"/>
                <w:b/>
                <w:bCs/>
                <w:sz w:val="20"/>
                <w:szCs w:val="20"/>
                <w:lang w:eastAsia="en-US"/>
              </w:rPr>
              <w:tab/>
            </w:r>
          </w:p>
        </w:tc>
      </w:tr>
      <w:tr w:rsidR="00F258C2" w:rsidRPr="00A608EE" w14:paraId="07D7D278" w14:textId="77777777" w:rsidTr="00F258C2">
        <w:tc>
          <w:tcPr>
            <w:tcW w:w="8784" w:type="dxa"/>
          </w:tcPr>
          <w:p w14:paraId="476BA1CA"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5.A.3.2 The provider documents and reports to management all occupational accidents, injuries, and illnesses, disaggregated by gender and disability status and by position: Minimum frequency: annually.</w:t>
            </w:r>
          </w:p>
        </w:tc>
      </w:tr>
    </w:tbl>
    <w:p w14:paraId="4EF6F263" w14:textId="77777777" w:rsidR="00C37E87" w:rsidRPr="00A608EE" w:rsidRDefault="00C37E87">
      <w:r w:rsidRPr="00A608EE">
        <w:br w:type="page"/>
      </w:r>
    </w:p>
    <w:tbl>
      <w:tblPr>
        <w:tblStyle w:val="TableGrid2"/>
        <w:tblW w:w="8784" w:type="dxa"/>
        <w:tblLook w:val="04A0" w:firstRow="1" w:lastRow="0" w:firstColumn="1" w:lastColumn="0" w:noHBand="0" w:noVBand="1"/>
        <w:tblCaption w:val="Additional disability inclusion indicators: SPI5 Full"/>
        <w:tblDescription w:val="The table structure shows aadditional indicators of disability inclusive practices in the Cerise+SPTF SPI5 Full tool, mapped to the dimentions, standards, essential practices and indicators of the Universal Standards.  For the disability inclusion indicators within the framework, the table shows the revelant section or sections in chapter 4 of this guide where information and guidance can be found. "/>
      </w:tblPr>
      <w:tblGrid>
        <w:gridCol w:w="8784"/>
      </w:tblGrid>
      <w:tr w:rsidR="00F258C2" w:rsidRPr="00A608EE" w14:paraId="1597299B" w14:textId="77777777" w:rsidTr="00F258C2">
        <w:tc>
          <w:tcPr>
            <w:tcW w:w="8784" w:type="dxa"/>
            <w:shd w:val="clear" w:color="auto" w:fill="D5F1E5"/>
          </w:tcPr>
          <w:p w14:paraId="7DB20727" w14:textId="633DA52F"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lastRenderedPageBreak/>
              <w:t>Standard 5B. The provider’s Human Resource Development system is designed to attract and maintain a qualified and motivated workforce</w:t>
            </w:r>
          </w:p>
        </w:tc>
      </w:tr>
      <w:tr w:rsidR="00F258C2" w:rsidRPr="00A608EE" w14:paraId="7BF6857B" w14:textId="77777777" w:rsidTr="00F258C2">
        <w:tc>
          <w:tcPr>
            <w:tcW w:w="8784" w:type="dxa"/>
            <w:shd w:val="clear" w:color="auto" w:fill="D9D9D9"/>
          </w:tcPr>
          <w:p w14:paraId="6323CED0"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5.B.2 The provider gives employees formal opportunities to communicate with management.</w:t>
            </w:r>
          </w:p>
        </w:tc>
      </w:tr>
      <w:tr w:rsidR="00F258C2" w:rsidRPr="00A608EE" w14:paraId="44C6BAEA" w14:textId="77777777" w:rsidTr="00F258C2">
        <w:tc>
          <w:tcPr>
            <w:tcW w:w="8784" w:type="dxa"/>
          </w:tcPr>
          <w:p w14:paraId="3B6BC6C8"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Calibri"/>
                <w:color w:val="2A3049"/>
                <w:sz w:val="20"/>
                <w:szCs w:val="20"/>
                <w:lang w:eastAsia="en-US"/>
              </w:rPr>
              <w:t>5.B.2.3 The provider measures satisfaction and concerns of employees with disabilities with employment conditions, both in general and related to their specific needs.</w:t>
            </w:r>
          </w:p>
        </w:tc>
      </w:tr>
      <w:tr w:rsidR="00F258C2" w:rsidRPr="00A608EE" w14:paraId="1BB230EC" w14:textId="77777777" w:rsidTr="00F258C2">
        <w:tc>
          <w:tcPr>
            <w:tcW w:w="8784" w:type="dxa"/>
            <w:shd w:val="clear" w:color="auto" w:fill="D5F1E5"/>
          </w:tcPr>
          <w:p w14:paraId="16FD8F95"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5C. The provider’s Human Resource Development system supports its social strategy.</w:t>
            </w:r>
          </w:p>
        </w:tc>
      </w:tr>
      <w:tr w:rsidR="00F258C2" w:rsidRPr="00A608EE" w14:paraId="76133C82" w14:textId="77777777" w:rsidTr="00F258C2">
        <w:tc>
          <w:tcPr>
            <w:tcW w:w="8784" w:type="dxa"/>
            <w:shd w:val="clear" w:color="auto" w:fill="D9D9D9"/>
          </w:tcPr>
          <w:p w14:paraId="1E0B8688"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5.C.1 During the recruitment and hiring process, the provider assesses each candidate’s commitment to achieving the provider’s social goals and serving its target clients.</w:t>
            </w:r>
          </w:p>
        </w:tc>
      </w:tr>
      <w:tr w:rsidR="00F258C2" w:rsidRPr="00A608EE" w14:paraId="54A88A2F" w14:textId="77777777" w:rsidTr="00F258C2">
        <w:tc>
          <w:tcPr>
            <w:tcW w:w="8784" w:type="dxa"/>
          </w:tcPr>
          <w:p w14:paraId="5B05300D"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5.C.1.3 New employee orientation and induction training for client-facing staff includes checking and strengthening capacities for:</w:t>
            </w:r>
          </w:p>
          <w:p w14:paraId="7111410E"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-understanding and serving the needs and priorities of clients with disabilities within target segments</w:t>
            </w:r>
          </w:p>
          <w:p w14:paraId="3DF9AA3A"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 xml:space="preserve">-accessibility and inclusion, and </w:t>
            </w:r>
          </w:p>
          <w:p w14:paraId="2E043B87"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-communicating clearly and respectfully with clients with different types of impairments (physical, mental, intellectual or sensory impairments)</w:t>
            </w:r>
          </w:p>
        </w:tc>
      </w:tr>
      <w:tr w:rsidR="00F258C2" w:rsidRPr="00A608EE" w14:paraId="39F284BB" w14:textId="77777777" w:rsidTr="00F258C2">
        <w:tc>
          <w:tcPr>
            <w:tcW w:w="8784" w:type="dxa"/>
            <w:shd w:val="clear" w:color="auto" w:fill="D9D9D9"/>
          </w:tcPr>
          <w:p w14:paraId="60CA0C4E"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5.C.2 The provider trains all employees on its social goals and on client protection.</w:t>
            </w:r>
          </w:p>
        </w:tc>
      </w:tr>
      <w:tr w:rsidR="00F258C2" w:rsidRPr="00A608EE" w14:paraId="4F4704E7" w14:textId="77777777" w:rsidTr="00F258C2">
        <w:tc>
          <w:tcPr>
            <w:tcW w:w="8784" w:type="dxa"/>
          </w:tcPr>
          <w:p w14:paraId="27DABCC5"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sz w:val="20"/>
                <w:szCs w:val="20"/>
                <w:lang w:eastAsia="en-US"/>
              </w:rPr>
              <w:t>5.C.2.1 The provider trains all employees on disability awareness and inclusion and how they can contribute in their role to ensure inclusion of persons with disabilities</w:t>
            </w:r>
          </w:p>
        </w:tc>
      </w:tr>
      <w:tr w:rsidR="00F258C2" w:rsidRPr="00A608EE" w14:paraId="5A692F08" w14:textId="77777777" w:rsidTr="00F258C2">
        <w:tc>
          <w:tcPr>
            <w:tcW w:w="8784" w:type="dxa"/>
            <w:shd w:val="clear" w:color="auto" w:fill="82D5B1"/>
          </w:tcPr>
          <w:p w14:paraId="7293E037"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Dimension 7. Environmental Performance Management</w:t>
            </w:r>
          </w:p>
        </w:tc>
      </w:tr>
      <w:tr w:rsidR="00F258C2" w:rsidRPr="00A608EE" w14:paraId="03C77005" w14:textId="77777777" w:rsidTr="00F258C2">
        <w:tc>
          <w:tcPr>
            <w:tcW w:w="8784" w:type="dxa"/>
            <w:shd w:val="clear" w:color="auto" w:fill="D5F1E5"/>
          </w:tcPr>
          <w:p w14:paraId="103E272B"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Standard 7B. The provider identifies and manages environmental risks and opportunities.</w:t>
            </w:r>
          </w:p>
        </w:tc>
      </w:tr>
      <w:tr w:rsidR="00F258C2" w:rsidRPr="00A608EE" w14:paraId="188D7C92" w14:textId="77777777" w:rsidTr="00F258C2">
        <w:tc>
          <w:tcPr>
            <w:tcW w:w="8784" w:type="dxa"/>
            <w:shd w:val="clear" w:color="auto" w:fill="D9D9D9"/>
          </w:tcPr>
          <w:p w14:paraId="15211668"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7.B.1 The provider identifies and manages its own environmental risks at headquarters and branch level.</w:t>
            </w:r>
          </w:p>
        </w:tc>
      </w:tr>
      <w:tr w:rsidR="00F258C2" w:rsidRPr="00A608EE" w14:paraId="2951D95E" w14:textId="77777777" w:rsidTr="00F258C2">
        <w:tc>
          <w:tcPr>
            <w:tcW w:w="8784" w:type="dxa"/>
          </w:tcPr>
          <w:p w14:paraId="06F0A131" w14:textId="77777777" w:rsidR="00F258C2" w:rsidRPr="00A608EE"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7.B.1.2 The provider provides accommodations to ensure the health and safety of employees with disabilities, and includes measures to ensure the safety of employees with disabilities within emergency/disaster response plans.</w:t>
            </w:r>
          </w:p>
          <w:p w14:paraId="58649876"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sz w:val="20"/>
                <w:szCs w:val="20"/>
                <w:lang w:eastAsia="en-US"/>
              </w:rPr>
              <w:t>-</w:t>
            </w:r>
            <w:r w:rsidRPr="00A608EE">
              <w:rPr>
                <w:rFonts w:asciiTheme="majorHAnsi" w:eastAsia="Calibri" w:hAnsiTheme="majorHAnsi" w:cs="Calibri"/>
                <w:color w:val="2A3049"/>
                <w:sz w:val="20"/>
                <w:szCs w:val="20"/>
                <w:lang w:eastAsia="en-US"/>
              </w:rPr>
              <w:t xml:space="preserve"> The provider's disaster contingency plan is provided in formats that are accessible for employees with different types of impairments (e.g. Easy-read, large print, braille, audio formats, oral information, sign language, accessible digital channels).</w:t>
            </w:r>
          </w:p>
        </w:tc>
      </w:tr>
      <w:tr w:rsidR="00F258C2" w:rsidRPr="00A608EE" w14:paraId="77F72B9E" w14:textId="77777777" w:rsidTr="00F258C2">
        <w:tc>
          <w:tcPr>
            <w:tcW w:w="8784" w:type="dxa"/>
            <w:shd w:val="clear" w:color="auto" w:fill="D9D9D9"/>
          </w:tcPr>
          <w:p w14:paraId="440CB687" w14:textId="77777777" w:rsidR="00F258C2" w:rsidRPr="00A608EE" w:rsidRDefault="00F258C2" w:rsidP="00F258C2">
            <w:pPr>
              <w:spacing w:after="160"/>
              <w:rPr>
                <w:rFonts w:asciiTheme="majorHAnsi" w:eastAsia="Calibri" w:hAnsiTheme="majorHAnsi" w:cs="DaunPenh"/>
                <w:b/>
                <w:bCs/>
                <w:sz w:val="20"/>
                <w:szCs w:val="20"/>
                <w:lang w:eastAsia="en-US"/>
              </w:rPr>
            </w:pPr>
            <w:r w:rsidRPr="00A608EE">
              <w:rPr>
                <w:rFonts w:asciiTheme="majorHAnsi" w:eastAsia="Calibri" w:hAnsiTheme="majorHAnsi" w:cs="DaunPenh"/>
                <w:b/>
                <w:bCs/>
                <w:sz w:val="20"/>
                <w:szCs w:val="20"/>
                <w:lang w:eastAsia="en-US"/>
              </w:rPr>
              <w:t>Essential Practice 7.B.3 The provider identifies opportunities to finance green practices and technologies.</w:t>
            </w:r>
          </w:p>
        </w:tc>
      </w:tr>
      <w:tr w:rsidR="00F258C2" w:rsidRPr="00373807" w14:paraId="4FC15B34" w14:textId="77777777" w:rsidTr="00F258C2">
        <w:tc>
          <w:tcPr>
            <w:tcW w:w="8784" w:type="dxa"/>
          </w:tcPr>
          <w:p w14:paraId="60514568" w14:textId="77777777" w:rsidR="00F258C2" w:rsidRPr="00373807" w:rsidRDefault="00F258C2" w:rsidP="00F258C2">
            <w:pPr>
              <w:spacing w:after="160"/>
              <w:rPr>
                <w:rFonts w:asciiTheme="majorHAnsi" w:eastAsia="Calibri" w:hAnsiTheme="majorHAnsi" w:cs="DaunPenh"/>
                <w:sz w:val="20"/>
                <w:szCs w:val="20"/>
                <w:lang w:eastAsia="en-US"/>
              </w:rPr>
            </w:pPr>
            <w:r w:rsidRPr="00A608EE">
              <w:rPr>
                <w:rFonts w:asciiTheme="majorHAnsi" w:eastAsia="Calibri" w:hAnsiTheme="majorHAnsi" w:cs="DaunPenh"/>
                <w:sz w:val="20"/>
                <w:szCs w:val="20"/>
                <w:lang w:eastAsia="en-US"/>
              </w:rPr>
              <w:t>7.B.3.3 Market research modalities for assessment of demand for green practices and related financial needs of target clients are accessible and enable fair representation and participation of persons with different types of impairments.</w:t>
            </w:r>
          </w:p>
        </w:tc>
      </w:tr>
    </w:tbl>
    <w:p w14:paraId="040CF514" w14:textId="77777777" w:rsidR="002724E5" w:rsidRPr="002724E5" w:rsidRDefault="002724E5" w:rsidP="00EE208A">
      <w:pPr>
        <w:jc w:val="both"/>
        <w:rPr>
          <w:rFonts w:asciiTheme="majorHAnsi" w:hAnsiTheme="majorHAnsi" w:cstheme="majorHAnsi"/>
          <w:szCs w:val="20"/>
        </w:rPr>
      </w:pPr>
    </w:p>
    <w:sectPr w:rsidR="002724E5" w:rsidRPr="002724E5" w:rsidSect="00A4589A">
      <w:headerReference w:type="default" r:id="rId331"/>
      <w:footerReference w:type="default" r:id="rId332"/>
      <w:headerReference w:type="first" r:id="rId333"/>
      <w:footerReference w:type="first" r:id="rId334"/>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2EA02" w14:textId="77777777" w:rsidR="00711E59" w:rsidRPr="00820B09" w:rsidRDefault="00711E59" w:rsidP="00A4589A">
      <w:r w:rsidRPr="00820B09">
        <w:separator/>
      </w:r>
    </w:p>
    <w:p w14:paraId="66082F75" w14:textId="77777777" w:rsidR="00711E59" w:rsidRPr="00820B09" w:rsidRDefault="00711E59"/>
  </w:endnote>
  <w:endnote w:type="continuationSeparator" w:id="0">
    <w:p w14:paraId="32AC81AA" w14:textId="77777777" w:rsidR="00711E59" w:rsidRPr="00820B09" w:rsidRDefault="00711E59" w:rsidP="00A4589A">
      <w:r w:rsidRPr="00820B09">
        <w:continuationSeparator/>
      </w:r>
    </w:p>
    <w:p w14:paraId="1EF72117" w14:textId="77777777" w:rsidR="00711E59" w:rsidRPr="00820B09" w:rsidRDefault="00711E59"/>
  </w:endnote>
  <w:endnote w:type="continuationNotice" w:id="1">
    <w:p w14:paraId="39020AA3" w14:textId="77777777" w:rsidR="00711E59" w:rsidRPr="00820B09" w:rsidRDefault="00711E59"/>
    <w:p w14:paraId="1E5EDC9E" w14:textId="77777777" w:rsidR="00711E59" w:rsidRPr="00820B09" w:rsidRDefault="00711E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Work Sans">
    <w:charset w:val="00"/>
    <w:family w:val="auto"/>
    <w:pitch w:val="variable"/>
    <w:sig w:usb0="A00000FF" w:usb1="5000E07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IBM Plex Serif">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678192"/>
      <w:docPartObj>
        <w:docPartGallery w:val="Page Numbers (Bottom of Page)"/>
        <w:docPartUnique/>
      </w:docPartObj>
    </w:sdtPr>
    <w:sdtContent>
      <w:p w14:paraId="446FCBE9" w14:textId="0E5C29FD" w:rsidR="00F77872" w:rsidRPr="00820B09" w:rsidRDefault="00F77872">
        <w:pPr>
          <w:pStyle w:val="Footer"/>
          <w:jc w:val="right"/>
        </w:pPr>
        <w:r w:rsidRPr="00820B09">
          <w:fldChar w:fldCharType="begin"/>
        </w:r>
        <w:r w:rsidRPr="00820B09">
          <w:instrText>PAGE   \* MERGEFORMAT</w:instrText>
        </w:r>
        <w:r w:rsidRPr="00820B09">
          <w:fldChar w:fldCharType="separate"/>
        </w:r>
        <w:r w:rsidRPr="00820B09">
          <w:t>2</w:t>
        </w:r>
        <w:r w:rsidRPr="00820B09">
          <w:fldChar w:fldCharType="end"/>
        </w:r>
      </w:p>
    </w:sdtContent>
  </w:sdt>
  <w:p w14:paraId="2C5718E4" w14:textId="77777777" w:rsidR="009A4E22" w:rsidRPr="00820B09" w:rsidRDefault="009A4E2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39B6D" w14:textId="5A174891" w:rsidR="00A4589A" w:rsidRPr="00820B09" w:rsidRDefault="00A4589A">
    <w:pPr>
      <w:pStyle w:val="Footer"/>
      <w:jc w:val="right"/>
    </w:pPr>
  </w:p>
  <w:p w14:paraId="00752069" w14:textId="77777777" w:rsidR="00A4589A" w:rsidRPr="00820B09" w:rsidRDefault="00A4589A">
    <w:pPr>
      <w:pStyle w:val="Footer"/>
    </w:pPr>
  </w:p>
  <w:p w14:paraId="40C4B5B2" w14:textId="77777777" w:rsidR="009A4E22" w:rsidRPr="00820B09" w:rsidRDefault="009A4E2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F170E" w14:textId="77777777" w:rsidR="00711E59" w:rsidRPr="00820B09" w:rsidRDefault="00711E59" w:rsidP="00A4589A">
      <w:r w:rsidRPr="00820B09">
        <w:separator/>
      </w:r>
    </w:p>
    <w:p w14:paraId="2CC47DE1" w14:textId="77777777" w:rsidR="00711E59" w:rsidRPr="00820B09" w:rsidRDefault="00711E59"/>
  </w:footnote>
  <w:footnote w:type="continuationSeparator" w:id="0">
    <w:p w14:paraId="5E5C4ED9" w14:textId="77777777" w:rsidR="00711E59" w:rsidRPr="00820B09" w:rsidRDefault="00711E59" w:rsidP="00A4589A">
      <w:r w:rsidRPr="00820B09">
        <w:continuationSeparator/>
      </w:r>
    </w:p>
    <w:p w14:paraId="1649D4E5" w14:textId="77777777" w:rsidR="00711E59" w:rsidRPr="00820B09" w:rsidRDefault="00711E59"/>
  </w:footnote>
  <w:footnote w:type="continuationNotice" w:id="1">
    <w:p w14:paraId="22B040E8" w14:textId="77777777" w:rsidR="00711E59" w:rsidRPr="00820B09" w:rsidRDefault="00711E59"/>
    <w:p w14:paraId="5EB6DA26" w14:textId="77777777" w:rsidR="00711E59" w:rsidRPr="00820B09" w:rsidRDefault="00711E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20C24" w14:textId="66222DD0" w:rsidR="00346306" w:rsidRPr="00820B09" w:rsidRDefault="00346306" w:rsidP="00E80BF4">
    <w:pPr>
      <w:pStyle w:val="Header"/>
      <w:jc w:val="right"/>
      <w:rPr>
        <w:rFonts w:ascii="IBM Plex Serif" w:hAnsi="IBM Plex Serif"/>
        <w:sz w:val="18"/>
        <w:szCs w:val="18"/>
      </w:rPr>
    </w:pPr>
    <w:r w:rsidRPr="00820B09">
      <w:rPr>
        <w:noProof/>
      </w:rPr>
      <w:drawing>
        <wp:anchor distT="0" distB="0" distL="114300" distR="114300" simplePos="0" relativeHeight="251664896" behindDoc="0" locked="0" layoutInCell="1" allowOverlap="1" wp14:anchorId="09C320F2" wp14:editId="3062B8E1">
          <wp:simplePos x="0" y="0"/>
          <wp:positionH relativeFrom="margin">
            <wp:align>left</wp:align>
          </wp:positionH>
          <wp:positionV relativeFrom="paragraph">
            <wp:posOffset>12065</wp:posOffset>
          </wp:positionV>
          <wp:extent cx="1428750" cy="296545"/>
          <wp:effectExtent l="0" t="0" r="0" b="8255"/>
          <wp:wrapSquare wrapText="bothSides"/>
          <wp:docPr id="1" name="Image 1" descr="Cerise+SPTF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Cerise+SPTF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296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6851" w:rsidRPr="00820B09">
      <w:rPr>
        <w:rFonts w:ascii="IBM Plex Serif" w:hAnsi="IBM Plex Serif"/>
        <w:sz w:val="18"/>
        <w:szCs w:val="18"/>
      </w:rPr>
      <w:t xml:space="preserve">SEPM </w:t>
    </w:r>
    <w:r w:rsidR="00704795" w:rsidRPr="00820B09">
      <w:rPr>
        <w:rFonts w:ascii="IBM Plex Serif" w:hAnsi="IBM Plex Serif"/>
        <w:sz w:val="18"/>
        <w:szCs w:val="18"/>
      </w:rPr>
      <w:t>Guide</w:t>
    </w:r>
    <w:r w:rsidR="00A62294">
      <w:rPr>
        <w:rFonts w:ascii="IBM Plex Serif" w:hAnsi="IBM Plex Serif"/>
        <w:sz w:val="18"/>
        <w:szCs w:val="18"/>
      </w:rPr>
      <w:t xml:space="preserve"> </w:t>
    </w:r>
    <w:r w:rsidR="00A62294">
      <w:rPr>
        <w:rStyle w:val="normaltextrun"/>
        <w:rFonts w:ascii="IBM Plex Serif" w:hAnsi="IBM Plex Serif"/>
        <w:color w:val="000000"/>
        <w:sz w:val="18"/>
        <w:szCs w:val="18"/>
        <w:bdr w:val="none" w:sz="0" w:space="0" w:color="auto" w:frame="1"/>
      </w:rPr>
      <w:t>– Focus Disability Inclusion</w:t>
    </w:r>
  </w:p>
  <w:p w14:paraId="57D97EA7" w14:textId="5D5678D7" w:rsidR="00A62294" w:rsidRPr="00820B09" w:rsidRDefault="00A62294" w:rsidP="00A62294">
    <w:pPr>
      <w:pStyle w:val="Header"/>
      <w:jc w:val="right"/>
      <w:rPr>
        <w:rFonts w:ascii="IBM Plex Serif" w:hAnsi="IBM Plex Serif"/>
        <w:sz w:val="18"/>
        <w:szCs w:val="18"/>
      </w:rPr>
    </w:pPr>
    <w:r w:rsidRPr="00820B09">
      <w:rPr>
        <w:rFonts w:ascii="IBM Plex Serif" w:hAnsi="IBM Plex Serif"/>
        <w:sz w:val="18"/>
        <w:szCs w:val="18"/>
      </w:rPr>
      <w:t>Version</w:t>
    </w:r>
    <w:r>
      <w:rPr>
        <w:rFonts w:ascii="IBM Plex Serif" w:hAnsi="IBM Plex Serif"/>
        <w:sz w:val="18"/>
        <w:szCs w:val="18"/>
      </w:rPr>
      <w:t xml:space="preserve"> </w:t>
    </w:r>
    <w:r w:rsidRPr="00820B09">
      <w:rPr>
        <w:rFonts w:ascii="IBM Plex Serif" w:hAnsi="IBM Plex Serif"/>
        <w:sz w:val="18"/>
        <w:szCs w:val="18"/>
      </w:rPr>
      <w:t xml:space="preserve">1 – </w:t>
    </w:r>
    <w:r w:rsidR="00571480" w:rsidRPr="00820B09">
      <w:rPr>
        <w:rFonts w:ascii="IBM Plex Serif" w:hAnsi="IBM Plex Serif"/>
        <w:sz w:val="18"/>
        <w:szCs w:val="18"/>
      </w:rPr>
      <w:t>A</w:t>
    </w:r>
    <w:r w:rsidR="00571480">
      <w:rPr>
        <w:rFonts w:ascii="IBM Plex Serif" w:hAnsi="IBM Plex Serif"/>
        <w:sz w:val="18"/>
        <w:szCs w:val="18"/>
      </w:rPr>
      <w:t xml:space="preserve">pril </w:t>
    </w:r>
    <w:r w:rsidR="00571480" w:rsidRPr="00820B09">
      <w:rPr>
        <w:rFonts w:ascii="IBM Plex Serif" w:hAnsi="IBM Plex Serif"/>
        <w:sz w:val="18"/>
        <w:szCs w:val="18"/>
      </w:rPr>
      <w:t>2026</w:t>
    </w:r>
  </w:p>
  <w:p w14:paraId="24CD6961" w14:textId="103356DA" w:rsidR="002304D2" w:rsidRPr="00820B09" w:rsidRDefault="002304D2" w:rsidP="00E80BF4">
    <w:pPr>
      <w:pStyle w:val="Header"/>
      <w:jc w:val="right"/>
      <w:rPr>
        <w:rFonts w:ascii="IBM Plex Serif" w:hAnsi="IBM Plex Serif"/>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C8AE5" w14:textId="5E426818" w:rsidR="006B68B9" w:rsidRPr="00820B09" w:rsidRDefault="005A4ED0" w:rsidP="005A4ED0">
    <w:pPr>
      <w:pStyle w:val="Header"/>
      <w:jc w:val="right"/>
      <w:rPr>
        <w:rFonts w:ascii="IBM Plex Serif" w:hAnsi="IBM Plex Serif"/>
        <w:sz w:val="18"/>
        <w:szCs w:val="18"/>
      </w:rPr>
    </w:pPr>
    <w:r w:rsidRPr="00820B09">
      <w:rPr>
        <w:rFonts w:ascii="IBM Plex Serif" w:hAnsi="IBM Plex Serif"/>
        <w:noProof/>
        <w:sz w:val="18"/>
        <w:szCs w:val="18"/>
      </w:rPr>
      <w:drawing>
        <wp:anchor distT="0" distB="0" distL="114300" distR="114300" simplePos="0" relativeHeight="251663360" behindDoc="0" locked="0" layoutInCell="1" allowOverlap="1" wp14:anchorId="6D9E1EB9" wp14:editId="0D688230">
          <wp:simplePos x="0" y="0"/>
          <wp:positionH relativeFrom="margin">
            <wp:align>left</wp:align>
          </wp:positionH>
          <wp:positionV relativeFrom="paragraph">
            <wp:posOffset>-148590</wp:posOffset>
          </wp:positionV>
          <wp:extent cx="2387600" cy="495300"/>
          <wp:effectExtent l="0" t="0" r="0" b="0"/>
          <wp:wrapSquare wrapText="bothSides"/>
          <wp:docPr id="2" name="Image 2" descr="Cerise+SPTF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Cerise+SPTF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071" cy="49571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6851" w:rsidRPr="00820B09">
      <w:rPr>
        <w:rFonts w:ascii="IBM Plex Serif" w:hAnsi="IBM Plex Serif"/>
        <w:sz w:val="18"/>
        <w:szCs w:val="18"/>
      </w:rPr>
      <w:t xml:space="preserve">SEPM </w:t>
    </w:r>
    <w:r w:rsidR="00704795" w:rsidRPr="00820B09">
      <w:rPr>
        <w:rFonts w:ascii="IBM Plex Serif" w:hAnsi="IBM Plex Serif"/>
        <w:sz w:val="18"/>
        <w:szCs w:val="18"/>
      </w:rPr>
      <w:t>Guide</w:t>
    </w:r>
    <w:r w:rsidR="00A62294">
      <w:rPr>
        <w:rFonts w:ascii="IBM Plex Serif" w:hAnsi="IBM Plex Serif"/>
        <w:sz w:val="18"/>
        <w:szCs w:val="18"/>
      </w:rPr>
      <w:t xml:space="preserve"> </w:t>
    </w:r>
    <w:r w:rsidR="00A62294">
      <w:rPr>
        <w:rStyle w:val="normaltextrun"/>
        <w:rFonts w:ascii="IBM Plex Serif" w:hAnsi="IBM Plex Serif"/>
        <w:color w:val="000000"/>
        <w:sz w:val="18"/>
        <w:szCs w:val="18"/>
        <w:bdr w:val="none" w:sz="0" w:space="0" w:color="auto" w:frame="1"/>
      </w:rPr>
      <w:t>– Focus Disability Inclusion</w:t>
    </w:r>
  </w:p>
  <w:p w14:paraId="2C0B942B" w14:textId="6EEFB8F0" w:rsidR="004A2A7D" w:rsidRPr="00820B09" w:rsidRDefault="000E6477" w:rsidP="005A4ED0">
    <w:pPr>
      <w:pStyle w:val="Header"/>
      <w:jc w:val="right"/>
      <w:rPr>
        <w:rFonts w:ascii="IBM Plex Serif" w:hAnsi="IBM Plex Serif"/>
        <w:sz w:val="18"/>
        <w:szCs w:val="18"/>
      </w:rPr>
    </w:pPr>
    <w:r w:rsidRPr="00820B09">
      <w:rPr>
        <w:rFonts w:ascii="IBM Plex Serif" w:hAnsi="IBM Plex Serif"/>
        <w:sz w:val="18"/>
        <w:szCs w:val="18"/>
      </w:rPr>
      <w:t>Version</w:t>
    </w:r>
    <w:r w:rsidR="00A62294">
      <w:rPr>
        <w:rFonts w:ascii="IBM Plex Serif" w:hAnsi="IBM Plex Serif"/>
        <w:sz w:val="18"/>
        <w:szCs w:val="18"/>
      </w:rPr>
      <w:t xml:space="preserve"> </w:t>
    </w:r>
    <w:r w:rsidRPr="00820B09">
      <w:rPr>
        <w:rFonts w:ascii="IBM Plex Serif" w:hAnsi="IBM Plex Serif"/>
        <w:sz w:val="18"/>
        <w:szCs w:val="18"/>
      </w:rPr>
      <w:t xml:space="preserve">1 – </w:t>
    </w:r>
    <w:r w:rsidR="00654EDF">
      <w:rPr>
        <w:rFonts w:ascii="IBM Plex Serif" w:hAnsi="IBM Plex Serif"/>
        <w:sz w:val="18"/>
        <w:szCs w:val="18"/>
      </w:rPr>
      <w:t>May</w:t>
    </w:r>
    <w:r w:rsidR="00571480">
      <w:rPr>
        <w:rFonts w:ascii="IBM Plex Serif" w:hAnsi="IBM Plex Serif"/>
        <w:sz w:val="18"/>
        <w:szCs w:val="18"/>
      </w:rPr>
      <w:t xml:space="preserve"> </w:t>
    </w:r>
    <w:r w:rsidR="00571480" w:rsidRPr="00820B09">
      <w:rPr>
        <w:rFonts w:ascii="IBM Plex Serif" w:hAnsi="IBM Plex Serif"/>
        <w:sz w:val="18"/>
        <w:szCs w:val="18"/>
      </w:rPr>
      <w:t>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F5CCF"/>
    <w:multiLevelType w:val="multilevel"/>
    <w:tmpl w:val="72F46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317785"/>
    <w:multiLevelType w:val="multilevel"/>
    <w:tmpl w:val="097C1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9A3074"/>
    <w:multiLevelType w:val="multilevel"/>
    <w:tmpl w:val="42F4F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C06E9C"/>
    <w:multiLevelType w:val="multilevel"/>
    <w:tmpl w:val="71CE5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EC10AB"/>
    <w:multiLevelType w:val="multilevel"/>
    <w:tmpl w:val="D250BD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525CED"/>
    <w:multiLevelType w:val="hybridMultilevel"/>
    <w:tmpl w:val="51C0C6B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15:restartNumberingAfterBreak="0">
    <w:nsid w:val="02837DDB"/>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941EE6"/>
    <w:multiLevelType w:val="multilevel"/>
    <w:tmpl w:val="0986A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0D26EA"/>
    <w:multiLevelType w:val="multilevel"/>
    <w:tmpl w:val="2A18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126A36"/>
    <w:multiLevelType w:val="hybridMultilevel"/>
    <w:tmpl w:val="B35C78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315700F"/>
    <w:multiLevelType w:val="hybridMultilevel"/>
    <w:tmpl w:val="7B7003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3D95B4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4310DE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48166B8"/>
    <w:multiLevelType w:val="multilevel"/>
    <w:tmpl w:val="D8CE0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48A47E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5A12A01"/>
    <w:multiLevelType w:val="hybridMultilevel"/>
    <w:tmpl w:val="6CB619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05A81F7A"/>
    <w:multiLevelType w:val="multilevel"/>
    <w:tmpl w:val="AC441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66B67B1"/>
    <w:multiLevelType w:val="hybridMultilevel"/>
    <w:tmpl w:val="8C52D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6935A88"/>
    <w:multiLevelType w:val="multilevel"/>
    <w:tmpl w:val="96248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6A5277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6AC2286"/>
    <w:multiLevelType w:val="hybridMultilevel"/>
    <w:tmpl w:val="60EA81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06F81B4B"/>
    <w:multiLevelType w:val="multilevel"/>
    <w:tmpl w:val="931C1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7127EAC"/>
    <w:multiLevelType w:val="multilevel"/>
    <w:tmpl w:val="A32EC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714410F"/>
    <w:multiLevelType w:val="multilevel"/>
    <w:tmpl w:val="44666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7D940A7"/>
    <w:multiLevelType w:val="hybridMultilevel"/>
    <w:tmpl w:val="26A01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8393212"/>
    <w:multiLevelType w:val="hybridMultilevel"/>
    <w:tmpl w:val="0F269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8D03FF2"/>
    <w:multiLevelType w:val="hybridMultilevel"/>
    <w:tmpl w:val="BC6043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08FC6294"/>
    <w:multiLevelType w:val="hybridMultilevel"/>
    <w:tmpl w:val="2D8CA4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09360FE5"/>
    <w:multiLevelType w:val="multilevel"/>
    <w:tmpl w:val="11A64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94000B7"/>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9773D24"/>
    <w:multiLevelType w:val="multilevel"/>
    <w:tmpl w:val="AB44C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99D0B34"/>
    <w:multiLevelType w:val="multilevel"/>
    <w:tmpl w:val="DBB40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9A7731F"/>
    <w:multiLevelType w:val="hybridMultilevel"/>
    <w:tmpl w:val="6E4A6A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0A230932"/>
    <w:multiLevelType w:val="multilevel"/>
    <w:tmpl w:val="DA80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A67438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AC84C01"/>
    <w:multiLevelType w:val="multilevel"/>
    <w:tmpl w:val="EC541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B0C7DF0"/>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B4D40D5"/>
    <w:multiLevelType w:val="multilevel"/>
    <w:tmpl w:val="EFB48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B6730EC"/>
    <w:multiLevelType w:val="multilevel"/>
    <w:tmpl w:val="2C46D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C357485"/>
    <w:multiLevelType w:val="multilevel"/>
    <w:tmpl w:val="E9ACF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C6F323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CC75DCD"/>
    <w:multiLevelType w:val="hybridMultilevel"/>
    <w:tmpl w:val="A5AE745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2" w15:restartNumberingAfterBreak="0">
    <w:nsid w:val="0D1D3975"/>
    <w:multiLevelType w:val="multilevel"/>
    <w:tmpl w:val="F6525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D216E79"/>
    <w:multiLevelType w:val="multilevel"/>
    <w:tmpl w:val="CB1ED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D367A8C"/>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D477E52"/>
    <w:multiLevelType w:val="hybridMultilevel"/>
    <w:tmpl w:val="1034F9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0D8011E4"/>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E173CA3"/>
    <w:multiLevelType w:val="multilevel"/>
    <w:tmpl w:val="EA08B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E4771B7"/>
    <w:multiLevelType w:val="hybridMultilevel"/>
    <w:tmpl w:val="31222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0EFA4045"/>
    <w:multiLevelType w:val="multilevel"/>
    <w:tmpl w:val="A058BB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F112D38"/>
    <w:multiLevelType w:val="multilevel"/>
    <w:tmpl w:val="F2649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F195F09"/>
    <w:multiLevelType w:val="multilevel"/>
    <w:tmpl w:val="64D4A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F62435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F723A02"/>
    <w:multiLevelType w:val="multilevel"/>
    <w:tmpl w:val="35C6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F8643FA"/>
    <w:multiLevelType w:val="multilevel"/>
    <w:tmpl w:val="211A5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FC1052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FDE5BE0"/>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086239E"/>
    <w:multiLevelType w:val="multilevel"/>
    <w:tmpl w:val="1D94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0C46819"/>
    <w:multiLevelType w:val="multilevel"/>
    <w:tmpl w:val="C1BE4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1384AE8"/>
    <w:multiLevelType w:val="multilevel"/>
    <w:tmpl w:val="DFE8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1CC61C4"/>
    <w:multiLevelType w:val="multilevel"/>
    <w:tmpl w:val="CEB81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1EC4994"/>
    <w:multiLevelType w:val="multilevel"/>
    <w:tmpl w:val="13B2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2BC5E78"/>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3217A69"/>
    <w:multiLevelType w:val="hybridMultilevel"/>
    <w:tmpl w:val="BAF4A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3321A30"/>
    <w:multiLevelType w:val="multilevel"/>
    <w:tmpl w:val="AFD4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348768E"/>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36944B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40E176D"/>
    <w:multiLevelType w:val="multilevel"/>
    <w:tmpl w:val="C95C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4583195"/>
    <w:multiLevelType w:val="multilevel"/>
    <w:tmpl w:val="E0468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4D86814"/>
    <w:multiLevelType w:val="multilevel"/>
    <w:tmpl w:val="21D2E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55B7E93"/>
    <w:multiLevelType w:val="multilevel"/>
    <w:tmpl w:val="63B80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5B87A25"/>
    <w:multiLevelType w:val="multilevel"/>
    <w:tmpl w:val="FC7E255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786" w:hanging="360"/>
      </w:pPr>
      <w:rPr>
        <w:rFonts w:ascii="Work Sans" w:eastAsiaTheme="majorEastAsia" w:hAnsi="Work Sans" w:cstheme="maj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5FF12D9"/>
    <w:multiLevelType w:val="multilevel"/>
    <w:tmpl w:val="62A6E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67D6F07"/>
    <w:multiLevelType w:val="hybridMultilevel"/>
    <w:tmpl w:val="4908130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4" w15:restartNumberingAfterBreak="0">
    <w:nsid w:val="16B565DD"/>
    <w:multiLevelType w:val="multilevel"/>
    <w:tmpl w:val="4CFCC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6DA4DAF"/>
    <w:multiLevelType w:val="multilevel"/>
    <w:tmpl w:val="0E2AB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6EC0DEC"/>
    <w:multiLevelType w:val="multilevel"/>
    <w:tmpl w:val="6FAA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74B3AB9"/>
    <w:multiLevelType w:val="multilevel"/>
    <w:tmpl w:val="02143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7607A7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77809B3"/>
    <w:multiLevelType w:val="hybridMultilevel"/>
    <w:tmpl w:val="7980A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90A4A59"/>
    <w:multiLevelType w:val="multilevel"/>
    <w:tmpl w:val="EB04A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9266A60"/>
    <w:multiLevelType w:val="multilevel"/>
    <w:tmpl w:val="70EC8AA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95747A1"/>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97727E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9D2482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9D402D4"/>
    <w:multiLevelType w:val="hybridMultilevel"/>
    <w:tmpl w:val="3B381E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6" w15:restartNumberingAfterBreak="0">
    <w:nsid w:val="1A3652B7"/>
    <w:multiLevelType w:val="multilevel"/>
    <w:tmpl w:val="FD36A4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AA4336E"/>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BAD697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BD20D9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BF838A6"/>
    <w:multiLevelType w:val="multilevel"/>
    <w:tmpl w:val="03C84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C575E9B"/>
    <w:multiLevelType w:val="multilevel"/>
    <w:tmpl w:val="76A03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C6A4F57"/>
    <w:multiLevelType w:val="hybridMultilevel"/>
    <w:tmpl w:val="E4F40A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15:restartNumberingAfterBreak="0">
    <w:nsid w:val="1CFD41FE"/>
    <w:multiLevelType w:val="multilevel"/>
    <w:tmpl w:val="C0621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D94689F"/>
    <w:multiLevelType w:val="multilevel"/>
    <w:tmpl w:val="E79E4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DB3026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DB31B76"/>
    <w:multiLevelType w:val="multilevel"/>
    <w:tmpl w:val="4272A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DB6747B"/>
    <w:multiLevelType w:val="multilevel"/>
    <w:tmpl w:val="DA56A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E031795"/>
    <w:multiLevelType w:val="hybridMultilevel"/>
    <w:tmpl w:val="AF9C6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1E071EAE"/>
    <w:multiLevelType w:val="multilevel"/>
    <w:tmpl w:val="3CCA8C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E2B0A85"/>
    <w:multiLevelType w:val="multilevel"/>
    <w:tmpl w:val="A40E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E462517"/>
    <w:multiLevelType w:val="multilevel"/>
    <w:tmpl w:val="48764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EB95A9F"/>
    <w:multiLevelType w:val="multilevel"/>
    <w:tmpl w:val="8682C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0EE738F"/>
    <w:multiLevelType w:val="hybridMultilevel"/>
    <w:tmpl w:val="8E0E20B4"/>
    <w:lvl w:ilvl="0" w:tplc="FFFFFFFF">
      <w:start w:val="1"/>
      <w:numFmt w:val="lowerRoman"/>
      <w:lvlText w:val="%1."/>
      <w:lvlJc w:val="right"/>
      <w:pPr>
        <w:ind w:left="720" w:hanging="360"/>
      </w:pPr>
    </w:lvl>
    <w:lvl w:ilvl="1" w:tplc="040C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216C6705"/>
    <w:multiLevelType w:val="multilevel"/>
    <w:tmpl w:val="DE109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1807345"/>
    <w:multiLevelType w:val="multilevel"/>
    <w:tmpl w:val="F51A7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1B84804"/>
    <w:multiLevelType w:val="multilevel"/>
    <w:tmpl w:val="E7EA7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1ED31E4"/>
    <w:multiLevelType w:val="multilevel"/>
    <w:tmpl w:val="49B2B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30F291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36E71D1"/>
    <w:multiLevelType w:val="multilevel"/>
    <w:tmpl w:val="4D2AC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48946FD"/>
    <w:multiLevelType w:val="hybridMultilevel"/>
    <w:tmpl w:val="3E70BC8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1" w15:restartNumberingAfterBreak="0">
    <w:nsid w:val="24A8734D"/>
    <w:multiLevelType w:val="multilevel"/>
    <w:tmpl w:val="6272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4C428B7"/>
    <w:multiLevelType w:val="multilevel"/>
    <w:tmpl w:val="60285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55560BB"/>
    <w:multiLevelType w:val="multilevel"/>
    <w:tmpl w:val="840C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6845A6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6EB3E66"/>
    <w:multiLevelType w:val="multilevel"/>
    <w:tmpl w:val="412EF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8A277C7"/>
    <w:multiLevelType w:val="multilevel"/>
    <w:tmpl w:val="CF0CA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8C421C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8CA153B"/>
    <w:multiLevelType w:val="multilevel"/>
    <w:tmpl w:val="4FB8B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9A14DD7"/>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9FD01D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A1D4837"/>
    <w:multiLevelType w:val="multilevel"/>
    <w:tmpl w:val="5BA67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A535BC3"/>
    <w:multiLevelType w:val="multilevel"/>
    <w:tmpl w:val="CEA0695C"/>
    <w:lvl w:ilvl="0">
      <w:numFmt w:val="bullet"/>
      <w:lvlText w:val="-"/>
      <w:lvlJc w:val="left"/>
      <w:pPr>
        <w:tabs>
          <w:tab w:val="num" w:pos="720"/>
        </w:tabs>
        <w:ind w:left="720" w:hanging="360"/>
      </w:pPr>
      <w:rPr>
        <w:rFonts w:ascii="Work Sans" w:eastAsiaTheme="minorHAnsi" w:hAnsi="Work Sans" w:cstheme="minorBid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A5378D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A747038"/>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B104A2C"/>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BAC33E7"/>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BB60E84"/>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BB62E1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BE707C5"/>
    <w:multiLevelType w:val="multilevel"/>
    <w:tmpl w:val="69C89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C532FB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C5B58DC"/>
    <w:multiLevelType w:val="multilevel"/>
    <w:tmpl w:val="578E3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C840C02"/>
    <w:multiLevelType w:val="hybridMultilevel"/>
    <w:tmpl w:val="C4D0D27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33" w15:restartNumberingAfterBreak="0">
    <w:nsid w:val="2CA27AB7"/>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CF91262"/>
    <w:multiLevelType w:val="multilevel"/>
    <w:tmpl w:val="CA2EC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CF97C56"/>
    <w:multiLevelType w:val="multilevel"/>
    <w:tmpl w:val="64ACB1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D14200E"/>
    <w:multiLevelType w:val="hybridMultilevel"/>
    <w:tmpl w:val="C558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2DB5327F"/>
    <w:multiLevelType w:val="multilevel"/>
    <w:tmpl w:val="FB0E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2DCF2C2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E077921"/>
    <w:multiLevelType w:val="multilevel"/>
    <w:tmpl w:val="6DD61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E5E0924"/>
    <w:multiLevelType w:val="hybridMultilevel"/>
    <w:tmpl w:val="DA56A2A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1" w15:restartNumberingAfterBreak="0">
    <w:nsid w:val="2EEC53DF"/>
    <w:multiLevelType w:val="multilevel"/>
    <w:tmpl w:val="A3E8A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F353426"/>
    <w:multiLevelType w:val="multilevel"/>
    <w:tmpl w:val="BB10E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F5A46D6"/>
    <w:multiLevelType w:val="multilevel"/>
    <w:tmpl w:val="6E90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FB5633B"/>
    <w:multiLevelType w:val="multilevel"/>
    <w:tmpl w:val="5ABC3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FB6160E"/>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07534BF"/>
    <w:multiLevelType w:val="hybridMultilevel"/>
    <w:tmpl w:val="654208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7" w15:restartNumberingAfterBreak="0">
    <w:nsid w:val="30B30E2B"/>
    <w:multiLevelType w:val="hybridMultilevel"/>
    <w:tmpl w:val="61CEB1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8" w15:restartNumberingAfterBreak="0">
    <w:nsid w:val="30F739B8"/>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101395A"/>
    <w:multiLevelType w:val="hybridMultilevel"/>
    <w:tmpl w:val="EC0C3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16706B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1B0609B"/>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1CA60A6"/>
    <w:multiLevelType w:val="multilevel"/>
    <w:tmpl w:val="1B36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245446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24C3E9A"/>
    <w:multiLevelType w:val="multilevel"/>
    <w:tmpl w:val="C52CA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2A0596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3132B4B"/>
    <w:multiLevelType w:val="multilevel"/>
    <w:tmpl w:val="18D6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37A03F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38778AE"/>
    <w:multiLevelType w:val="multilevel"/>
    <w:tmpl w:val="DEC00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3A924C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3B85B9C"/>
    <w:multiLevelType w:val="multilevel"/>
    <w:tmpl w:val="5EC65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3E50B8C"/>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4346EB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4421409"/>
    <w:multiLevelType w:val="multilevel"/>
    <w:tmpl w:val="8D5EF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45D1F64"/>
    <w:multiLevelType w:val="multilevel"/>
    <w:tmpl w:val="085E6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48D315F"/>
    <w:multiLevelType w:val="multilevel"/>
    <w:tmpl w:val="74C6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49D1D78"/>
    <w:multiLevelType w:val="multilevel"/>
    <w:tmpl w:val="5B7C3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4BD0022"/>
    <w:multiLevelType w:val="multilevel"/>
    <w:tmpl w:val="9D1A6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4F4338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352F0FA4"/>
    <w:multiLevelType w:val="multilevel"/>
    <w:tmpl w:val="5748C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54D0D0E"/>
    <w:multiLevelType w:val="multilevel"/>
    <w:tmpl w:val="24D42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57E4EAE"/>
    <w:multiLevelType w:val="multilevel"/>
    <w:tmpl w:val="7B6EC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5A66593"/>
    <w:multiLevelType w:val="multilevel"/>
    <w:tmpl w:val="1108A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5B93F6E"/>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5C32940"/>
    <w:multiLevelType w:val="hybridMultilevel"/>
    <w:tmpl w:val="5DDC3A4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75" w15:restartNumberingAfterBreak="0">
    <w:nsid w:val="364F2CE7"/>
    <w:multiLevelType w:val="multilevel"/>
    <w:tmpl w:val="C5D4E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6A939E0"/>
    <w:multiLevelType w:val="multilevel"/>
    <w:tmpl w:val="E8C80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3705733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7271FFE"/>
    <w:multiLevelType w:val="multilevel"/>
    <w:tmpl w:val="21FE6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7601BF7"/>
    <w:multiLevelType w:val="multilevel"/>
    <w:tmpl w:val="1798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37E63DAA"/>
    <w:multiLevelType w:val="multilevel"/>
    <w:tmpl w:val="AA04F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383754A8"/>
    <w:multiLevelType w:val="multilevel"/>
    <w:tmpl w:val="D7F2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38430F56"/>
    <w:multiLevelType w:val="hybridMultilevel"/>
    <w:tmpl w:val="292E2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38776B4A"/>
    <w:multiLevelType w:val="multilevel"/>
    <w:tmpl w:val="6742D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88A4744"/>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3A0D523A"/>
    <w:multiLevelType w:val="multilevel"/>
    <w:tmpl w:val="95149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A546F9F"/>
    <w:multiLevelType w:val="multilevel"/>
    <w:tmpl w:val="F350F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3B450FDB"/>
    <w:multiLevelType w:val="multilevel"/>
    <w:tmpl w:val="CD4C9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BCD753A"/>
    <w:multiLevelType w:val="multilevel"/>
    <w:tmpl w:val="26665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BDA59A1"/>
    <w:multiLevelType w:val="multilevel"/>
    <w:tmpl w:val="58E6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3C350CE1"/>
    <w:multiLevelType w:val="multilevel"/>
    <w:tmpl w:val="7CAA0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3C3C0FD7"/>
    <w:multiLevelType w:val="multilevel"/>
    <w:tmpl w:val="C9928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3DCB6820"/>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3E016134"/>
    <w:multiLevelType w:val="multilevel"/>
    <w:tmpl w:val="8C2CD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3E41149F"/>
    <w:multiLevelType w:val="multilevel"/>
    <w:tmpl w:val="8A4AC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3F8921FB"/>
    <w:multiLevelType w:val="multilevel"/>
    <w:tmpl w:val="9C82D3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00E081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0885790"/>
    <w:multiLevelType w:val="multilevel"/>
    <w:tmpl w:val="CDF6D352"/>
    <w:lvl w:ilvl="0">
      <w:start w:val="1"/>
      <w:numFmt w:val="decimal"/>
      <w:lvlText w:val="%1."/>
      <w:lvlJc w:val="left"/>
      <w:pPr>
        <w:tabs>
          <w:tab w:val="num" w:pos="1440"/>
        </w:tabs>
        <w:ind w:left="144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98" w15:restartNumberingAfterBreak="0">
    <w:nsid w:val="40F53AAA"/>
    <w:multiLevelType w:val="multilevel"/>
    <w:tmpl w:val="99527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22079F2"/>
    <w:multiLevelType w:val="multilevel"/>
    <w:tmpl w:val="FCA03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28A7D68"/>
    <w:multiLevelType w:val="multilevel"/>
    <w:tmpl w:val="98965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2974ABE"/>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2CD7F1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2D76B5E"/>
    <w:multiLevelType w:val="multilevel"/>
    <w:tmpl w:val="A5927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2D939A2"/>
    <w:multiLevelType w:val="multilevel"/>
    <w:tmpl w:val="70B8C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31C56D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39020C6"/>
    <w:multiLevelType w:val="multilevel"/>
    <w:tmpl w:val="E376A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3AF635B"/>
    <w:multiLevelType w:val="hybridMultilevel"/>
    <w:tmpl w:val="AB8CB8E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08" w15:restartNumberingAfterBreak="0">
    <w:nsid w:val="43C5296F"/>
    <w:multiLevelType w:val="multilevel"/>
    <w:tmpl w:val="8FB0F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3CA6742"/>
    <w:multiLevelType w:val="multilevel"/>
    <w:tmpl w:val="52D42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3FD0661"/>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4326B37"/>
    <w:multiLevelType w:val="multilevel"/>
    <w:tmpl w:val="F02C4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4D02702"/>
    <w:multiLevelType w:val="hybridMultilevel"/>
    <w:tmpl w:val="47C002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3" w15:restartNumberingAfterBreak="0">
    <w:nsid w:val="45225E6F"/>
    <w:multiLevelType w:val="multilevel"/>
    <w:tmpl w:val="1C707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53D0A4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5894BB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5922DA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45B326D9"/>
    <w:multiLevelType w:val="multilevel"/>
    <w:tmpl w:val="2D7EA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5E655C0"/>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5E65901"/>
    <w:multiLevelType w:val="hybridMultilevel"/>
    <w:tmpl w:val="6DDADD9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0" w15:restartNumberingAfterBreak="0">
    <w:nsid w:val="46305AE6"/>
    <w:multiLevelType w:val="multilevel"/>
    <w:tmpl w:val="F73A2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6DC2EDC"/>
    <w:multiLevelType w:val="multilevel"/>
    <w:tmpl w:val="F676A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767028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47A018D3"/>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7C47A0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480C2907"/>
    <w:multiLevelType w:val="multilevel"/>
    <w:tmpl w:val="65C0E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887385B"/>
    <w:multiLevelType w:val="multilevel"/>
    <w:tmpl w:val="5A1A1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48F81238"/>
    <w:multiLevelType w:val="multilevel"/>
    <w:tmpl w:val="5EA20B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491E59A9"/>
    <w:multiLevelType w:val="hybridMultilevel"/>
    <w:tmpl w:val="55BEB2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9" w15:restartNumberingAfterBreak="0">
    <w:nsid w:val="4945329A"/>
    <w:multiLevelType w:val="multilevel"/>
    <w:tmpl w:val="E6A27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495D3C6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99802A7"/>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49BE4EE4"/>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A031BEB"/>
    <w:multiLevelType w:val="hybridMultilevel"/>
    <w:tmpl w:val="CDCC9556"/>
    <w:lvl w:ilvl="0" w:tplc="040C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4" w15:restartNumberingAfterBreak="0">
    <w:nsid w:val="4A1D0B9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4AF6154C"/>
    <w:multiLevelType w:val="multilevel"/>
    <w:tmpl w:val="5C30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4B000BE7"/>
    <w:multiLevelType w:val="multilevel"/>
    <w:tmpl w:val="839A3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B3C7FC9"/>
    <w:multiLevelType w:val="multilevel"/>
    <w:tmpl w:val="26DE6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4B8B5785"/>
    <w:multiLevelType w:val="multilevel"/>
    <w:tmpl w:val="C8A2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4BA07DD1"/>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4BAA7F38"/>
    <w:multiLevelType w:val="hybridMultilevel"/>
    <w:tmpl w:val="A0A6AE1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41" w15:restartNumberingAfterBreak="0">
    <w:nsid w:val="4BDD2472"/>
    <w:multiLevelType w:val="multilevel"/>
    <w:tmpl w:val="CBD43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BED03DA"/>
    <w:multiLevelType w:val="multilevel"/>
    <w:tmpl w:val="06428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4C0B7E5C"/>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4C8A1B0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C8D71E2"/>
    <w:multiLevelType w:val="multilevel"/>
    <w:tmpl w:val="6972A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4CA76E3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4D18552C"/>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4DCC49C5"/>
    <w:multiLevelType w:val="multilevel"/>
    <w:tmpl w:val="7D6AD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4DEC0B95"/>
    <w:multiLevelType w:val="multilevel"/>
    <w:tmpl w:val="EA00B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4E710015"/>
    <w:multiLevelType w:val="multilevel"/>
    <w:tmpl w:val="9B024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4E997E6C"/>
    <w:multiLevelType w:val="hybridMultilevel"/>
    <w:tmpl w:val="72B632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2" w15:restartNumberingAfterBreak="0">
    <w:nsid w:val="4EC46B31"/>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4EE1596F"/>
    <w:multiLevelType w:val="hybridMultilevel"/>
    <w:tmpl w:val="2F44B8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4" w15:restartNumberingAfterBreak="0">
    <w:nsid w:val="4EEE3E6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4F52522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4FA819B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4FD01F8E"/>
    <w:multiLevelType w:val="multilevel"/>
    <w:tmpl w:val="A7BC42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FF07493"/>
    <w:multiLevelType w:val="multilevel"/>
    <w:tmpl w:val="0680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50325D4A"/>
    <w:multiLevelType w:val="multilevel"/>
    <w:tmpl w:val="3A403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0B03239"/>
    <w:multiLevelType w:val="multilevel"/>
    <w:tmpl w:val="DD247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50BD1A46"/>
    <w:multiLevelType w:val="multilevel"/>
    <w:tmpl w:val="4C6C3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1267061"/>
    <w:multiLevelType w:val="multilevel"/>
    <w:tmpl w:val="CEDEC4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3" w15:restartNumberingAfterBreak="0">
    <w:nsid w:val="514B7212"/>
    <w:multiLevelType w:val="hybridMultilevel"/>
    <w:tmpl w:val="E6FC12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4" w15:restartNumberingAfterBreak="0">
    <w:nsid w:val="519040F0"/>
    <w:multiLevelType w:val="multilevel"/>
    <w:tmpl w:val="EC028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51C945C4"/>
    <w:multiLevelType w:val="hybridMultilevel"/>
    <w:tmpl w:val="43B60A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6" w15:restartNumberingAfterBreak="0">
    <w:nsid w:val="51F27574"/>
    <w:multiLevelType w:val="multilevel"/>
    <w:tmpl w:val="89809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23167E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52497B3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528E5099"/>
    <w:multiLevelType w:val="multilevel"/>
    <w:tmpl w:val="99B407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52A4331F"/>
    <w:multiLevelType w:val="multilevel"/>
    <w:tmpl w:val="E4C2A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2EC71F6"/>
    <w:multiLevelType w:val="multilevel"/>
    <w:tmpl w:val="854A0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52EE3E4A"/>
    <w:multiLevelType w:val="multilevel"/>
    <w:tmpl w:val="A69EA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535C2A0E"/>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536D421B"/>
    <w:multiLevelType w:val="multilevel"/>
    <w:tmpl w:val="6F1CFB9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75" w15:restartNumberingAfterBreak="0">
    <w:nsid w:val="53C27857"/>
    <w:multiLevelType w:val="multilevel"/>
    <w:tmpl w:val="FCAE3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5448086E"/>
    <w:multiLevelType w:val="multilevel"/>
    <w:tmpl w:val="2F2E5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54A347B0"/>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550F7450"/>
    <w:multiLevelType w:val="multilevel"/>
    <w:tmpl w:val="CD8A9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55154010"/>
    <w:multiLevelType w:val="multilevel"/>
    <w:tmpl w:val="DFEE2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552C48ED"/>
    <w:multiLevelType w:val="multilevel"/>
    <w:tmpl w:val="DD664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554E5AFF"/>
    <w:multiLevelType w:val="multilevel"/>
    <w:tmpl w:val="76284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55F72397"/>
    <w:multiLevelType w:val="multilevel"/>
    <w:tmpl w:val="18247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56176CA8"/>
    <w:multiLevelType w:val="hybridMultilevel"/>
    <w:tmpl w:val="8050FEF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84" w15:restartNumberingAfterBreak="0">
    <w:nsid w:val="568A3581"/>
    <w:multiLevelType w:val="hybridMultilevel"/>
    <w:tmpl w:val="A0008E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5" w15:restartNumberingAfterBreak="0">
    <w:nsid w:val="56F77B43"/>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575D517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57CD15DB"/>
    <w:multiLevelType w:val="multilevel"/>
    <w:tmpl w:val="74E6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582D0E38"/>
    <w:multiLevelType w:val="multilevel"/>
    <w:tmpl w:val="661E1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587A0C43"/>
    <w:multiLevelType w:val="hybridMultilevel"/>
    <w:tmpl w:val="515822B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0" w15:restartNumberingAfterBreak="0">
    <w:nsid w:val="587C4EF7"/>
    <w:multiLevelType w:val="multilevel"/>
    <w:tmpl w:val="4810E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58AE444E"/>
    <w:multiLevelType w:val="multilevel"/>
    <w:tmpl w:val="626A1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59234BA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59881098"/>
    <w:multiLevelType w:val="multilevel"/>
    <w:tmpl w:val="88DA8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5AC46786"/>
    <w:multiLevelType w:val="hybridMultilevel"/>
    <w:tmpl w:val="9F54E26A"/>
    <w:lvl w:ilvl="0" w:tplc="D7FEB91C">
      <w:numFmt w:val="bullet"/>
      <w:lvlText w:val="-"/>
      <w:lvlJc w:val="left"/>
      <w:pPr>
        <w:ind w:left="720" w:hanging="360"/>
      </w:pPr>
      <w:rPr>
        <w:rFonts w:ascii="Work Sans" w:eastAsiaTheme="minorHAnsi" w:hAnsi="Work San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5" w15:restartNumberingAfterBreak="0">
    <w:nsid w:val="5B081967"/>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5B0F0E2F"/>
    <w:multiLevelType w:val="multilevel"/>
    <w:tmpl w:val="9E247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5B1B5943"/>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5C7B2C4D"/>
    <w:multiLevelType w:val="multilevel"/>
    <w:tmpl w:val="7BB2D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5CFF673E"/>
    <w:multiLevelType w:val="multilevel"/>
    <w:tmpl w:val="263AE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5D6832AD"/>
    <w:multiLevelType w:val="multilevel"/>
    <w:tmpl w:val="A7C6EE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5D7C3761"/>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5D9E2DA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5DAE3835"/>
    <w:multiLevelType w:val="multilevel"/>
    <w:tmpl w:val="1DAEF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5DF70871"/>
    <w:multiLevelType w:val="hybridMultilevel"/>
    <w:tmpl w:val="153AAB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5" w15:restartNumberingAfterBreak="0">
    <w:nsid w:val="5E3A222A"/>
    <w:multiLevelType w:val="hybridMultilevel"/>
    <w:tmpl w:val="981E654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06" w15:restartNumberingAfterBreak="0">
    <w:nsid w:val="5F767930"/>
    <w:multiLevelType w:val="multilevel"/>
    <w:tmpl w:val="ED92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5FEC26DE"/>
    <w:multiLevelType w:val="multilevel"/>
    <w:tmpl w:val="12246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8" w15:restartNumberingAfterBreak="0">
    <w:nsid w:val="605D18AA"/>
    <w:multiLevelType w:val="multilevel"/>
    <w:tmpl w:val="E32A4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613C7544"/>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614B3B6C"/>
    <w:multiLevelType w:val="multilevel"/>
    <w:tmpl w:val="DC568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615C4310"/>
    <w:multiLevelType w:val="multilevel"/>
    <w:tmpl w:val="0D20F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19A17DB"/>
    <w:multiLevelType w:val="multilevel"/>
    <w:tmpl w:val="E89C3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61CC2219"/>
    <w:multiLevelType w:val="multilevel"/>
    <w:tmpl w:val="984AB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6273208B"/>
    <w:multiLevelType w:val="multilevel"/>
    <w:tmpl w:val="41F48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27B48BB"/>
    <w:multiLevelType w:val="hybridMultilevel"/>
    <w:tmpl w:val="F8A0BD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6" w15:restartNumberingAfterBreak="0">
    <w:nsid w:val="629D6141"/>
    <w:multiLevelType w:val="multilevel"/>
    <w:tmpl w:val="911A2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6345093E"/>
    <w:multiLevelType w:val="multilevel"/>
    <w:tmpl w:val="A25C0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634D4722"/>
    <w:multiLevelType w:val="multilevel"/>
    <w:tmpl w:val="4BB2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63562891"/>
    <w:multiLevelType w:val="multilevel"/>
    <w:tmpl w:val="DB1EB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635C0B3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6369775D"/>
    <w:multiLevelType w:val="hybridMultilevel"/>
    <w:tmpl w:val="E4E61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2" w15:restartNumberingAfterBreak="0">
    <w:nsid w:val="6437504A"/>
    <w:multiLevelType w:val="multilevel"/>
    <w:tmpl w:val="C68EB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64461671"/>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646A073B"/>
    <w:multiLevelType w:val="multilevel"/>
    <w:tmpl w:val="005AD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649D1B9A"/>
    <w:multiLevelType w:val="multilevel"/>
    <w:tmpl w:val="23944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65500AAC"/>
    <w:multiLevelType w:val="multilevel"/>
    <w:tmpl w:val="583A0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656F16B7"/>
    <w:multiLevelType w:val="hybridMultilevel"/>
    <w:tmpl w:val="22649E6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8" w15:restartNumberingAfterBreak="0">
    <w:nsid w:val="6594196B"/>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65DD212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65E97A83"/>
    <w:multiLevelType w:val="multilevel"/>
    <w:tmpl w:val="6876F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66190B8C"/>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66452DF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66912533"/>
    <w:multiLevelType w:val="hybridMultilevel"/>
    <w:tmpl w:val="7F16110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34" w15:restartNumberingAfterBreak="0">
    <w:nsid w:val="66AD4D7B"/>
    <w:multiLevelType w:val="hybridMultilevel"/>
    <w:tmpl w:val="769CA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5" w15:restartNumberingAfterBreak="0">
    <w:nsid w:val="66B578DC"/>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67196FA0"/>
    <w:multiLevelType w:val="hybridMultilevel"/>
    <w:tmpl w:val="4DA2C5EC"/>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7" w15:restartNumberingAfterBreak="0">
    <w:nsid w:val="68A01EC4"/>
    <w:multiLevelType w:val="multilevel"/>
    <w:tmpl w:val="EA96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68C52C11"/>
    <w:multiLevelType w:val="multilevel"/>
    <w:tmpl w:val="7656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68C7617E"/>
    <w:multiLevelType w:val="hybridMultilevel"/>
    <w:tmpl w:val="92F2CE0A"/>
    <w:lvl w:ilvl="0" w:tplc="040C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0" w15:restartNumberingAfterBreak="0">
    <w:nsid w:val="68D74068"/>
    <w:multiLevelType w:val="multilevel"/>
    <w:tmpl w:val="25DAA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69175C27"/>
    <w:multiLevelType w:val="multilevel"/>
    <w:tmpl w:val="25860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69907A96"/>
    <w:multiLevelType w:val="multilevel"/>
    <w:tmpl w:val="493AC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6A0B636B"/>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6A131D01"/>
    <w:multiLevelType w:val="multilevel"/>
    <w:tmpl w:val="B5EC9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6A4E78D5"/>
    <w:multiLevelType w:val="hybridMultilevel"/>
    <w:tmpl w:val="DD720D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6" w15:restartNumberingAfterBreak="0">
    <w:nsid w:val="6AF91EC7"/>
    <w:multiLevelType w:val="multilevel"/>
    <w:tmpl w:val="BF2A5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6B1132C0"/>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6B172CAD"/>
    <w:multiLevelType w:val="multilevel"/>
    <w:tmpl w:val="4AFC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6B4F764E"/>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6B50390B"/>
    <w:multiLevelType w:val="multilevel"/>
    <w:tmpl w:val="31029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6B624B58"/>
    <w:multiLevelType w:val="hybridMultilevel"/>
    <w:tmpl w:val="D9728382"/>
    <w:lvl w:ilvl="0" w:tplc="9F282D38">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2" w15:restartNumberingAfterBreak="0">
    <w:nsid w:val="6B8D470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6BAB3B5C"/>
    <w:multiLevelType w:val="multilevel"/>
    <w:tmpl w:val="FA4020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6C5C5843"/>
    <w:multiLevelType w:val="multilevel"/>
    <w:tmpl w:val="B5C84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6CAC50ED"/>
    <w:multiLevelType w:val="hybridMultilevel"/>
    <w:tmpl w:val="A29CE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6" w15:restartNumberingAfterBreak="0">
    <w:nsid w:val="6CC16C23"/>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6CCF0C85"/>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6CD455CE"/>
    <w:multiLevelType w:val="multilevel"/>
    <w:tmpl w:val="F2987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6CEB3AD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6DA06538"/>
    <w:multiLevelType w:val="multilevel"/>
    <w:tmpl w:val="BF48CB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DBC1DC1"/>
    <w:multiLevelType w:val="multilevel"/>
    <w:tmpl w:val="74181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6DE77727"/>
    <w:multiLevelType w:val="multilevel"/>
    <w:tmpl w:val="E3C0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6E2D0E14"/>
    <w:multiLevelType w:val="multilevel"/>
    <w:tmpl w:val="A5DE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6E894E93"/>
    <w:multiLevelType w:val="multilevel"/>
    <w:tmpl w:val="63424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6EB5771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6F6C63C4"/>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6FE905A3"/>
    <w:multiLevelType w:val="multilevel"/>
    <w:tmpl w:val="F55EB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70BC20B7"/>
    <w:multiLevelType w:val="hybridMultilevel"/>
    <w:tmpl w:val="A0765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9" w15:restartNumberingAfterBreak="0">
    <w:nsid w:val="713C5B3D"/>
    <w:multiLevelType w:val="multilevel"/>
    <w:tmpl w:val="E6EEB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71621277"/>
    <w:multiLevelType w:val="multilevel"/>
    <w:tmpl w:val="3056A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71AA48D4"/>
    <w:multiLevelType w:val="multilevel"/>
    <w:tmpl w:val="7A46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71C5622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1E23994"/>
    <w:multiLevelType w:val="multilevel"/>
    <w:tmpl w:val="515E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72087A53"/>
    <w:multiLevelType w:val="multilevel"/>
    <w:tmpl w:val="46D2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724044EB"/>
    <w:multiLevelType w:val="multilevel"/>
    <w:tmpl w:val="3692E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2C833E6"/>
    <w:multiLevelType w:val="hybridMultilevel"/>
    <w:tmpl w:val="81FC187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7" w15:restartNumberingAfterBreak="0">
    <w:nsid w:val="73321A5A"/>
    <w:multiLevelType w:val="multilevel"/>
    <w:tmpl w:val="4C40AA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73803A25"/>
    <w:multiLevelType w:val="multilevel"/>
    <w:tmpl w:val="DBA60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738346B3"/>
    <w:multiLevelType w:val="multilevel"/>
    <w:tmpl w:val="F2C40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3AA17D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73D8684C"/>
    <w:multiLevelType w:val="multilevel"/>
    <w:tmpl w:val="0772F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7491230C"/>
    <w:multiLevelType w:val="multilevel"/>
    <w:tmpl w:val="842AB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53E188B"/>
    <w:multiLevelType w:val="hybridMultilevel"/>
    <w:tmpl w:val="5E6CF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4" w15:restartNumberingAfterBreak="0">
    <w:nsid w:val="75504F55"/>
    <w:multiLevelType w:val="hybridMultilevel"/>
    <w:tmpl w:val="9190CE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5" w15:restartNumberingAfterBreak="0">
    <w:nsid w:val="76991934"/>
    <w:multiLevelType w:val="multilevel"/>
    <w:tmpl w:val="C80E7E96"/>
    <w:lvl w:ilvl="0">
      <w:numFmt w:val="bullet"/>
      <w:lvlText w:val="-"/>
      <w:lvlJc w:val="left"/>
      <w:pPr>
        <w:tabs>
          <w:tab w:val="num" w:pos="720"/>
        </w:tabs>
        <w:ind w:left="720" w:hanging="360"/>
      </w:pPr>
      <w:rPr>
        <w:rFonts w:ascii="Work Sans" w:eastAsiaTheme="minorHAnsi" w:hAnsi="Work Sans" w:cstheme="minorBid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720550B"/>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777B6E99"/>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7B520A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77C47D34"/>
    <w:multiLevelType w:val="multilevel"/>
    <w:tmpl w:val="F1805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77D619A0"/>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77F43018"/>
    <w:multiLevelType w:val="multilevel"/>
    <w:tmpl w:val="89A29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8A471C6"/>
    <w:multiLevelType w:val="multilevel"/>
    <w:tmpl w:val="018E1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78CD288E"/>
    <w:multiLevelType w:val="multilevel"/>
    <w:tmpl w:val="F800B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792305D5"/>
    <w:multiLevelType w:val="multilevel"/>
    <w:tmpl w:val="F2E84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794104A6"/>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79922126"/>
    <w:multiLevelType w:val="multilevel"/>
    <w:tmpl w:val="E0F2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79E3401C"/>
    <w:multiLevelType w:val="hybridMultilevel"/>
    <w:tmpl w:val="6FCA34F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98" w15:restartNumberingAfterBreak="0">
    <w:nsid w:val="7A431E6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7A5D0640"/>
    <w:multiLevelType w:val="multilevel"/>
    <w:tmpl w:val="EE82AA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AFD0D5E"/>
    <w:multiLevelType w:val="multilevel"/>
    <w:tmpl w:val="01DA4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7B182B7A"/>
    <w:multiLevelType w:val="hybridMultilevel"/>
    <w:tmpl w:val="CAC8F4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2" w15:restartNumberingAfterBreak="0">
    <w:nsid w:val="7B9E201A"/>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7BD040AD"/>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7C4D7267"/>
    <w:multiLevelType w:val="multilevel"/>
    <w:tmpl w:val="507E8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7C5B0063"/>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7C952F6D"/>
    <w:multiLevelType w:val="multilevel"/>
    <w:tmpl w:val="3BDEF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7CBF0D8B"/>
    <w:multiLevelType w:val="multilevel"/>
    <w:tmpl w:val="7DF22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7CD72232"/>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7D4C1564"/>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7DAD346E"/>
    <w:multiLevelType w:val="multilevel"/>
    <w:tmpl w:val="484C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7DB853F6"/>
    <w:multiLevelType w:val="hybridMultilevel"/>
    <w:tmpl w:val="7712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2" w15:restartNumberingAfterBreak="0">
    <w:nsid w:val="7DFB6921"/>
    <w:multiLevelType w:val="hybridMultilevel"/>
    <w:tmpl w:val="788E4B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3" w15:restartNumberingAfterBreak="0">
    <w:nsid w:val="7E112B6D"/>
    <w:multiLevelType w:val="multilevel"/>
    <w:tmpl w:val="597C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7E53012B"/>
    <w:multiLevelType w:val="multilevel"/>
    <w:tmpl w:val="DE1C9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7E665D50"/>
    <w:multiLevelType w:val="multilevel"/>
    <w:tmpl w:val="3B861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7E6B2DD7"/>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7EB82A94"/>
    <w:multiLevelType w:val="multilevel"/>
    <w:tmpl w:val="4112A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7EE746F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7F412AAF"/>
    <w:multiLevelType w:val="multilevel"/>
    <w:tmpl w:val="03E0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7FDC671A"/>
    <w:multiLevelType w:val="hybridMultilevel"/>
    <w:tmpl w:val="512EA6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07384233">
    <w:abstractNumId w:val="15"/>
  </w:num>
  <w:num w:numId="2" w16cid:durableId="1074887775">
    <w:abstractNumId w:val="85"/>
  </w:num>
  <w:num w:numId="3" w16cid:durableId="2072918112">
    <w:abstractNumId w:val="420"/>
  </w:num>
  <w:num w:numId="4" w16cid:durableId="1074160579">
    <w:abstractNumId w:val="401"/>
  </w:num>
  <w:num w:numId="5" w16cid:durableId="102697141">
    <w:abstractNumId w:val="212"/>
  </w:num>
  <w:num w:numId="6" w16cid:durableId="1378050085">
    <w:abstractNumId w:val="228"/>
  </w:num>
  <w:num w:numId="7" w16cid:durableId="348915804">
    <w:abstractNumId w:val="47"/>
  </w:num>
  <w:num w:numId="8" w16cid:durableId="492913757">
    <w:abstractNumId w:val="59"/>
  </w:num>
  <w:num w:numId="9" w16cid:durableId="778641814">
    <w:abstractNumId w:val="280"/>
  </w:num>
  <w:num w:numId="10" w16cid:durableId="183519454">
    <w:abstractNumId w:val="23"/>
  </w:num>
  <w:num w:numId="11" w16cid:durableId="1340501401">
    <w:abstractNumId w:val="68"/>
  </w:num>
  <w:num w:numId="12" w16cid:durableId="1865750321">
    <w:abstractNumId w:val="258"/>
  </w:num>
  <w:num w:numId="13" w16cid:durableId="1344472684">
    <w:abstractNumId w:val="306"/>
  </w:num>
  <w:num w:numId="14" w16cid:durableId="2102556471">
    <w:abstractNumId w:val="165"/>
  </w:num>
  <w:num w:numId="15" w16cid:durableId="618267164">
    <w:abstractNumId w:val="80"/>
  </w:num>
  <w:num w:numId="16" w16cid:durableId="1106192053">
    <w:abstractNumId w:val="264"/>
  </w:num>
  <w:num w:numId="17" w16cid:durableId="655769550">
    <w:abstractNumId w:val="358"/>
  </w:num>
  <w:num w:numId="18" w16cid:durableId="1802188958">
    <w:abstractNumId w:val="395"/>
  </w:num>
  <w:num w:numId="19" w16cid:durableId="505487875">
    <w:abstractNumId w:val="392"/>
  </w:num>
  <w:num w:numId="20" w16cid:durableId="259220351">
    <w:abstractNumId w:val="39"/>
  </w:num>
  <w:num w:numId="21" w16cid:durableId="613706777">
    <w:abstractNumId w:val="160"/>
  </w:num>
  <w:num w:numId="22" w16cid:durableId="1994288573">
    <w:abstractNumId w:val="42"/>
  </w:num>
  <w:num w:numId="23" w16cid:durableId="113603251">
    <w:abstractNumId w:val="169"/>
  </w:num>
  <w:num w:numId="24" w16cid:durableId="3020836">
    <w:abstractNumId w:val="154"/>
  </w:num>
  <w:num w:numId="25" w16cid:durableId="1705449010">
    <w:abstractNumId w:val="178"/>
  </w:num>
  <w:num w:numId="26" w16cid:durableId="2145004627">
    <w:abstractNumId w:val="211"/>
  </w:num>
  <w:num w:numId="27" w16cid:durableId="1032724688">
    <w:abstractNumId w:val="102"/>
  </w:num>
  <w:num w:numId="28" w16cid:durableId="1237009920">
    <w:abstractNumId w:val="237"/>
  </w:num>
  <w:num w:numId="29" w16cid:durableId="250506549">
    <w:abstractNumId w:val="407"/>
  </w:num>
  <w:num w:numId="30" w16cid:durableId="591667151">
    <w:abstractNumId w:val="8"/>
  </w:num>
  <w:num w:numId="31" w16cid:durableId="2059671235">
    <w:abstractNumId w:val="53"/>
  </w:num>
  <w:num w:numId="32" w16cid:durableId="1529174654">
    <w:abstractNumId w:val="94"/>
  </w:num>
  <w:num w:numId="33" w16cid:durableId="363021229">
    <w:abstractNumId w:val="57"/>
  </w:num>
  <w:num w:numId="34" w16cid:durableId="1453938506">
    <w:abstractNumId w:val="167"/>
  </w:num>
  <w:num w:numId="35" w16cid:durableId="1334837371">
    <w:abstractNumId w:val="1"/>
  </w:num>
  <w:num w:numId="36" w16cid:durableId="717439318">
    <w:abstractNumId w:val="396"/>
  </w:num>
  <w:num w:numId="37" w16cid:durableId="1145052530">
    <w:abstractNumId w:val="121"/>
  </w:num>
  <w:num w:numId="38" w16cid:durableId="650060271">
    <w:abstractNumId w:val="3"/>
  </w:num>
  <w:num w:numId="39" w16cid:durableId="962923825">
    <w:abstractNumId w:val="54"/>
  </w:num>
  <w:num w:numId="40" w16cid:durableId="1053457386">
    <w:abstractNumId w:val="241"/>
  </w:num>
  <w:num w:numId="41" w16cid:durableId="37626167">
    <w:abstractNumId w:val="122"/>
  </w:num>
  <w:num w:numId="42" w16cid:durableId="439106552">
    <w:abstractNumId w:val="385"/>
  </w:num>
  <w:num w:numId="43" w16cid:durableId="1568875997">
    <w:abstractNumId w:val="262"/>
  </w:num>
  <w:num w:numId="44" w16cid:durableId="49380940">
    <w:abstractNumId w:val="16"/>
  </w:num>
  <w:num w:numId="45" w16cid:durableId="2086299033">
    <w:abstractNumId w:val="278"/>
  </w:num>
  <w:num w:numId="46" w16cid:durableId="1924754961">
    <w:abstractNumId w:val="103"/>
  </w:num>
  <w:num w:numId="47" w16cid:durableId="474421078">
    <w:abstractNumId w:val="9"/>
  </w:num>
  <w:num w:numId="48" w16cid:durableId="338386068">
    <w:abstractNumId w:val="185"/>
  </w:num>
  <w:num w:numId="49" w16cid:durableId="1589466082">
    <w:abstractNumId w:val="250"/>
  </w:num>
  <w:num w:numId="50" w16cid:durableId="1522937062">
    <w:abstractNumId w:val="13"/>
  </w:num>
  <w:num w:numId="51" w16cid:durableId="1241018970">
    <w:abstractNumId w:val="2"/>
  </w:num>
  <w:num w:numId="52" w16cid:durableId="386611987">
    <w:abstractNumId w:val="342"/>
  </w:num>
  <w:num w:numId="53" w16cid:durableId="1139568262">
    <w:abstractNumId w:val="50"/>
  </w:num>
  <w:num w:numId="54" w16cid:durableId="890849631">
    <w:abstractNumId w:val="206"/>
  </w:num>
  <w:num w:numId="55" w16cid:durableId="1040057402">
    <w:abstractNumId w:val="406"/>
  </w:num>
  <w:num w:numId="56" w16cid:durableId="1184124742">
    <w:abstractNumId w:val="308"/>
  </w:num>
  <w:num w:numId="57" w16cid:durableId="2063407004">
    <w:abstractNumId w:val="412"/>
  </w:num>
  <w:num w:numId="58" w16cid:durableId="1715349372">
    <w:abstractNumId w:val="351"/>
  </w:num>
  <w:num w:numId="59" w16cid:durableId="1488277500">
    <w:abstractNumId w:val="180"/>
  </w:num>
  <w:num w:numId="60" w16cid:durableId="547841993">
    <w:abstractNumId w:val="226"/>
  </w:num>
  <w:num w:numId="61" w16cid:durableId="519589037">
    <w:abstractNumId w:val="266"/>
  </w:num>
  <w:num w:numId="62" w16cid:durableId="485122501">
    <w:abstractNumId w:val="189"/>
  </w:num>
  <w:num w:numId="63" w16cid:durableId="1098061539">
    <w:abstractNumId w:val="279"/>
  </w:num>
  <w:num w:numId="64" w16cid:durableId="2039772982">
    <w:abstractNumId w:val="76"/>
  </w:num>
  <w:num w:numId="65" w16cid:durableId="164177456">
    <w:abstractNumId w:val="90"/>
  </w:num>
  <w:num w:numId="66" w16cid:durableId="50080437">
    <w:abstractNumId w:val="72"/>
  </w:num>
  <w:num w:numId="67" w16cid:durableId="111948741">
    <w:abstractNumId w:val="58"/>
  </w:num>
  <w:num w:numId="68" w16cid:durableId="1525368068">
    <w:abstractNumId w:val="200"/>
  </w:num>
  <w:num w:numId="69" w16cid:durableId="1687443616">
    <w:abstractNumId w:val="91"/>
  </w:num>
  <w:num w:numId="70" w16cid:durableId="1558124541">
    <w:abstractNumId w:val="415"/>
  </w:num>
  <w:num w:numId="71" w16cid:durableId="1261836113">
    <w:abstractNumId w:val="274"/>
  </w:num>
  <w:num w:numId="72" w16cid:durableId="349184450">
    <w:abstractNumId w:val="294"/>
  </w:num>
  <w:num w:numId="73" w16cid:durableId="124854902">
    <w:abstractNumId w:val="263"/>
  </w:num>
  <w:num w:numId="74" w16cid:durableId="843402449">
    <w:abstractNumId w:val="319"/>
  </w:num>
  <w:num w:numId="75" w16cid:durableId="996033415">
    <w:abstractNumId w:val="251"/>
  </w:num>
  <w:num w:numId="76" w16cid:durableId="1314722013">
    <w:abstractNumId w:val="146"/>
  </w:num>
  <w:num w:numId="77" w16cid:durableId="1831095884">
    <w:abstractNumId w:val="45"/>
  </w:num>
  <w:num w:numId="78" w16cid:durableId="195971785">
    <w:abstractNumId w:val="379"/>
  </w:num>
  <w:num w:numId="79" w16cid:durableId="112139887">
    <w:abstractNumId w:val="71"/>
  </w:num>
  <w:num w:numId="80" w16cid:durableId="138960715">
    <w:abstractNumId w:val="143"/>
  </w:num>
  <w:num w:numId="81" w16cid:durableId="613371390">
    <w:abstractNumId w:val="307"/>
  </w:num>
  <w:num w:numId="82" w16cid:durableId="21975783">
    <w:abstractNumId w:val="92"/>
  </w:num>
  <w:num w:numId="83" w16cid:durableId="924218726">
    <w:abstractNumId w:val="140"/>
  </w:num>
  <w:num w:numId="84" w16cid:durableId="1564021188">
    <w:abstractNumId w:val="106"/>
  </w:num>
  <w:num w:numId="85" w16cid:durableId="1462185228">
    <w:abstractNumId w:val="199"/>
  </w:num>
  <w:num w:numId="86" w16cid:durableId="464736190">
    <w:abstractNumId w:val="382"/>
  </w:num>
  <w:num w:numId="87" w16cid:durableId="897865475">
    <w:abstractNumId w:val="303"/>
  </w:num>
  <w:num w:numId="88" w16cid:durableId="1377316643">
    <w:abstractNumId w:val="324"/>
  </w:num>
  <w:num w:numId="89" w16cid:durableId="1432509483">
    <w:abstractNumId w:val="101"/>
  </w:num>
  <w:num w:numId="90" w16cid:durableId="1670713383">
    <w:abstractNumId w:val="400"/>
  </w:num>
  <w:num w:numId="91" w16cid:durableId="1661731042">
    <w:abstractNumId w:val="325"/>
  </w:num>
  <w:num w:numId="92" w16cid:durableId="545334761">
    <w:abstractNumId w:val="51"/>
  </w:num>
  <w:num w:numId="93" w16cid:durableId="1932927150">
    <w:abstractNumId w:val="61"/>
  </w:num>
  <w:num w:numId="94" w16cid:durableId="480732487">
    <w:abstractNumId w:val="348"/>
  </w:num>
  <w:num w:numId="95" w16cid:durableId="2052075429">
    <w:abstractNumId w:val="195"/>
  </w:num>
  <w:num w:numId="96" w16cid:durableId="1383558336">
    <w:abstractNumId w:val="35"/>
  </w:num>
  <w:num w:numId="97" w16cid:durableId="1342314642">
    <w:abstractNumId w:val="293"/>
  </w:num>
  <w:num w:numId="98" w16cid:durableId="1132747868">
    <w:abstractNumId w:val="287"/>
  </w:num>
  <w:num w:numId="99" w16cid:durableId="21907073">
    <w:abstractNumId w:val="245"/>
  </w:num>
  <w:num w:numId="100" w16cid:durableId="165361550">
    <w:abstractNumId w:val="203"/>
  </w:num>
  <w:num w:numId="101" w16cid:durableId="1330059732">
    <w:abstractNumId w:val="374"/>
  </w:num>
  <w:num w:numId="102" w16cid:durableId="954794615">
    <w:abstractNumId w:val="220"/>
  </w:num>
  <w:num w:numId="103" w16cid:durableId="1556891490">
    <w:abstractNumId w:val="171"/>
  </w:num>
  <w:num w:numId="104" w16cid:durableId="1183546486">
    <w:abstractNumId w:val="221"/>
  </w:num>
  <w:num w:numId="105" w16cid:durableId="1689139335">
    <w:abstractNumId w:val="209"/>
  </w:num>
  <w:num w:numId="106" w16cid:durableId="2072727061">
    <w:abstractNumId w:val="312"/>
  </w:num>
  <w:num w:numId="107" w16cid:durableId="1329821609">
    <w:abstractNumId w:val="164"/>
  </w:num>
  <w:num w:numId="108" w16cid:durableId="12538709">
    <w:abstractNumId w:val="298"/>
  </w:num>
  <w:num w:numId="109" w16cid:durableId="349452403">
    <w:abstractNumId w:val="284"/>
  </w:num>
  <w:num w:numId="110" w16cid:durableId="1865704511">
    <w:abstractNumId w:val="272"/>
  </w:num>
  <w:num w:numId="111" w16cid:durableId="1700741713">
    <w:abstractNumId w:val="377"/>
  </w:num>
  <w:num w:numId="112" w16cid:durableId="1915623397">
    <w:abstractNumId w:val="340"/>
  </w:num>
  <w:num w:numId="113" w16cid:durableId="1064182613">
    <w:abstractNumId w:val="353"/>
  </w:num>
  <w:num w:numId="114" w16cid:durableId="276642284">
    <w:abstractNumId w:val="104"/>
  </w:num>
  <w:num w:numId="115" w16cid:durableId="345055569">
    <w:abstractNumId w:val="259"/>
  </w:num>
  <w:num w:numId="116" w16cid:durableId="1001549198">
    <w:abstractNumId w:val="346"/>
  </w:num>
  <w:num w:numId="117" w16cid:durableId="1183783533">
    <w:abstractNumId w:val="261"/>
  </w:num>
  <w:num w:numId="118" w16cid:durableId="1218391498">
    <w:abstractNumId w:val="364"/>
  </w:num>
  <w:num w:numId="119" w16cid:durableId="14965553">
    <w:abstractNumId w:val="326"/>
  </w:num>
  <w:num w:numId="120" w16cid:durableId="1715932410">
    <w:abstractNumId w:val="109"/>
  </w:num>
  <w:num w:numId="121" w16cid:durableId="1452748916">
    <w:abstractNumId w:val="410"/>
  </w:num>
  <w:num w:numId="122" w16cid:durableId="1783069837">
    <w:abstractNumId w:val="67"/>
  </w:num>
  <w:num w:numId="123" w16cid:durableId="444663672">
    <w:abstractNumId w:val="393"/>
  </w:num>
  <w:num w:numId="124" w16cid:durableId="1707213397">
    <w:abstractNumId w:val="115"/>
  </w:num>
  <w:num w:numId="125" w16cid:durableId="1378166451">
    <w:abstractNumId w:val="74"/>
  </w:num>
  <w:num w:numId="126" w16cid:durableId="1578979541">
    <w:abstractNumId w:val="317"/>
  </w:num>
  <w:num w:numId="127" w16cid:durableId="887296889">
    <w:abstractNumId w:val="172"/>
  </w:num>
  <w:num w:numId="128" w16cid:durableId="373896401">
    <w:abstractNumId w:val="4"/>
  </w:num>
  <w:num w:numId="129" w16cid:durableId="358776363">
    <w:abstractNumId w:val="257"/>
  </w:num>
  <w:num w:numId="130" w16cid:durableId="241642423">
    <w:abstractNumId w:val="97"/>
  </w:num>
  <w:num w:numId="131" w16cid:durableId="1288781083">
    <w:abstractNumId w:val="191"/>
  </w:num>
  <w:num w:numId="132" w16cid:durableId="938102375">
    <w:abstractNumId w:val="314"/>
  </w:num>
  <w:num w:numId="133" w16cid:durableId="1476026255">
    <w:abstractNumId w:val="227"/>
  </w:num>
  <w:num w:numId="134" w16cid:durableId="381103675">
    <w:abstractNumId w:val="188"/>
  </w:num>
  <w:num w:numId="135" w16cid:durableId="1851141329">
    <w:abstractNumId w:val="213"/>
  </w:num>
  <w:num w:numId="136" w16cid:durableId="1528522577">
    <w:abstractNumId w:val="414"/>
  </w:num>
  <w:num w:numId="137" w16cid:durableId="575092856">
    <w:abstractNumId w:val="270"/>
  </w:num>
  <w:num w:numId="138" w16cid:durableId="712459545">
    <w:abstractNumId w:val="105"/>
  </w:num>
  <w:num w:numId="139" w16cid:durableId="1914580175">
    <w:abstractNumId w:val="30"/>
  </w:num>
  <w:num w:numId="140" w16cid:durableId="714817863">
    <w:abstractNumId w:val="208"/>
  </w:num>
  <w:num w:numId="141" w16cid:durableId="1145507284">
    <w:abstractNumId w:val="310"/>
  </w:num>
  <w:num w:numId="142" w16cid:durableId="1730883528">
    <w:abstractNumId w:val="116"/>
  </w:num>
  <w:num w:numId="143" w16cid:durableId="669450672">
    <w:abstractNumId w:val="235"/>
  </w:num>
  <w:num w:numId="144" w16cid:durableId="1570922507">
    <w:abstractNumId w:val="375"/>
  </w:num>
  <w:num w:numId="145" w16cid:durableId="1927495733">
    <w:abstractNumId w:val="225"/>
  </w:num>
  <w:num w:numId="146" w16cid:durableId="1988581804">
    <w:abstractNumId w:val="394"/>
  </w:num>
  <w:num w:numId="147" w16cid:durableId="994458153">
    <w:abstractNumId w:val="369"/>
  </w:num>
  <w:num w:numId="148" w16cid:durableId="366834955">
    <w:abstractNumId w:val="100"/>
  </w:num>
  <w:num w:numId="149" w16cid:durableId="965812677">
    <w:abstractNumId w:val="354"/>
  </w:num>
  <w:num w:numId="150" w16cid:durableId="1063597021">
    <w:abstractNumId w:val="236"/>
  </w:num>
  <w:num w:numId="151" w16cid:durableId="11148630">
    <w:abstractNumId w:val="290"/>
  </w:num>
  <w:num w:numId="152" w16cid:durableId="826363828">
    <w:abstractNumId w:val="107"/>
  </w:num>
  <w:num w:numId="153" w16cid:durableId="765735578">
    <w:abstractNumId w:val="344"/>
  </w:num>
  <w:num w:numId="154" w16cid:durableId="559362371">
    <w:abstractNumId w:val="18"/>
  </w:num>
  <w:num w:numId="155" w16cid:durableId="1417752016">
    <w:abstractNumId w:val="75"/>
  </w:num>
  <w:num w:numId="156" w16cid:durableId="1464469125">
    <w:abstractNumId w:val="194"/>
  </w:num>
  <w:num w:numId="157" w16cid:durableId="1614553693">
    <w:abstractNumId w:val="276"/>
  </w:num>
  <w:num w:numId="158" w16cid:durableId="225454898">
    <w:abstractNumId w:val="7"/>
  </w:num>
  <w:num w:numId="159" w16cid:durableId="1226650533">
    <w:abstractNumId w:val="313"/>
  </w:num>
  <w:num w:numId="160" w16cid:durableId="1939941898">
    <w:abstractNumId w:val="49"/>
  </w:num>
  <w:num w:numId="161" w16cid:durableId="2023698353">
    <w:abstractNumId w:val="37"/>
  </w:num>
  <w:num w:numId="162" w16cid:durableId="1593589169">
    <w:abstractNumId w:val="288"/>
  </w:num>
  <w:num w:numId="163" w16cid:durableId="1179007359">
    <w:abstractNumId w:val="86"/>
  </w:num>
  <w:num w:numId="164" w16cid:durableId="635139919">
    <w:abstractNumId w:val="367"/>
  </w:num>
  <w:num w:numId="165" w16cid:durableId="1703942198">
    <w:abstractNumId w:val="322"/>
  </w:num>
  <w:num w:numId="166" w16cid:durableId="652297579">
    <w:abstractNumId w:val="269"/>
  </w:num>
  <w:num w:numId="167" w16cid:durableId="733085779">
    <w:abstractNumId w:val="271"/>
  </w:num>
  <w:num w:numId="168" w16cid:durableId="1881702258">
    <w:abstractNumId w:val="77"/>
  </w:num>
  <w:num w:numId="169" w16cid:durableId="1563517895">
    <w:abstractNumId w:val="69"/>
  </w:num>
  <w:num w:numId="170" w16cid:durableId="1182356843">
    <w:abstractNumId w:val="99"/>
  </w:num>
  <w:num w:numId="171" w16cid:durableId="1757021458">
    <w:abstractNumId w:val="183"/>
  </w:num>
  <w:num w:numId="172" w16cid:durableId="2087265330">
    <w:abstractNumId w:val="282"/>
  </w:num>
  <w:num w:numId="173" w16cid:durableId="1858882295">
    <w:abstractNumId w:val="204"/>
  </w:num>
  <w:num w:numId="174" w16cid:durableId="199517214">
    <w:abstractNumId w:val="249"/>
  </w:num>
  <w:num w:numId="175" w16cid:durableId="914700792">
    <w:abstractNumId w:val="112"/>
  </w:num>
  <w:num w:numId="176" w16cid:durableId="1335303854">
    <w:abstractNumId w:val="96"/>
  </w:num>
  <w:num w:numId="177" w16cid:durableId="439180902">
    <w:abstractNumId w:val="166"/>
  </w:num>
  <w:num w:numId="178" w16cid:durableId="1907688949">
    <w:abstractNumId w:val="135"/>
  </w:num>
  <w:num w:numId="179" w16cid:durableId="1375229266">
    <w:abstractNumId w:val="163"/>
  </w:num>
  <w:num w:numId="180" w16cid:durableId="494031359">
    <w:abstractNumId w:val="337"/>
  </w:num>
  <w:num w:numId="181" w16cid:durableId="641470754">
    <w:abstractNumId w:val="318"/>
  </w:num>
  <w:num w:numId="182" w16cid:durableId="1139304145">
    <w:abstractNumId w:val="378"/>
  </w:num>
  <w:num w:numId="183" w16cid:durableId="1636133273">
    <w:abstractNumId w:val="181"/>
  </w:num>
  <w:num w:numId="184" w16cid:durableId="744424734">
    <w:abstractNumId w:val="362"/>
  </w:num>
  <w:num w:numId="185" w16cid:durableId="1735808288">
    <w:abstractNumId w:val="389"/>
  </w:num>
  <w:num w:numId="186" w16cid:durableId="1723016259">
    <w:abstractNumId w:val="371"/>
  </w:num>
  <w:num w:numId="187" w16cid:durableId="544489778">
    <w:abstractNumId w:val="311"/>
  </w:num>
  <w:num w:numId="188" w16cid:durableId="1802654886">
    <w:abstractNumId w:val="281"/>
  </w:num>
  <w:num w:numId="189" w16cid:durableId="810026408">
    <w:abstractNumId w:val="341"/>
  </w:num>
  <w:num w:numId="190" w16cid:durableId="1590385100">
    <w:abstractNumId w:val="129"/>
  </w:num>
  <w:num w:numId="191" w16cid:durableId="400181047">
    <w:abstractNumId w:val="399"/>
  </w:num>
  <w:num w:numId="192" w16cid:durableId="1288394074">
    <w:abstractNumId w:val="300"/>
  </w:num>
  <w:num w:numId="193" w16cid:durableId="316809939">
    <w:abstractNumId w:val="144"/>
  </w:num>
  <w:num w:numId="194" w16cid:durableId="1427920818">
    <w:abstractNumId w:val="156"/>
  </w:num>
  <w:num w:numId="195" w16cid:durableId="960262646">
    <w:abstractNumId w:val="413"/>
  </w:num>
  <w:num w:numId="196" w16cid:durableId="126822702">
    <w:abstractNumId w:val="179"/>
  </w:num>
  <w:num w:numId="197" w16cid:durableId="1573395485">
    <w:abstractNumId w:val="64"/>
  </w:num>
  <w:num w:numId="198" w16cid:durableId="78136490">
    <w:abstractNumId w:val="111"/>
  </w:num>
  <w:num w:numId="199" w16cid:durableId="1185434492">
    <w:abstractNumId w:val="417"/>
  </w:num>
  <w:num w:numId="200" w16cid:durableId="2125995007">
    <w:abstractNumId w:val="60"/>
  </w:num>
  <w:num w:numId="201" w16cid:durableId="415978454">
    <w:abstractNumId w:val="134"/>
  </w:num>
  <w:num w:numId="202" w16cid:durableId="630092988">
    <w:abstractNumId w:val="404"/>
  </w:num>
  <w:num w:numId="203" w16cid:durableId="660737242">
    <w:abstractNumId w:val="152"/>
  </w:num>
  <w:num w:numId="204" w16cid:durableId="1606108139">
    <w:abstractNumId w:val="158"/>
  </w:num>
  <w:num w:numId="205" w16cid:durableId="204103188">
    <w:abstractNumId w:val="142"/>
  </w:num>
  <w:num w:numId="206" w16cid:durableId="1904100148">
    <w:abstractNumId w:val="316"/>
  </w:num>
  <w:num w:numId="207" w16cid:durableId="1857385263">
    <w:abstractNumId w:val="373"/>
  </w:num>
  <w:num w:numId="208" w16cid:durableId="1705129897">
    <w:abstractNumId w:val="113"/>
  </w:num>
  <w:num w:numId="209" w16cid:durableId="995064352">
    <w:abstractNumId w:val="137"/>
  </w:num>
  <w:num w:numId="210" w16cid:durableId="1782258063">
    <w:abstractNumId w:val="338"/>
  </w:num>
  <w:num w:numId="211" w16cid:durableId="1277718946">
    <w:abstractNumId w:val="229"/>
  </w:num>
  <w:num w:numId="212" w16cid:durableId="840897192">
    <w:abstractNumId w:val="233"/>
  </w:num>
  <w:num w:numId="213" w16cid:durableId="347294110">
    <w:abstractNumId w:val="248"/>
  </w:num>
  <w:num w:numId="214" w16cid:durableId="1335256633">
    <w:abstractNumId w:val="304"/>
  </w:num>
  <w:num w:numId="215" w16cid:durableId="1387026900">
    <w:abstractNumId w:val="265"/>
  </w:num>
  <w:num w:numId="216" w16cid:durableId="1284120794">
    <w:abstractNumId w:val="330"/>
  </w:num>
  <w:num w:numId="217" w16cid:durableId="1515925342">
    <w:abstractNumId w:val="370"/>
  </w:num>
  <w:num w:numId="218" w16cid:durableId="146285845">
    <w:abstractNumId w:val="361"/>
  </w:num>
  <w:num w:numId="219" w16cid:durableId="1804080323">
    <w:abstractNumId w:val="296"/>
  </w:num>
  <w:num w:numId="220" w16cid:durableId="1978561793">
    <w:abstractNumId w:val="193"/>
  </w:num>
  <w:num w:numId="221" w16cid:durableId="1598367215">
    <w:abstractNumId w:val="28"/>
  </w:num>
  <w:num w:numId="222" w16cid:durableId="442069220">
    <w:abstractNumId w:val="381"/>
  </w:num>
  <w:num w:numId="223" w16cid:durableId="551382041">
    <w:abstractNumId w:val="170"/>
  </w:num>
  <w:num w:numId="224" w16cid:durableId="1198004409">
    <w:abstractNumId w:val="260"/>
  </w:num>
  <w:num w:numId="225" w16cid:durableId="507868309">
    <w:abstractNumId w:val="141"/>
  </w:num>
  <w:num w:numId="226" w16cid:durableId="1654675026">
    <w:abstractNumId w:val="186"/>
  </w:num>
  <w:num w:numId="227" w16cid:durableId="705984156">
    <w:abstractNumId w:val="198"/>
  </w:num>
  <w:num w:numId="228" w16cid:durableId="284392206">
    <w:abstractNumId w:val="22"/>
  </w:num>
  <w:num w:numId="229" w16cid:durableId="1451702602">
    <w:abstractNumId w:val="131"/>
  </w:num>
  <w:num w:numId="230" w16cid:durableId="1785422141">
    <w:abstractNumId w:val="291"/>
  </w:num>
  <w:num w:numId="231" w16cid:durableId="1585845492">
    <w:abstractNumId w:val="175"/>
  </w:num>
  <w:num w:numId="232" w16cid:durableId="1599753423">
    <w:abstractNumId w:val="43"/>
  </w:num>
  <w:num w:numId="233" w16cid:durableId="821002031">
    <w:abstractNumId w:val="11"/>
  </w:num>
  <w:num w:numId="234" w16cid:durableId="341904488">
    <w:abstractNumId w:val="302"/>
  </w:num>
  <w:num w:numId="235" w16cid:durableId="2117628767">
    <w:abstractNumId w:val="120"/>
  </w:num>
  <w:num w:numId="236" w16cid:durableId="361715151">
    <w:abstractNumId w:val="239"/>
  </w:num>
  <w:num w:numId="237" w16cid:durableId="484203214">
    <w:abstractNumId w:val="95"/>
  </w:num>
  <w:num w:numId="238" w16cid:durableId="1708871691">
    <w:abstractNumId w:val="254"/>
  </w:num>
  <w:num w:numId="239" w16cid:durableId="2051492311">
    <w:abstractNumId w:val="359"/>
  </w:num>
  <w:num w:numId="240" w16cid:durableId="1002391709">
    <w:abstractNumId w:val="343"/>
  </w:num>
  <w:num w:numId="241" w16cid:durableId="1650476492">
    <w:abstractNumId w:val="403"/>
  </w:num>
  <w:num w:numId="242" w16cid:durableId="1050492060">
    <w:abstractNumId w:val="295"/>
  </w:num>
  <w:num w:numId="243" w16cid:durableId="311449092">
    <w:abstractNumId w:val="201"/>
  </w:num>
  <w:num w:numId="244" w16cid:durableId="631912076">
    <w:abstractNumId w:val="150"/>
  </w:num>
  <w:num w:numId="245" w16cid:durableId="1356731800">
    <w:abstractNumId w:val="301"/>
  </w:num>
  <w:num w:numId="246" w16cid:durableId="663584499">
    <w:abstractNumId w:val="82"/>
  </w:num>
  <w:num w:numId="247" w16cid:durableId="801046650">
    <w:abstractNumId w:val="36"/>
  </w:num>
  <w:num w:numId="248" w16cid:durableId="11958621">
    <w:abstractNumId w:val="148"/>
  </w:num>
  <w:num w:numId="249" w16cid:durableId="845363508">
    <w:abstractNumId w:val="125"/>
  </w:num>
  <w:num w:numId="250" w16cid:durableId="1441992006">
    <w:abstractNumId w:val="217"/>
  </w:num>
  <w:num w:numId="251" w16cid:durableId="1497960355">
    <w:abstractNumId w:val="352"/>
  </w:num>
  <w:num w:numId="252" w16cid:durableId="2073112430">
    <w:abstractNumId w:val="46"/>
  </w:num>
  <w:num w:numId="253" w16cid:durableId="527260778">
    <w:abstractNumId w:val="273"/>
  </w:num>
  <w:num w:numId="254" w16cid:durableId="784467006">
    <w:abstractNumId w:val="84"/>
  </w:num>
  <w:num w:numId="255" w16cid:durableId="1598101729">
    <w:abstractNumId w:val="349"/>
  </w:num>
  <w:num w:numId="256" w16cid:durableId="2120565804">
    <w:abstractNumId w:val="130"/>
  </w:num>
  <w:num w:numId="257" w16cid:durableId="1109937474">
    <w:abstractNumId w:val="83"/>
  </w:num>
  <w:num w:numId="258" w16cid:durableId="1777293006">
    <w:abstractNumId w:val="162"/>
  </w:num>
  <w:num w:numId="259" w16cid:durableId="251285410">
    <w:abstractNumId w:val="223"/>
  </w:num>
  <w:num w:numId="260" w16cid:durableId="1206482056">
    <w:abstractNumId w:val="247"/>
  </w:num>
  <w:num w:numId="261" w16cid:durableId="428087259">
    <w:abstractNumId w:val="128"/>
  </w:num>
  <w:num w:numId="262" w16cid:durableId="1879706792">
    <w:abstractNumId w:val="309"/>
  </w:num>
  <w:num w:numId="263" w16cid:durableId="1454785863">
    <w:abstractNumId w:val="196"/>
  </w:num>
  <w:num w:numId="264" w16cid:durableId="146023617">
    <w:abstractNumId w:val="380"/>
  </w:num>
  <w:num w:numId="265" w16cid:durableId="1832060964">
    <w:abstractNumId w:val="124"/>
  </w:num>
  <w:num w:numId="266" w16cid:durableId="379981591">
    <w:abstractNumId w:val="323"/>
  </w:num>
  <w:num w:numId="267" w16cid:durableId="1186285110">
    <w:abstractNumId w:val="108"/>
  </w:num>
  <w:num w:numId="268" w16cid:durableId="1862549681">
    <w:abstractNumId w:val="243"/>
  </w:num>
  <w:num w:numId="269" w16cid:durableId="388042764">
    <w:abstractNumId w:val="320"/>
  </w:num>
  <w:num w:numId="270" w16cid:durableId="349332158">
    <w:abstractNumId w:val="405"/>
  </w:num>
  <w:num w:numId="271" w16cid:durableId="838622082">
    <w:abstractNumId w:val="173"/>
  </w:num>
  <w:num w:numId="272" w16cid:durableId="527107443">
    <w:abstractNumId w:val="285"/>
  </w:num>
  <w:num w:numId="273" w16cid:durableId="894046451">
    <w:abstractNumId w:val="331"/>
  </w:num>
  <w:num w:numId="274" w16cid:durableId="1931163039">
    <w:abstractNumId w:val="357"/>
  </w:num>
  <w:num w:numId="275" w16cid:durableId="1780371707">
    <w:abstractNumId w:val="214"/>
  </w:num>
  <w:num w:numId="276" w16cid:durableId="29696551">
    <w:abstractNumId w:val="347"/>
  </w:num>
  <w:num w:numId="277" w16cid:durableId="1703437610">
    <w:abstractNumId w:val="159"/>
  </w:num>
  <w:num w:numId="278" w16cid:durableId="996689015">
    <w:abstractNumId w:val="234"/>
  </w:num>
  <w:num w:numId="279" w16cid:durableId="1425103992">
    <w:abstractNumId w:val="126"/>
  </w:num>
  <w:num w:numId="280" w16cid:durableId="570627674">
    <w:abstractNumId w:val="114"/>
  </w:num>
  <w:num w:numId="281" w16cid:durableId="2015060784">
    <w:abstractNumId w:val="418"/>
  </w:num>
  <w:num w:numId="282" w16cid:durableId="1743480637">
    <w:abstractNumId w:val="398"/>
  </w:num>
  <w:num w:numId="283" w16cid:durableId="1595239098">
    <w:abstractNumId w:val="277"/>
  </w:num>
  <w:num w:numId="284" w16cid:durableId="1094322604">
    <w:abstractNumId w:val="184"/>
  </w:num>
  <w:num w:numId="285" w16cid:durableId="2098860209">
    <w:abstractNumId w:val="286"/>
  </w:num>
  <w:num w:numId="286" w16cid:durableId="488909240">
    <w:abstractNumId w:val="161"/>
  </w:num>
  <w:num w:numId="287" w16cid:durableId="1793668866">
    <w:abstractNumId w:val="157"/>
  </w:num>
  <w:num w:numId="288" w16cid:durableId="469709499">
    <w:abstractNumId w:val="66"/>
  </w:num>
  <w:num w:numId="289" w16cid:durableId="1616594720">
    <w:abstractNumId w:val="372"/>
  </w:num>
  <w:num w:numId="290" w16cid:durableId="783496425">
    <w:abstractNumId w:val="297"/>
  </w:num>
  <w:num w:numId="291" w16cid:durableId="550655018">
    <w:abstractNumId w:val="34"/>
  </w:num>
  <w:num w:numId="292" w16cid:durableId="377321924">
    <w:abstractNumId w:val="52"/>
  </w:num>
  <w:num w:numId="293" w16cid:durableId="362903311">
    <w:abstractNumId w:val="88"/>
  </w:num>
  <w:num w:numId="294" w16cid:durableId="685716965">
    <w:abstractNumId w:val="202"/>
  </w:num>
  <w:num w:numId="295" w16cid:durableId="1610703058">
    <w:abstractNumId w:val="117"/>
  </w:num>
  <w:num w:numId="296" w16cid:durableId="1323896203">
    <w:abstractNumId w:val="153"/>
  </w:num>
  <w:num w:numId="297" w16cid:durableId="1286813359">
    <w:abstractNumId w:val="390"/>
  </w:num>
  <w:num w:numId="298" w16cid:durableId="1327438385">
    <w:abstractNumId w:val="55"/>
  </w:num>
  <w:num w:numId="299" w16cid:durableId="1809932677">
    <w:abstractNumId w:val="62"/>
  </w:num>
  <w:num w:numId="300" w16cid:durableId="1852138932">
    <w:abstractNumId w:val="329"/>
  </w:num>
  <w:num w:numId="301" w16cid:durableId="805053365">
    <w:abstractNumId w:val="0"/>
  </w:num>
  <w:num w:numId="302" w16cid:durableId="908688614">
    <w:abstractNumId w:val="70"/>
  </w:num>
  <w:num w:numId="303" w16cid:durableId="1879928107">
    <w:abstractNumId w:val="197"/>
  </w:num>
  <w:num w:numId="304" w16cid:durableId="1794667508">
    <w:abstractNumId w:val="222"/>
  </w:num>
  <w:num w:numId="305" w16cid:durableId="1428386758">
    <w:abstractNumId w:val="155"/>
  </w:num>
  <w:num w:numId="306" w16cid:durableId="890921889">
    <w:abstractNumId w:val="168"/>
  </w:num>
  <w:num w:numId="307" w16cid:durableId="1488664860">
    <w:abstractNumId w:val="232"/>
  </w:num>
  <w:num w:numId="308" w16cid:durableId="1738941643">
    <w:abstractNumId w:val="151"/>
  </w:num>
  <w:num w:numId="309" w16cid:durableId="189222518">
    <w:abstractNumId w:val="133"/>
  </w:num>
  <w:num w:numId="310" w16cid:durableId="2016764074">
    <w:abstractNumId w:val="210"/>
  </w:num>
  <w:num w:numId="311" w16cid:durableId="1037317936">
    <w:abstractNumId w:val="145"/>
  </w:num>
  <w:num w:numId="312" w16cid:durableId="1206334566">
    <w:abstractNumId w:val="87"/>
  </w:num>
  <w:num w:numId="313" w16cid:durableId="609777893">
    <w:abstractNumId w:val="387"/>
  </w:num>
  <w:num w:numId="314" w16cid:durableId="1216429201">
    <w:abstractNumId w:val="409"/>
  </w:num>
  <w:num w:numId="315" w16cid:durableId="838423978">
    <w:abstractNumId w:val="177"/>
  </w:num>
  <w:num w:numId="316" w16cid:durableId="269629109">
    <w:abstractNumId w:val="224"/>
  </w:num>
  <w:num w:numId="317" w16cid:durableId="1109668713">
    <w:abstractNumId w:val="416"/>
  </w:num>
  <w:num w:numId="318" w16cid:durableId="2005428098">
    <w:abstractNumId w:val="65"/>
  </w:num>
  <w:num w:numId="319" w16cid:durableId="2099446938">
    <w:abstractNumId w:val="218"/>
  </w:num>
  <w:num w:numId="320" w16cid:durableId="1072892825">
    <w:abstractNumId w:val="138"/>
  </w:num>
  <w:num w:numId="321" w16cid:durableId="1444107728">
    <w:abstractNumId w:val="275"/>
  </w:num>
  <w:num w:numId="322" w16cid:durableId="563879567">
    <w:abstractNumId w:val="256"/>
  </w:num>
  <w:num w:numId="323" w16cid:durableId="461774673">
    <w:abstractNumId w:val="44"/>
  </w:num>
  <w:num w:numId="324" w16cid:durableId="1087575906">
    <w:abstractNumId w:val="78"/>
  </w:num>
  <w:num w:numId="325" w16cid:durableId="291324072">
    <w:abstractNumId w:val="40"/>
  </w:num>
  <w:num w:numId="326" w16cid:durableId="2067216407">
    <w:abstractNumId w:val="119"/>
  </w:num>
  <w:num w:numId="327" w16cid:durableId="2106074636">
    <w:abstractNumId w:val="252"/>
  </w:num>
  <w:num w:numId="328" w16cid:durableId="689335302">
    <w:abstractNumId w:val="268"/>
  </w:num>
  <w:num w:numId="329" w16cid:durableId="1444306566">
    <w:abstractNumId w:val="328"/>
  </w:num>
  <w:num w:numId="330" w16cid:durableId="1628388235">
    <w:abstractNumId w:val="386"/>
  </w:num>
  <w:num w:numId="331" w16cid:durableId="862595824">
    <w:abstractNumId w:val="12"/>
  </w:num>
  <w:num w:numId="332" w16cid:durableId="1650786308">
    <w:abstractNumId w:val="335"/>
  </w:num>
  <w:num w:numId="333" w16cid:durableId="1561288388">
    <w:abstractNumId w:val="246"/>
  </w:num>
  <w:num w:numId="334" w16cid:durableId="1514223568">
    <w:abstractNumId w:val="292"/>
  </w:num>
  <w:num w:numId="335" w16cid:durableId="529030895">
    <w:abstractNumId w:val="187"/>
  </w:num>
  <w:num w:numId="336" w16cid:durableId="1124035399">
    <w:abstractNumId w:val="244"/>
  </w:num>
  <w:num w:numId="337" w16cid:durableId="287977223">
    <w:abstractNumId w:val="360"/>
  </w:num>
  <w:num w:numId="338" w16cid:durableId="1500071987">
    <w:abstractNumId w:val="356"/>
  </w:num>
  <w:num w:numId="339" w16cid:durableId="1263107322">
    <w:abstractNumId w:val="81"/>
  </w:num>
  <w:num w:numId="340" w16cid:durableId="1500004999">
    <w:abstractNumId w:val="230"/>
  </w:num>
  <w:num w:numId="341" w16cid:durableId="656885511">
    <w:abstractNumId w:val="419"/>
  </w:num>
  <w:num w:numId="342" w16cid:durableId="555240242">
    <w:abstractNumId w:val="29"/>
  </w:num>
  <w:num w:numId="343" w16cid:durableId="1227034060">
    <w:abstractNumId w:val="402"/>
  </w:num>
  <w:num w:numId="344" w16cid:durableId="304119571">
    <w:abstractNumId w:val="366"/>
  </w:num>
  <w:num w:numId="345" w16cid:durableId="1799059803">
    <w:abstractNumId w:val="215"/>
  </w:num>
  <w:num w:numId="346" w16cid:durableId="498883873">
    <w:abstractNumId w:val="31"/>
  </w:num>
  <w:num w:numId="347" w16cid:durableId="1631351975">
    <w:abstractNumId w:val="14"/>
  </w:num>
  <w:num w:numId="348" w16cid:durableId="1959409445">
    <w:abstractNumId w:val="38"/>
  </w:num>
  <w:num w:numId="349" w16cid:durableId="1904372564">
    <w:abstractNumId w:val="192"/>
  </w:num>
  <w:num w:numId="350" w16cid:durableId="1766219136">
    <w:abstractNumId w:val="205"/>
  </w:num>
  <w:num w:numId="351" w16cid:durableId="660423128">
    <w:abstractNumId w:val="255"/>
  </w:num>
  <w:num w:numId="352" w16cid:durableId="1437674819">
    <w:abstractNumId w:val="123"/>
  </w:num>
  <w:num w:numId="353" w16cid:durableId="392704101">
    <w:abstractNumId w:val="408"/>
  </w:num>
  <w:num w:numId="354" w16cid:durableId="331104133">
    <w:abstractNumId w:val="216"/>
  </w:num>
  <w:num w:numId="355" w16cid:durableId="1656254860">
    <w:abstractNumId w:val="89"/>
  </w:num>
  <w:num w:numId="356" w16cid:durableId="660307261">
    <w:abstractNumId w:val="267"/>
  </w:num>
  <w:num w:numId="357" w16cid:durableId="529419815">
    <w:abstractNumId w:val="388"/>
  </w:num>
  <w:num w:numId="358" w16cid:durableId="422653136">
    <w:abstractNumId w:val="19"/>
  </w:num>
  <w:num w:numId="359" w16cid:durableId="1786845121">
    <w:abstractNumId w:val="365"/>
  </w:num>
  <w:num w:numId="360" w16cid:durableId="1687555683">
    <w:abstractNumId w:val="332"/>
  </w:num>
  <w:num w:numId="361" w16cid:durableId="263808103">
    <w:abstractNumId w:val="127"/>
  </w:num>
  <w:num w:numId="362" w16cid:durableId="1890335716">
    <w:abstractNumId w:val="56"/>
  </w:num>
  <w:num w:numId="363" w16cid:durableId="2135714539">
    <w:abstractNumId w:val="231"/>
  </w:num>
  <w:num w:numId="364" w16cid:durableId="427698836">
    <w:abstractNumId w:val="6"/>
  </w:num>
  <w:num w:numId="365" w16cid:durableId="1844196626">
    <w:abstractNumId w:val="21"/>
  </w:num>
  <w:num w:numId="366" w16cid:durableId="485974030">
    <w:abstractNumId w:val="391"/>
  </w:num>
  <w:num w:numId="367" w16cid:durableId="185214697">
    <w:abstractNumId w:val="299"/>
  </w:num>
  <w:num w:numId="368" w16cid:durableId="1772696947">
    <w:abstractNumId w:val="339"/>
  </w:num>
  <w:num w:numId="369" w16cid:durableId="921529805">
    <w:abstractNumId w:val="190"/>
  </w:num>
  <w:num w:numId="370" w16cid:durableId="2061977389">
    <w:abstractNumId w:val="242"/>
  </w:num>
  <w:num w:numId="371" w16cid:durableId="643893828">
    <w:abstractNumId w:val="32"/>
  </w:num>
  <w:num w:numId="372" w16cid:durableId="678234575">
    <w:abstractNumId w:val="238"/>
  </w:num>
  <w:num w:numId="373" w16cid:durableId="111828614">
    <w:abstractNumId w:val="10"/>
  </w:num>
  <w:num w:numId="374" w16cid:durableId="1126243171">
    <w:abstractNumId w:val="33"/>
  </w:num>
  <w:num w:numId="375" w16cid:durableId="1977486082">
    <w:abstractNumId w:val="26"/>
  </w:num>
  <w:num w:numId="376" w16cid:durableId="105656663">
    <w:abstractNumId w:val="118"/>
  </w:num>
  <w:num w:numId="377" w16cid:durableId="1789738444">
    <w:abstractNumId w:val="345"/>
  </w:num>
  <w:num w:numId="378" w16cid:durableId="729766864">
    <w:abstractNumId w:val="176"/>
  </w:num>
  <w:num w:numId="379" w16cid:durableId="315450704">
    <w:abstractNumId w:val="27"/>
  </w:num>
  <w:num w:numId="380" w16cid:durableId="1677688565">
    <w:abstractNumId w:val="253"/>
  </w:num>
  <w:num w:numId="381" w16cid:durableId="1784960327">
    <w:abstractNumId w:val="363"/>
  </w:num>
  <w:num w:numId="382" w16cid:durableId="747653230">
    <w:abstractNumId w:val="384"/>
  </w:num>
  <w:num w:numId="383" w16cid:durableId="1425879206">
    <w:abstractNumId w:val="350"/>
  </w:num>
  <w:num w:numId="384" w16cid:durableId="927231387">
    <w:abstractNumId w:val="147"/>
  </w:num>
  <w:num w:numId="385" w16cid:durableId="1849245022">
    <w:abstractNumId w:val="93"/>
  </w:num>
  <w:num w:numId="386" w16cid:durableId="328600586">
    <w:abstractNumId w:val="20"/>
  </w:num>
  <w:num w:numId="387" w16cid:durableId="909386373">
    <w:abstractNumId w:val="41"/>
  </w:num>
  <w:num w:numId="388" w16cid:durableId="1461605780">
    <w:abstractNumId w:val="289"/>
  </w:num>
  <w:num w:numId="389" w16cid:durableId="799222671">
    <w:abstractNumId w:val="240"/>
  </w:num>
  <w:num w:numId="390" w16cid:durableId="391781329">
    <w:abstractNumId w:val="333"/>
  </w:num>
  <w:num w:numId="391" w16cid:durableId="129371991">
    <w:abstractNumId w:val="110"/>
  </w:num>
  <w:num w:numId="392" w16cid:durableId="372269483">
    <w:abstractNumId w:val="73"/>
  </w:num>
  <w:num w:numId="393" w16cid:durableId="2090807094">
    <w:abstractNumId w:val="336"/>
  </w:num>
  <w:num w:numId="394" w16cid:durableId="1699743051">
    <w:abstractNumId w:val="219"/>
  </w:num>
  <w:num w:numId="395" w16cid:durableId="286469917">
    <w:abstractNumId w:val="132"/>
  </w:num>
  <w:num w:numId="396" w16cid:durableId="933711091">
    <w:abstractNumId w:val="207"/>
  </w:num>
  <w:num w:numId="397" w16cid:durableId="556431907">
    <w:abstractNumId w:val="327"/>
  </w:num>
  <w:num w:numId="398" w16cid:durableId="512688685">
    <w:abstractNumId w:val="174"/>
  </w:num>
  <w:num w:numId="399" w16cid:durableId="1187795992">
    <w:abstractNumId w:val="283"/>
  </w:num>
  <w:num w:numId="400" w16cid:durableId="1320580380">
    <w:abstractNumId w:val="5"/>
  </w:num>
  <w:num w:numId="401" w16cid:durableId="39136395">
    <w:abstractNumId w:val="397"/>
  </w:num>
  <w:num w:numId="402" w16cid:durableId="1257324747">
    <w:abstractNumId w:val="305"/>
  </w:num>
  <w:num w:numId="403" w16cid:durableId="1814830073">
    <w:abstractNumId w:val="315"/>
  </w:num>
  <w:num w:numId="404" w16cid:durableId="1521434768">
    <w:abstractNumId w:val="63"/>
  </w:num>
  <w:num w:numId="405" w16cid:durableId="1083338198">
    <w:abstractNumId w:val="383"/>
  </w:num>
  <w:num w:numId="406" w16cid:durableId="1145246316">
    <w:abstractNumId w:val="411"/>
  </w:num>
  <w:num w:numId="407" w16cid:durableId="380129042">
    <w:abstractNumId w:val="182"/>
  </w:num>
  <w:num w:numId="408" w16cid:durableId="582378306">
    <w:abstractNumId w:val="98"/>
  </w:num>
  <w:num w:numId="409" w16cid:durableId="613444351">
    <w:abstractNumId w:val="24"/>
  </w:num>
  <w:num w:numId="410" w16cid:durableId="965817541">
    <w:abstractNumId w:val="79"/>
  </w:num>
  <w:num w:numId="411" w16cid:durableId="1156149534">
    <w:abstractNumId w:val="334"/>
  </w:num>
  <w:num w:numId="412" w16cid:durableId="567611655">
    <w:abstractNumId w:val="355"/>
  </w:num>
  <w:num w:numId="413" w16cid:durableId="1130631199">
    <w:abstractNumId w:val="149"/>
  </w:num>
  <w:num w:numId="414" w16cid:durableId="1511676392">
    <w:abstractNumId w:val="368"/>
  </w:num>
  <w:num w:numId="415" w16cid:durableId="1812595475">
    <w:abstractNumId w:val="48"/>
  </w:num>
  <w:num w:numId="416" w16cid:durableId="1281837335">
    <w:abstractNumId w:val="136"/>
  </w:num>
  <w:num w:numId="417" w16cid:durableId="1013147665">
    <w:abstractNumId w:val="139"/>
  </w:num>
  <w:num w:numId="418" w16cid:durableId="1313366459">
    <w:abstractNumId w:val="25"/>
  </w:num>
  <w:num w:numId="419" w16cid:durableId="1111901110">
    <w:abstractNumId w:val="321"/>
  </w:num>
  <w:num w:numId="420" w16cid:durableId="1278878375">
    <w:abstractNumId w:val="17"/>
  </w:num>
  <w:num w:numId="421" w16cid:durableId="62916410">
    <w:abstractNumId w:val="376"/>
  </w:num>
  <w:numIdMacAtCleanup w:val="4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53B"/>
    <w:rsid w:val="000003AC"/>
    <w:rsid w:val="00000CD3"/>
    <w:rsid w:val="000012DC"/>
    <w:rsid w:val="000015C4"/>
    <w:rsid w:val="00001BB6"/>
    <w:rsid w:val="00002D83"/>
    <w:rsid w:val="0000321E"/>
    <w:rsid w:val="00003403"/>
    <w:rsid w:val="000034CF"/>
    <w:rsid w:val="0000369E"/>
    <w:rsid w:val="000049F5"/>
    <w:rsid w:val="00004C76"/>
    <w:rsid w:val="0000528A"/>
    <w:rsid w:val="00005D85"/>
    <w:rsid w:val="0000665E"/>
    <w:rsid w:val="000070C9"/>
    <w:rsid w:val="000071CB"/>
    <w:rsid w:val="000072B1"/>
    <w:rsid w:val="00007C4D"/>
    <w:rsid w:val="00010EFC"/>
    <w:rsid w:val="00011732"/>
    <w:rsid w:val="0001254E"/>
    <w:rsid w:val="00012F83"/>
    <w:rsid w:val="0001320A"/>
    <w:rsid w:val="000132D5"/>
    <w:rsid w:val="000133D2"/>
    <w:rsid w:val="0001367A"/>
    <w:rsid w:val="00013A1A"/>
    <w:rsid w:val="00014263"/>
    <w:rsid w:val="00014651"/>
    <w:rsid w:val="00014E73"/>
    <w:rsid w:val="00014F23"/>
    <w:rsid w:val="00015114"/>
    <w:rsid w:val="000156EC"/>
    <w:rsid w:val="000158AD"/>
    <w:rsid w:val="0001643F"/>
    <w:rsid w:val="00016DC9"/>
    <w:rsid w:val="00017483"/>
    <w:rsid w:val="00017A86"/>
    <w:rsid w:val="00017AA5"/>
    <w:rsid w:val="00017B90"/>
    <w:rsid w:val="00017EE1"/>
    <w:rsid w:val="00020427"/>
    <w:rsid w:val="000205F5"/>
    <w:rsid w:val="0002077C"/>
    <w:rsid w:val="0002081F"/>
    <w:rsid w:val="00020D7A"/>
    <w:rsid w:val="00020EEB"/>
    <w:rsid w:val="0002139B"/>
    <w:rsid w:val="0002178C"/>
    <w:rsid w:val="000217D2"/>
    <w:rsid w:val="00021C12"/>
    <w:rsid w:val="000224A1"/>
    <w:rsid w:val="000226B0"/>
    <w:rsid w:val="00022985"/>
    <w:rsid w:val="00022BA9"/>
    <w:rsid w:val="00022BD7"/>
    <w:rsid w:val="0002340B"/>
    <w:rsid w:val="00023505"/>
    <w:rsid w:val="000236CB"/>
    <w:rsid w:val="0002375A"/>
    <w:rsid w:val="00023A90"/>
    <w:rsid w:val="0002401E"/>
    <w:rsid w:val="0002441E"/>
    <w:rsid w:val="00024CE9"/>
    <w:rsid w:val="00024D09"/>
    <w:rsid w:val="0002543D"/>
    <w:rsid w:val="00025692"/>
    <w:rsid w:val="00025D00"/>
    <w:rsid w:val="00026367"/>
    <w:rsid w:val="000264C0"/>
    <w:rsid w:val="0002773D"/>
    <w:rsid w:val="0003032D"/>
    <w:rsid w:val="000308A0"/>
    <w:rsid w:val="000313F8"/>
    <w:rsid w:val="0003187E"/>
    <w:rsid w:val="00031F52"/>
    <w:rsid w:val="000323AE"/>
    <w:rsid w:val="00032979"/>
    <w:rsid w:val="00032D68"/>
    <w:rsid w:val="0003386D"/>
    <w:rsid w:val="0003391A"/>
    <w:rsid w:val="00034E61"/>
    <w:rsid w:val="00036003"/>
    <w:rsid w:val="0003640A"/>
    <w:rsid w:val="0003664A"/>
    <w:rsid w:val="00036AB6"/>
    <w:rsid w:val="000376EF"/>
    <w:rsid w:val="00037A5C"/>
    <w:rsid w:val="00037B56"/>
    <w:rsid w:val="00037CA0"/>
    <w:rsid w:val="00037EE9"/>
    <w:rsid w:val="00040E3E"/>
    <w:rsid w:val="000418DE"/>
    <w:rsid w:val="00041ACB"/>
    <w:rsid w:val="00041C16"/>
    <w:rsid w:val="0004242A"/>
    <w:rsid w:val="00042C13"/>
    <w:rsid w:val="00043A67"/>
    <w:rsid w:val="00043B51"/>
    <w:rsid w:val="00044FB8"/>
    <w:rsid w:val="000452E7"/>
    <w:rsid w:val="000454F4"/>
    <w:rsid w:val="00045B2A"/>
    <w:rsid w:val="00046513"/>
    <w:rsid w:val="00046D8F"/>
    <w:rsid w:val="00047B6E"/>
    <w:rsid w:val="00050236"/>
    <w:rsid w:val="00050314"/>
    <w:rsid w:val="00051FA9"/>
    <w:rsid w:val="000525E4"/>
    <w:rsid w:val="0005353E"/>
    <w:rsid w:val="00053BEB"/>
    <w:rsid w:val="00053EAB"/>
    <w:rsid w:val="00054F34"/>
    <w:rsid w:val="00055382"/>
    <w:rsid w:val="00055752"/>
    <w:rsid w:val="00055C79"/>
    <w:rsid w:val="0005608E"/>
    <w:rsid w:val="000562E1"/>
    <w:rsid w:val="00056C02"/>
    <w:rsid w:val="00056DA5"/>
    <w:rsid w:val="0005722F"/>
    <w:rsid w:val="00057393"/>
    <w:rsid w:val="0005795B"/>
    <w:rsid w:val="00057C73"/>
    <w:rsid w:val="00057F6C"/>
    <w:rsid w:val="00060127"/>
    <w:rsid w:val="00060162"/>
    <w:rsid w:val="00060267"/>
    <w:rsid w:val="00060DD2"/>
    <w:rsid w:val="00061C87"/>
    <w:rsid w:val="00061D83"/>
    <w:rsid w:val="00061D8E"/>
    <w:rsid w:val="00061F79"/>
    <w:rsid w:val="00062E0A"/>
    <w:rsid w:val="00062FF8"/>
    <w:rsid w:val="0006381B"/>
    <w:rsid w:val="00063BF5"/>
    <w:rsid w:val="00063DF1"/>
    <w:rsid w:val="000640EB"/>
    <w:rsid w:val="00064473"/>
    <w:rsid w:val="000645CA"/>
    <w:rsid w:val="00066217"/>
    <w:rsid w:val="00066611"/>
    <w:rsid w:val="000669AA"/>
    <w:rsid w:val="0006727A"/>
    <w:rsid w:val="00067849"/>
    <w:rsid w:val="000701F6"/>
    <w:rsid w:val="00071465"/>
    <w:rsid w:val="00071659"/>
    <w:rsid w:val="00071708"/>
    <w:rsid w:val="00072337"/>
    <w:rsid w:val="000726E3"/>
    <w:rsid w:val="00072C93"/>
    <w:rsid w:val="00072D4A"/>
    <w:rsid w:val="00073073"/>
    <w:rsid w:val="0007334C"/>
    <w:rsid w:val="00074203"/>
    <w:rsid w:val="000742EC"/>
    <w:rsid w:val="00074999"/>
    <w:rsid w:val="00075C4A"/>
    <w:rsid w:val="00076827"/>
    <w:rsid w:val="00076F31"/>
    <w:rsid w:val="00077477"/>
    <w:rsid w:val="0008096C"/>
    <w:rsid w:val="00080D78"/>
    <w:rsid w:val="00081391"/>
    <w:rsid w:val="00081B30"/>
    <w:rsid w:val="000820FE"/>
    <w:rsid w:val="000823A3"/>
    <w:rsid w:val="00082867"/>
    <w:rsid w:val="0008321D"/>
    <w:rsid w:val="000835A2"/>
    <w:rsid w:val="0008400E"/>
    <w:rsid w:val="000847EF"/>
    <w:rsid w:val="00084F0F"/>
    <w:rsid w:val="00085A45"/>
    <w:rsid w:val="00085BA8"/>
    <w:rsid w:val="00085D6B"/>
    <w:rsid w:val="00085DE0"/>
    <w:rsid w:val="000866E2"/>
    <w:rsid w:val="00086805"/>
    <w:rsid w:val="00086ACB"/>
    <w:rsid w:val="00086B78"/>
    <w:rsid w:val="00086CC2"/>
    <w:rsid w:val="0008771C"/>
    <w:rsid w:val="00087E84"/>
    <w:rsid w:val="00090B02"/>
    <w:rsid w:val="00090DE0"/>
    <w:rsid w:val="00091180"/>
    <w:rsid w:val="00091605"/>
    <w:rsid w:val="0009184C"/>
    <w:rsid w:val="000923A0"/>
    <w:rsid w:val="0009280B"/>
    <w:rsid w:val="00093AD4"/>
    <w:rsid w:val="00093B22"/>
    <w:rsid w:val="00093E08"/>
    <w:rsid w:val="00094430"/>
    <w:rsid w:val="00094554"/>
    <w:rsid w:val="000945C2"/>
    <w:rsid w:val="000946FC"/>
    <w:rsid w:val="00094F85"/>
    <w:rsid w:val="00095542"/>
    <w:rsid w:val="00095994"/>
    <w:rsid w:val="00095EE1"/>
    <w:rsid w:val="000961B1"/>
    <w:rsid w:val="00096B3B"/>
    <w:rsid w:val="00096C1E"/>
    <w:rsid w:val="00097234"/>
    <w:rsid w:val="00097924"/>
    <w:rsid w:val="000A04A3"/>
    <w:rsid w:val="000A04F6"/>
    <w:rsid w:val="000A0AFA"/>
    <w:rsid w:val="000A0B5A"/>
    <w:rsid w:val="000A0E84"/>
    <w:rsid w:val="000A1151"/>
    <w:rsid w:val="000A177E"/>
    <w:rsid w:val="000A2933"/>
    <w:rsid w:val="000A29EF"/>
    <w:rsid w:val="000A3D4F"/>
    <w:rsid w:val="000A407B"/>
    <w:rsid w:val="000A477C"/>
    <w:rsid w:val="000A485F"/>
    <w:rsid w:val="000A495E"/>
    <w:rsid w:val="000A50B6"/>
    <w:rsid w:val="000A51B9"/>
    <w:rsid w:val="000A54C8"/>
    <w:rsid w:val="000A588D"/>
    <w:rsid w:val="000A673E"/>
    <w:rsid w:val="000A6D3F"/>
    <w:rsid w:val="000A788C"/>
    <w:rsid w:val="000A7897"/>
    <w:rsid w:val="000B01E1"/>
    <w:rsid w:val="000B03C2"/>
    <w:rsid w:val="000B0604"/>
    <w:rsid w:val="000B09DF"/>
    <w:rsid w:val="000B09EA"/>
    <w:rsid w:val="000B0A8C"/>
    <w:rsid w:val="000B0DCA"/>
    <w:rsid w:val="000B11AC"/>
    <w:rsid w:val="000B1BF4"/>
    <w:rsid w:val="000B1E44"/>
    <w:rsid w:val="000B1F30"/>
    <w:rsid w:val="000B21FB"/>
    <w:rsid w:val="000B360B"/>
    <w:rsid w:val="000B3FA0"/>
    <w:rsid w:val="000B611B"/>
    <w:rsid w:val="000B739E"/>
    <w:rsid w:val="000C010D"/>
    <w:rsid w:val="000C0119"/>
    <w:rsid w:val="000C05A6"/>
    <w:rsid w:val="000C05C3"/>
    <w:rsid w:val="000C07C9"/>
    <w:rsid w:val="000C1A33"/>
    <w:rsid w:val="000C279F"/>
    <w:rsid w:val="000C2D99"/>
    <w:rsid w:val="000C3383"/>
    <w:rsid w:val="000C3483"/>
    <w:rsid w:val="000C4411"/>
    <w:rsid w:val="000C451C"/>
    <w:rsid w:val="000C4658"/>
    <w:rsid w:val="000C48E0"/>
    <w:rsid w:val="000C53DB"/>
    <w:rsid w:val="000C5DC1"/>
    <w:rsid w:val="000C660D"/>
    <w:rsid w:val="000C7B83"/>
    <w:rsid w:val="000D01DB"/>
    <w:rsid w:val="000D023D"/>
    <w:rsid w:val="000D1424"/>
    <w:rsid w:val="000D177A"/>
    <w:rsid w:val="000D1EDF"/>
    <w:rsid w:val="000D1FB9"/>
    <w:rsid w:val="000D2ABC"/>
    <w:rsid w:val="000D36F9"/>
    <w:rsid w:val="000D3F53"/>
    <w:rsid w:val="000D4BD3"/>
    <w:rsid w:val="000D4FC9"/>
    <w:rsid w:val="000D5ACE"/>
    <w:rsid w:val="000D5E71"/>
    <w:rsid w:val="000D5ED3"/>
    <w:rsid w:val="000D61EB"/>
    <w:rsid w:val="000D6440"/>
    <w:rsid w:val="000D6D90"/>
    <w:rsid w:val="000D6F16"/>
    <w:rsid w:val="000D7442"/>
    <w:rsid w:val="000E032D"/>
    <w:rsid w:val="000E067E"/>
    <w:rsid w:val="000E087E"/>
    <w:rsid w:val="000E0EE7"/>
    <w:rsid w:val="000E1FAA"/>
    <w:rsid w:val="000E2137"/>
    <w:rsid w:val="000E2C56"/>
    <w:rsid w:val="000E30A3"/>
    <w:rsid w:val="000E3C10"/>
    <w:rsid w:val="000E3DCA"/>
    <w:rsid w:val="000E3DDB"/>
    <w:rsid w:val="000E3E01"/>
    <w:rsid w:val="000E4183"/>
    <w:rsid w:val="000E46AE"/>
    <w:rsid w:val="000E5C17"/>
    <w:rsid w:val="000E6477"/>
    <w:rsid w:val="000E6651"/>
    <w:rsid w:val="000E6D70"/>
    <w:rsid w:val="000E7245"/>
    <w:rsid w:val="000E72FD"/>
    <w:rsid w:val="000E779B"/>
    <w:rsid w:val="000E77BE"/>
    <w:rsid w:val="000F0EA7"/>
    <w:rsid w:val="000F103B"/>
    <w:rsid w:val="000F15C9"/>
    <w:rsid w:val="000F17CF"/>
    <w:rsid w:val="000F19A5"/>
    <w:rsid w:val="000F1AA7"/>
    <w:rsid w:val="000F2361"/>
    <w:rsid w:val="000F287A"/>
    <w:rsid w:val="000F290F"/>
    <w:rsid w:val="000F2980"/>
    <w:rsid w:val="000F34CA"/>
    <w:rsid w:val="000F3547"/>
    <w:rsid w:val="000F44B9"/>
    <w:rsid w:val="000F4899"/>
    <w:rsid w:val="000F4F32"/>
    <w:rsid w:val="000F5137"/>
    <w:rsid w:val="000F514A"/>
    <w:rsid w:val="000F6389"/>
    <w:rsid w:val="000F645C"/>
    <w:rsid w:val="000F6C2E"/>
    <w:rsid w:val="000F6EFF"/>
    <w:rsid w:val="000F7351"/>
    <w:rsid w:val="000F783E"/>
    <w:rsid w:val="000F79EB"/>
    <w:rsid w:val="000F7B55"/>
    <w:rsid w:val="000F7D28"/>
    <w:rsid w:val="0010090A"/>
    <w:rsid w:val="0010126E"/>
    <w:rsid w:val="0010164E"/>
    <w:rsid w:val="0010205F"/>
    <w:rsid w:val="001028D5"/>
    <w:rsid w:val="001028E0"/>
    <w:rsid w:val="001029DA"/>
    <w:rsid w:val="00102D24"/>
    <w:rsid w:val="001035A8"/>
    <w:rsid w:val="0010401E"/>
    <w:rsid w:val="0010434F"/>
    <w:rsid w:val="001047AB"/>
    <w:rsid w:val="001054E2"/>
    <w:rsid w:val="001054ED"/>
    <w:rsid w:val="00105A46"/>
    <w:rsid w:val="001061CA"/>
    <w:rsid w:val="001063AC"/>
    <w:rsid w:val="001065AD"/>
    <w:rsid w:val="0010669B"/>
    <w:rsid w:val="001069D1"/>
    <w:rsid w:val="00106F9D"/>
    <w:rsid w:val="00107147"/>
    <w:rsid w:val="00107392"/>
    <w:rsid w:val="00107402"/>
    <w:rsid w:val="00110AC3"/>
    <w:rsid w:val="001119F2"/>
    <w:rsid w:val="00111B37"/>
    <w:rsid w:val="00112468"/>
    <w:rsid w:val="0011254E"/>
    <w:rsid w:val="00112BC3"/>
    <w:rsid w:val="00113F7E"/>
    <w:rsid w:val="00114085"/>
    <w:rsid w:val="00115B3C"/>
    <w:rsid w:val="0011669F"/>
    <w:rsid w:val="0011697A"/>
    <w:rsid w:val="00116F3F"/>
    <w:rsid w:val="0011710F"/>
    <w:rsid w:val="0011729A"/>
    <w:rsid w:val="0011755C"/>
    <w:rsid w:val="00117789"/>
    <w:rsid w:val="00120947"/>
    <w:rsid w:val="00120D31"/>
    <w:rsid w:val="00120D3C"/>
    <w:rsid w:val="00120D83"/>
    <w:rsid w:val="0012127F"/>
    <w:rsid w:val="00123575"/>
    <w:rsid w:val="00123A39"/>
    <w:rsid w:val="00123C1A"/>
    <w:rsid w:val="00123DAE"/>
    <w:rsid w:val="00124098"/>
    <w:rsid w:val="00124888"/>
    <w:rsid w:val="00125193"/>
    <w:rsid w:val="00125C67"/>
    <w:rsid w:val="00126862"/>
    <w:rsid w:val="00127378"/>
    <w:rsid w:val="001274F2"/>
    <w:rsid w:val="00127D2E"/>
    <w:rsid w:val="001301D2"/>
    <w:rsid w:val="001303CE"/>
    <w:rsid w:val="001307E1"/>
    <w:rsid w:val="00130E96"/>
    <w:rsid w:val="00131081"/>
    <w:rsid w:val="0013157E"/>
    <w:rsid w:val="0013158E"/>
    <w:rsid w:val="001329BD"/>
    <w:rsid w:val="0013330F"/>
    <w:rsid w:val="001336C7"/>
    <w:rsid w:val="00133A07"/>
    <w:rsid w:val="00133F8C"/>
    <w:rsid w:val="001342C6"/>
    <w:rsid w:val="001344CA"/>
    <w:rsid w:val="00135038"/>
    <w:rsid w:val="00135476"/>
    <w:rsid w:val="0013549A"/>
    <w:rsid w:val="00135689"/>
    <w:rsid w:val="00135E9E"/>
    <w:rsid w:val="00136784"/>
    <w:rsid w:val="0013690B"/>
    <w:rsid w:val="0014004F"/>
    <w:rsid w:val="001400D2"/>
    <w:rsid w:val="00140217"/>
    <w:rsid w:val="0014035B"/>
    <w:rsid w:val="00140493"/>
    <w:rsid w:val="00140733"/>
    <w:rsid w:val="0014080C"/>
    <w:rsid w:val="00140C90"/>
    <w:rsid w:val="001415BF"/>
    <w:rsid w:val="001416D0"/>
    <w:rsid w:val="00141B41"/>
    <w:rsid w:val="00142F3A"/>
    <w:rsid w:val="00143491"/>
    <w:rsid w:val="0014494F"/>
    <w:rsid w:val="00144AA6"/>
    <w:rsid w:val="00145798"/>
    <w:rsid w:val="00145812"/>
    <w:rsid w:val="00145921"/>
    <w:rsid w:val="00145B46"/>
    <w:rsid w:val="001461EE"/>
    <w:rsid w:val="001462BB"/>
    <w:rsid w:val="001463A3"/>
    <w:rsid w:val="00146B03"/>
    <w:rsid w:val="00147172"/>
    <w:rsid w:val="00147371"/>
    <w:rsid w:val="001475A1"/>
    <w:rsid w:val="0014792D"/>
    <w:rsid w:val="00147966"/>
    <w:rsid w:val="00147B63"/>
    <w:rsid w:val="00147BCE"/>
    <w:rsid w:val="00150188"/>
    <w:rsid w:val="00150CEF"/>
    <w:rsid w:val="001510A2"/>
    <w:rsid w:val="00151454"/>
    <w:rsid w:val="001514C5"/>
    <w:rsid w:val="00151A72"/>
    <w:rsid w:val="00152BB3"/>
    <w:rsid w:val="0015306A"/>
    <w:rsid w:val="00153B0A"/>
    <w:rsid w:val="00153F2E"/>
    <w:rsid w:val="0015451C"/>
    <w:rsid w:val="00154846"/>
    <w:rsid w:val="00154CF1"/>
    <w:rsid w:val="00154DCA"/>
    <w:rsid w:val="00155A51"/>
    <w:rsid w:val="00155DD3"/>
    <w:rsid w:val="001561F8"/>
    <w:rsid w:val="00156310"/>
    <w:rsid w:val="00156B14"/>
    <w:rsid w:val="00156CCD"/>
    <w:rsid w:val="00156D3B"/>
    <w:rsid w:val="00156E83"/>
    <w:rsid w:val="00156EBF"/>
    <w:rsid w:val="001573A7"/>
    <w:rsid w:val="00157681"/>
    <w:rsid w:val="00157C36"/>
    <w:rsid w:val="00160E56"/>
    <w:rsid w:val="001616D7"/>
    <w:rsid w:val="00161828"/>
    <w:rsid w:val="00162101"/>
    <w:rsid w:val="0016217E"/>
    <w:rsid w:val="001621AE"/>
    <w:rsid w:val="001624F5"/>
    <w:rsid w:val="001628F6"/>
    <w:rsid w:val="00162F17"/>
    <w:rsid w:val="00163BD9"/>
    <w:rsid w:val="00163E8F"/>
    <w:rsid w:val="00163FA1"/>
    <w:rsid w:val="00164398"/>
    <w:rsid w:val="00164667"/>
    <w:rsid w:val="00164896"/>
    <w:rsid w:val="00164C10"/>
    <w:rsid w:val="001655CE"/>
    <w:rsid w:val="00166061"/>
    <w:rsid w:val="001666E0"/>
    <w:rsid w:val="00166785"/>
    <w:rsid w:val="00167FDE"/>
    <w:rsid w:val="0017071C"/>
    <w:rsid w:val="001708EE"/>
    <w:rsid w:val="00170B05"/>
    <w:rsid w:val="00170D88"/>
    <w:rsid w:val="00170DE6"/>
    <w:rsid w:val="00170F51"/>
    <w:rsid w:val="00171447"/>
    <w:rsid w:val="00171DF4"/>
    <w:rsid w:val="001727C0"/>
    <w:rsid w:val="00173176"/>
    <w:rsid w:val="0017436F"/>
    <w:rsid w:val="00174891"/>
    <w:rsid w:val="00174E10"/>
    <w:rsid w:val="001755AD"/>
    <w:rsid w:val="0017566C"/>
    <w:rsid w:val="001763E6"/>
    <w:rsid w:val="001764FC"/>
    <w:rsid w:val="00176955"/>
    <w:rsid w:val="00176AF3"/>
    <w:rsid w:val="001778F1"/>
    <w:rsid w:val="001779CF"/>
    <w:rsid w:val="00177B95"/>
    <w:rsid w:val="00177FF7"/>
    <w:rsid w:val="001810C2"/>
    <w:rsid w:val="00181734"/>
    <w:rsid w:val="00181C57"/>
    <w:rsid w:val="001827AA"/>
    <w:rsid w:val="001828DD"/>
    <w:rsid w:val="00182DC5"/>
    <w:rsid w:val="00182E18"/>
    <w:rsid w:val="00182EEB"/>
    <w:rsid w:val="00183A29"/>
    <w:rsid w:val="00183B0D"/>
    <w:rsid w:val="001840FB"/>
    <w:rsid w:val="00184F5E"/>
    <w:rsid w:val="00185F2A"/>
    <w:rsid w:val="001861D2"/>
    <w:rsid w:val="00187CA6"/>
    <w:rsid w:val="001901BE"/>
    <w:rsid w:val="00190B04"/>
    <w:rsid w:val="00190D1B"/>
    <w:rsid w:val="00190DA8"/>
    <w:rsid w:val="00190FFE"/>
    <w:rsid w:val="00191620"/>
    <w:rsid w:val="00191C3E"/>
    <w:rsid w:val="00191F4E"/>
    <w:rsid w:val="001926BC"/>
    <w:rsid w:val="001928AC"/>
    <w:rsid w:val="001928EC"/>
    <w:rsid w:val="00192D0E"/>
    <w:rsid w:val="00192EE0"/>
    <w:rsid w:val="00193999"/>
    <w:rsid w:val="00194E5F"/>
    <w:rsid w:val="0019531D"/>
    <w:rsid w:val="001955EC"/>
    <w:rsid w:val="00195C15"/>
    <w:rsid w:val="0019659D"/>
    <w:rsid w:val="001A09FF"/>
    <w:rsid w:val="001A0DDB"/>
    <w:rsid w:val="001A1810"/>
    <w:rsid w:val="001A2009"/>
    <w:rsid w:val="001A338E"/>
    <w:rsid w:val="001A358A"/>
    <w:rsid w:val="001A37ED"/>
    <w:rsid w:val="001A3CD8"/>
    <w:rsid w:val="001A3E3E"/>
    <w:rsid w:val="001A415F"/>
    <w:rsid w:val="001A41FB"/>
    <w:rsid w:val="001A42F0"/>
    <w:rsid w:val="001A48DE"/>
    <w:rsid w:val="001A4B53"/>
    <w:rsid w:val="001A5237"/>
    <w:rsid w:val="001A6851"/>
    <w:rsid w:val="001A7FC9"/>
    <w:rsid w:val="001B04BA"/>
    <w:rsid w:val="001B08DF"/>
    <w:rsid w:val="001B0CE9"/>
    <w:rsid w:val="001B1BC0"/>
    <w:rsid w:val="001B28E2"/>
    <w:rsid w:val="001B2FE3"/>
    <w:rsid w:val="001B350F"/>
    <w:rsid w:val="001B356A"/>
    <w:rsid w:val="001B3E8C"/>
    <w:rsid w:val="001B3E9E"/>
    <w:rsid w:val="001B421E"/>
    <w:rsid w:val="001B4359"/>
    <w:rsid w:val="001B44FC"/>
    <w:rsid w:val="001B4704"/>
    <w:rsid w:val="001B5042"/>
    <w:rsid w:val="001B507E"/>
    <w:rsid w:val="001B57E3"/>
    <w:rsid w:val="001B6887"/>
    <w:rsid w:val="001B6A4B"/>
    <w:rsid w:val="001B72FD"/>
    <w:rsid w:val="001B7CDC"/>
    <w:rsid w:val="001C015E"/>
    <w:rsid w:val="001C0306"/>
    <w:rsid w:val="001C0617"/>
    <w:rsid w:val="001C1241"/>
    <w:rsid w:val="001C21F6"/>
    <w:rsid w:val="001C2940"/>
    <w:rsid w:val="001C2BE5"/>
    <w:rsid w:val="001C2FB3"/>
    <w:rsid w:val="001C2FF6"/>
    <w:rsid w:val="001C327B"/>
    <w:rsid w:val="001C3B16"/>
    <w:rsid w:val="001C4178"/>
    <w:rsid w:val="001C4B66"/>
    <w:rsid w:val="001C5370"/>
    <w:rsid w:val="001C68C5"/>
    <w:rsid w:val="001C6FA5"/>
    <w:rsid w:val="001C791C"/>
    <w:rsid w:val="001D1312"/>
    <w:rsid w:val="001D1720"/>
    <w:rsid w:val="001D18F9"/>
    <w:rsid w:val="001D2453"/>
    <w:rsid w:val="001D2EA0"/>
    <w:rsid w:val="001D37BB"/>
    <w:rsid w:val="001D3CF9"/>
    <w:rsid w:val="001D4756"/>
    <w:rsid w:val="001D484D"/>
    <w:rsid w:val="001D4AF3"/>
    <w:rsid w:val="001D4D45"/>
    <w:rsid w:val="001D4E4D"/>
    <w:rsid w:val="001D4EDF"/>
    <w:rsid w:val="001D533C"/>
    <w:rsid w:val="001D5A8A"/>
    <w:rsid w:val="001D74B2"/>
    <w:rsid w:val="001D7544"/>
    <w:rsid w:val="001E01EB"/>
    <w:rsid w:val="001E02D1"/>
    <w:rsid w:val="001E0369"/>
    <w:rsid w:val="001E0818"/>
    <w:rsid w:val="001E0F74"/>
    <w:rsid w:val="001E108C"/>
    <w:rsid w:val="001E1549"/>
    <w:rsid w:val="001E1860"/>
    <w:rsid w:val="001E18E0"/>
    <w:rsid w:val="001E1B10"/>
    <w:rsid w:val="001E1FEC"/>
    <w:rsid w:val="001E2342"/>
    <w:rsid w:val="001E2519"/>
    <w:rsid w:val="001E2AC6"/>
    <w:rsid w:val="001E2C57"/>
    <w:rsid w:val="001E3126"/>
    <w:rsid w:val="001E327D"/>
    <w:rsid w:val="001E3487"/>
    <w:rsid w:val="001E3D95"/>
    <w:rsid w:val="001E3E3A"/>
    <w:rsid w:val="001E45F3"/>
    <w:rsid w:val="001E4F64"/>
    <w:rsid w:val="001E5ED3"/>
    <w:rsid w:val="001E6EC5"/>
    <w:rsid w:val="001F001A"/>
    <w:rsid w:val="001F0445"/>
    <w:rsid w:val="001F0496"/>
    <w:rsid w:val="001F0B6F"/>
    <w:rsid w:val="001F1412"/>
    <w:rsid w:val="001F164E"/>
    <w:rsid w:val="001F19CD"/>
    <w:rsid w:val="001F1C38"/>
    <w:rsid w:val="001F1DBB"/>
    <w:rsid w:val="001F3053"/>
    <w:rsid w:val="001F349C"/>
    <w:rsid w:val="001F365A"/>
    <w:rsid w:val="001F385A"/>
    <w:rsid w:val="001F42ED"/>
    <w:rsid w:val="001F42EF"/>
    <w:rsid w:val="001F5753"/>
    <w:rsid w:val="001F5812"/>
    <w:rsid w:val="001F6248"/>
    <w:rsid w:val="001F636B"/>
    <w:rsid w:val="001F6735"/>
    <w:rsid w:val="001F7510"/>
    <w:rsid w:val="001F7B38"/>
    <w:rsid w:val="0020072C"/>
    <w:rsid w:val="002009E1"/>
    <w:rsid w:val="00200E3F"/>
    <w:rsid w:val="00201A67"/>
    <w:rsid w:val="00201AF2"/>
    <w:rsid w:val="00201D95"/>
    <w:rsid w:val="00201EC1"/>
    <w:rsid w:val="00201FAD"/>
    <w:rsid w:val="0020264C"/>
    <w:rsid w:val="00202B7C"/>
    <w:rsid w:val="00202C4B"/>
    <w:rsid w:val="00202CC2"/>
    <w:rsid w:val="00204700"/>
    <w:rsid w:val="00204A57"/>
    <w:rsid w:val="00204C8E"/>
    <w:rsid w:val="00205831"/>
    <w:rsid w:val="00205DDF"/>
    <w:rsid w:val="00205ED4"/>
    <w:rsid w:val="002061C0"/>
    <w:rsid w:val="00206E8C"/>
    <w:rsid w:val="00207D39"/>
    <w:rsid w:val="00207D69"/>
    <w:rsid w:val="00207D88"/>
    <w:rsid w:val="00207FB7"/>
    <w:rsid w:val="002105DD"/>
    <w:rsid w:val="00210829"/>
    <w:rsid w:val="00210DAF"/>
    <w:rsid w:val="002112C3"/>
    <w:rsid w:val="002118B4"/>
    <w:rsid w:val="0021468C"/>
    <w:rsid w:val="002148FD"/>
    <w:rsid w:val="00214C4B"/>
    <w:rsid w:val="0021500B"/>
    <w:rsid w:val="00215327"/>
    <w:rsid w:val="0021538B"/>
    <w:rsid w:val="00215B5D"/>
    <w:rsid w:val="00215FCB"/>
    <w:rsid w:val="00216151"/>
    <w:rsid w:val="0021706F"/>
    <w:rsid w:val="00217684"/>
    <w:rsid w:val="0021775D"/>
    <w:rsid w:val="00217834"/>
    <w:rsid w:val="00217877"/>
    <w:rsid w:val="00217E7E"/>
    <w:rsid w:val="00220AD4"/>
    <w:rsid w:val="00220DB5"/>
    <w:rsid w:val="002210BE"/>
    <w:rsid w:val="00221639"/>
    <w:rsid w:val="00221AEA"/>
    <w:rsid w:val="00221B33"/>
    <w:rsid w:val="00221BCE"/>
    <w:rsid w:val="00221F0A"/>
    <w:rsid w:val="00222094"/>
    <w:rsid w:val="002220B4"/>
    <w:rsid w:val="002230B2"/>
    <w:rsid w:val="002235C0"/>
    <w:rsid w:val="002244E0"/>
    <w:rsid w:val="002248F4"/>
    <w:rsid w:val="002248F9"/>
    <w:rsid w:val="00224A9B"/>
    <w:rsid w:val="00224D4A"/>
    <w:rsid w:val="002256C0"/>
    <w:rsid w:val="002264C8"/>
    <w:rsid w:val="00226569"/>
    <w:rsid w:val="002265CB"/>
    <w:rsid w:val="00226934"/>
    <w:rsid w:val="0022734E"/>
    <w:rsid w:val="00227C19"/>
    <w:rsid w:val="002304D2"/>
    <w:rsid w:val="00231C0B"/>
    <w:rsid w:val="002327AB"/>
    <w:rsid w:val="00232CB1"/>
    <w:rsid w:val="00232DE3"/>
    <w:rsid w:val="00232F0B"/>
    <w:rsid w:val="00233400"/>
    <w:rsid w:val="00233566"/>
    <w:rsid w:val="0023386C"/>
    <w:rsid w:val="00234067"/>
    <w:rsid w:val="0023412D"/>
    <w:rsid w:val="002343A1"/>
    <w:rsid w:val="0023445D"/>
    <w:rsid w:val="0023452F"/>
    <w:rsid w:val="00234D9F"/>
    <w:rsid w:val="002357E7"/>
    <w:rsid w:val="00235DA6"/>
    <w:rsid w:val="0023668A"/>
    <w:rsid w:val="00236C97"/>
    <w:rsid w:val="00236DD2"/>
    <w:rsid w:val="002378CB"/>
    <w:rsid w:val="0023796E"/>
    <w:rsid w:val="00237BB4"/>
    <w:rsid w:val="00240017"/>
    <w:rsid w:val="00240091"/>
    <w:rsid w:val="002405C0"/>
    <w:rsid w:val="002409CA"/>
    <w:rsid w:val="00240C28"/>
    <w:rsid w:val="00240CD9"/>
    <w:rsid w:val="0024127E"/>
    <w:rsid w:val="00241997"/>
    <w:rsid w:val="00241FEE"/>
    <w:rsid w:val="002425F3"/>
    <w:rsid w:val="0024282B"/>
    <w:rsid w:val="0024366C"/>
    <w:rsid w:val="002437E0"/>
    <w:rsid w:val="0024393A"/>
    <w:rsid w:val="00243B43"/>
    <w:rsid w:val="00243B76"/>
    <w:rsid w:val="00243DB2"/>
    <w:rsid w:val="00244E12"/>
    <w:rsid w:val="002453FE"/>
    <w:rsid w:val="002454EE"/>
    <w:rsid w:val="002456E6"/>
    <w:rsid w:val="0024574B"/>
    <w:rsid w:val="002476AF"/>
    <w:rsid w:val="002477AA"/>
    <w:rsid w:val="002477C0"/>
    <w:rsid w:val="00247C0D"/>
    <w:rsid w:val="002506BD"/>
    <w:rsid w:val="00250CBC"/>
    <w:rsid w:val="0025184C"/>
    <w:rsid w:val="00252A49"/>
    <w:rsid w:val="00252EDA"/>
    <w:rsid w:val="00253349"/>
    <w:rsid w:val="00253BC1"/>
    <w:rsid w:val="002546AD"/>
    <w:rsid w:val="00254B34"/>
    <w:rsid w:val="002550FA"/>
    <w:rsid w:val="00255B73"/>
    <w:rsid w:val="00255DF8"/>
    <w:rsid w:val="00255F11"/>
    <w:rsid w:val="002572D8"/>
    <w:rsid w:val="0026088A"/>
    <w:rsid w:val="00261F0B"/>
    <w:rsid w:val="00262404"/>
    <w:rsid w:val="002628CC"/>
    <w:rsid w:val="0026293A"/>
    <w:rsid w:val="002635CA"/>
    <w:rsid w:val="0026397A"/>
    <w:rsid w:val="00263A32"/>
    <w:rsid w:val="00263DA6"/>
    <w:rsid w:val="00264B45"/>
    <w:rsid w:val="00264D86"/>
    <w:rsid w:val="002658CE"/>
    <w:rsid w:val="00265B99"/>
    <w:rsid w:val="00265DC9"/>
    <w:rsid w:val="00266021"/>
    <w:rsid w:val="0026684C"/>
    <w:rsid w:val="00267918"/>
    <w:rsid w:val="00267A73"/>
    <w:rsid w:val="00270614"/>
    <w:rsid w:val="00270D28"/>
    <w:rsid w:val="00271D49"/>
    <w:rsid w:val="00271FFE"/>
    <w:rsid w:val="0027204B"/>
    <w:rsid w:val="00272318"/>
    <w:rsid w:val="002724E5"/>
    <w:rsid w:val="00273347"/>
    <w:rsid w:val="002739DA"/>
    <w:rsid w:val="00274032"/>
    <w:rsid w:val="00274152"/>
    <w:rsid w:val="0027459B"/>
    <w:rsid w:val="00274843"/>
    <w:rsid w:val="0027794B"/>
    <w:rsid w:val="00277AC1"/>
    <w:rsid w:val="00277FAB"/>
    <w:rsid w:val="00280B1B"/>
    <w:rsid w:val="00280D75"/>
    <w:rsid w:val="00280F47"/>
    <w:rsid w:val="00281068"/>
    <w:rsid w:val="00281347"/>
    <w:rsid w:val="00281542"/>
    <w:rsid w:val="00281543"/>
    <w:rsid w:val="00281CDF"/>
    <w:rsid w:val="002823A1"/>
    <w:rsid w:val="00282CAB"/>
    <w:rsid w:val="00284748"/>
    <w:rsid w:val="00284DB4"/>
    <w:rsid w:val="00285152"/>
    <w:rsid w:val="002851FB"/>
    <w:rsid w:val="00285230"/>
    <w:rsid w:val="00285B5C"/>
    <w:rsid w:val="00285B68"/>
    <w:rsid w:val="00285CAD"/>
    <w:rsid w:val="0028609E"/>
    <w:rsid w:val="002860EC"/>
    <w:rsid w:val="0028664E"/>
    <w:rsid w:val="002872FE"/>
    <w:rsid w:val="00287754"/>
    <w:rsid w:val="00287BDA"/>
    <w:rsid w:val="002903A4"/>
    <w:rsid w:val="00290456"/>
    <w:rsid w:val="002904B2"/>
    <w:rsid w:val="00290A7D"/>
    <w:rsid w:val="00290F85"/>
    <w:rsid w:val="00291A7B"/>
    <w:rsid w:val="00291A91"/>
    <w:rsid w:val="00291D1F"/>
    <w:rsid w:val="00292DE2"/>
    <w:rsid w:val="00293774"/>
    <w:rsid w:val="00293972"/>
    <w:rsid w:val="0029409C"/>
    <w:rsid w:val="002954EF"/>
    <w:rsid w:val="002969E4"/>
    <w:rsid w:val="00296D46"/>
    <w:rsid w:val="002976CD"/>
    <w:rsid w:val="00297961"/>
    <w:rsid w:val="002A00D2"/>
    <w:rsid w:val="002A04D8"/>
    <w:rsid w:val="002A09B5"/>
    <w:rsid w:val="002A13DE"/>
    <w:rsid w:val="002A169B"/>
    <w:rsid w:val="002A18A7"/>
    <w:rsid w:val="002A216C"/>
    <w:rsid w:val="002A26D6"/>
    <w:rsid w:val="002A2953"/>
    <w:rsid w:val="002A29D6"/>
    <w:rsid w:val="002A3570"/>
    <w:rsid w:val="002A36AA"/>
    <w:rsid w:val="002A3981"/>
    <w:rsid w:val="002A4025"/>
    <w:rsid w:val="002A43EA"/>
    <w:rsid w:val="002A497A"/>
    <w:rsid w:val="002A4B77"/>
    <w:rsid w:val="002A4BC7"/>
    <w:rsid w:val="002A55A2"/>
    <w:rsid w:val="002A5AE7"/>
    <w:rsid w:val="002A5B31"/>
    <w:rsid w:val="002A5BB7"/>
    <w:rsid w:val="002A6872"/>
    <w:rsid w:val="002A696A"/>
    <w:rsid w:val="002A6CB4"/>
    <w:rsid w:val="002A7936"/>
    <w:rsid w:val="002A7C4A"/>
    <w:rsid w:val="002A7E33"/>
    <w:rsid w:val="002A7E8C"/>
    <w:rsid w:val="002B06FD"/>
    <w:rsid w:val="002B07C1"/>
    <w:rsid w:val="002B2999"/>
    <w:rsid w:val="002B2A06"/>
    <w:rsid w:val="002B3752"/>
    <w:rsid w:val="002B3EF2"/>
    <w:rsid w:val="002B427A"/>
    <w:rsid w:val="002B4430"/>
    <w:rsid w:val="002B46CF"/>
    <w:rsid w:val="002B4852"/>
    <w:rsid w:val="002B4B57"/>
    <w:rsid w:val="002B4BA3"/>
    <w:rsid w:val="002B4EF6"/>
    <w:rsid w:val="002B523E"/>
    <w:rsid w:val="002B55AB"/>
    <w:rsid w:val="002B5642"/>
    <w:rsid w:val="002B5A54"/>
    <w:rsid w:val="002B64D4"/>
    <w:rsid w:val="002B71DD"/>
    <w:rsid w:val="002B7588"/>
    <w:rsid w:val="002B7AA6"/>
    <w:rsid w:val="002C02BF"/>
    <w:rsid w:val="002C02FC"/>
    <w:rsid w:val="002C1386"/>
    <w:rsid w:val="002C183A"/>
    <w:rsid w:val="002C1E81"/>
    <w:rsid w:val="002C2E5C"/>
    <w:rsid w:val="002C363C"/>
    <w:rsid w:val="002C40E0"/>
    <w:rsid w:val="002C4B56"/>
    <w:rsid w:val="002C5C2C"/>
    <w:rsid w:val="002C6B4F"/>
    <w:rsid w:val="002C6D84"/>
    <w:rsid w:val="002C6EDD"/>
    <w:rsid w:val="002C74DF"/>
    <w:rsid w:val="002C7576"/>
    <w:rsid w:val="002C7A57"/>
    <w:rsid w:val="002C7FAE"/>
    <w:rsid w:val="002D0633"/>
    <w:rsid w:val="002D1A22"/>
    <w:rsid w:val="002D2146"/>
    <w:rsid w:val="002D22FF"/>
    <w:rsid w:val="002D2A49"/>
    <w:rsid w:val="002D2CB5"/>
    <w:rsid w:val="002D3142"/>
    <w:rsid w:val="002D3718"/>
    <w:rsid w:val="002D3CA5"/>
    <w:rsid w:val="002D3E9C"/>
    <w:rsid w:val="002D4048"/>
    <w:rsid w:val="002D510F"/>
    <w:rsid w:val="002D6CBD"/>
    <w:rsid w:val="002D70D7"/>
    <w:rsid w:val="002D772B"/>
    <w:rsid w:val="002D7DF3"/>
    <w:rsid w:val="002E0183"/>
    <w:rsid w:val="002E072B"/>
    <w:rsid w:val="002E0752"/>
    <w:rsid w:val="002E0A7E"/>
    <w:rsid w:val="002E0F20"/>
    <w:rsid w:val="002E14B1"/>
    <w:rsid w:val="002E1936"/>
    <w:rsid w:val="002E26FE"/>
    <w:rsid w:val="002E29B2"/>
    <w:rsid w:val="002E4300"/>
    <w:rsid w:val="002E45BB"/>
    <w:rsid w:val="002E50BD"/>
    <w:rsid w:val="002E73F8"/>
    <w:rsid w:val="002E7789"/>
    <w:rsid w:val="002E77DB"/>
    <w:rsid w:val="002E7D48"/>
    <w:rsid w:val="002E7FDE"/>
    <w:rsid w:val="002F0291"/>
    <w:rsid w:val="002F07B4"/>
    <w:rsid w:val="002F0A89"/>
    <w:rsid w:val="002F0E43"/>
    <w:rsid w:val="002F14AD"/>
    <w:rsid w:val="002F16D5"/>
    <w:rsid w:val="002F1F04"/>
    <w:rsid w:val="002F2067"/>
    <w:rsid w:val="002F2381"/>
    <w:rsid w:val="002F27F3"/>
    <w:rsid w:val="002F43CC"/>
    <w:rsid w:val="002F4ADD"/>
    <w:rsid w:val="002F5615"/>
    <w:rsid w:val="002F577E"/>
    <w:rsid w:val="002F5F7A"/>
    <w:rsid w:val="002F5F81"/>
    <w:rsid w:val="002F630E"/>
    <w:rsid w:val="002F6457"/>
    <w:rsid w:val="002F6977"/>
    <w:rsid w:val="002F69D9"/>
    <w:rsid w:val="002F69E3"/>
    <w:rsid w:val="002F7057"/>
    <w:rsid w:val="002F720C"/>
    <w:rsid w:val="002F7885"/>
    <w:rsid w:val="002F7E43"/>
    <w:rsid w:val="00300B91"/>
    <w:rsid w:val="00301043"/>
    <w:rsid w:val="003015B9"/>
    <w:rsid w:val="00301C5C"/>
    <w:rsid w:val="00301DE6"/>
    <w:rsid w:val="00302219"/>
    <w:rsid w:val="00302906"/>
    <w:rsid w:val="003031DF"/>
    <w:rsid w:val="003037B2"/>
    <w:rsid w:val="00304FB4"/>
    <w:rsid w:val="00305694"/>
    <w:rsid w:val="00305C78"/>
    <w:rsid w:val="00305F55"/>
    <w:rsid w:val="003061F0"/>
    <w:rsid w:val="003062DC"/>
    <w:rsid w:val="0030650E"/>
    <w:rsid w:val="003066E5"/>
    <w:rsid w:val="00306C6D"/>
    <w:rsid w:val="003070C0"/>
    <w:rsid w:val="00307D7A"/>
    <w:rsid w:val="00311674"/>
    <w:rsid w:val="003124FA"/>
    <w:rsid w:val="00312A7F"/>
    <w:rsid w:val="003147E3"/>
    <w:rsid w:val="00314A53"/>
    <w:rsid w:val="00316E46"/>
    <w:rsid w:val="00317294"/>
    <w:rsid w:val="00317591"/>
    <w:rsid w:val="00317CA4"/>
    <w:rsid w:val="003209E3"/>
    <w:rsid w:val="00320B67"/>
    <w:rsid w:val="00320E4E"/>
    <w:rsid w:val="00321E30"/>
    <w:rsid w:val="00321E5D"/>
    <w:rsid w:val="00322C58"/>
    <w:rsid w:val="00323155"/>
    <w:rsid w:val="0032348D"/>
    <w:rsid w:val="0032472D"/>
    <w:rsid w:val="00325BE4"/>
    <w:rsid w:val="003261D9"/>
    <w:rsid w:val="003262D1"/>
    <w:rsid w:val="00326BE7"/>
    <w:rsid w:val="0032732C"/>
    <w:rsid w:val="0032740E"/>
    <w:rsid w:val="00327904"/>
    <w:rsid w:val="003300C1"/>
    <w:rsid w:val="0033032C"/>
    <w:rsid w:val="003307BA"/>
    <w:rsid w:val="00330919"/>
    <w:rsid w:val="0033157A"/>
    <w:rsid w:val="00331FDB"/>
    <w:rsid w:val="003323B6"/>
    <w:rsid w:val="00333122"/>
    <w:rsid w:val="003331B6"/>
    <w:rsid w:val="003336BD"/>
    <w:rsid w:val="003338CF"/>
    <w:rsid w:val="00333DFF"/>
    <w:rsid w:val="003343C6"/>
    <w:rsid w:val="00334B6B"/>
    <w:rsid w:val="00335019"/>
    <w:rsid w:val="003354D1"/>
    <w:rsid w:val="00335A0A"/>
    <w:rsid w:val="00336483"/>
    <w:rsid w:val="00336669"/>
    <w:rsid w:val="0034013F"/>
    <w:rsid w:val="0034038C"/>
    <w:rsid w:val="00340A33"/>
    <w:rsid w:val="00340AAA"/>
    <w:rsid w:val="003420FC"/>
    <w:rsid w:val="003427FE"/>
    <w:rsid w:val="00342BED"/>
    <w:rsid w:val="00342DD5"/>
    <w:rsid w:val="00342FB7"/>
    <w:rsid w:val="003433A9"/>
    <w:rsid w:val="00343654"/>
    <w:rsid w:val="0034443D"/>
    <w:rsid w:val="0034446F"/>
    <w:rsid w:val="00344773"/>
    <w:rsid w:val="00344D1C"/>
    <w:rsid w:val="00344DF0"/>
    <w:rsid w:val="00345245"/>
    <w:rsid w:val="00345254"/>
    <w:rsid w:val="003452E4"/>
    <w:rsid w:val="00345589"/>
    <w:rsid w:val="003457B4"/>
    <w:rsid w:val="00345B99"/>
    <w:rsid w:val="0034604E"/>
    <w:rsid w:val="0034609B"/>
    <w:rsid w:val="00346306"/>
    <w:rsid w:val="003464DC"/>
    <w:rsid w:val="00346548"/>
    <w:rsid w:val="00346661"/>
    <w:rsid w:val="003466FF"/>
    <w:rsid w:val="0034690B"/>
    <w:rsid w:val="00346B49"/>
    <w:rsid w:val="00346F77"/>
    <w:rsid w:val="00347111"/>
    <w:rsid w:val="003471DB"/>
    <w:rsid w:val="003473BD"/>
    <w:rsid w:val="003476A1"/>
    <w:rsid w:val="00347AB5"/>
    <w:rsid w:val="00350721"/>
    <w:rsid w:val="00350C8F"/>
    <w:rsid w:val="00350DD5"/>
    <w:rsid w:val="003510A0"/>
    <w:rsid w:val="00351196"/>
    <w:rsid w:val="00351576"/>
    <w:rsid w:val="00351F5F"/>
    <w:rsid w:val="00352A11"/>
    <w:rsid w:val="00352D08"/>
    <w:rsid w:val="003532BB"/>
    <w:rsid w:val="003533FE"/>
    <w:rsid w:val="0035401B"/>
    <w:rsid w:val="0035477A"/>
    <w:rsid w:val="00354842"/>
    <w:rsid w:val="00354C1F"/>
    <w:rsid w:val="00357042"/>
    <w:rsid w:val="003579BD"/>
    <w:rsid w:val="003603D3"/>
    <w:rsid w:val="00360B02"/>
    <w:rsid w:val="00361043"/>
    <w:rsid w:val="00362076"/>
    <w:rsid w:val="0036243C"/>
    <w:rsid w:val="00362528"/>
    <w:rsid w:val="003627EC"/>
    <w:rsid w:val="00363537"/>
    <w:rsid w:val="003635B5"/>
    <w:rsid w:val="00363A83"/>
    <w:rsid w:val="00363DA4"/>
    <w:rsid w:val="0036435A"/>
    <w:rsid w:val="00364827"/>
    <w:rsid w:val="00364FCE"/>
    <w:rsid w:val="00365134"/>
    <w:rsid w:val="00365427"/>
    <w:rsid w:val="00365BC8"/>
    <w:rsid w:val="00365F56"/>
    <w:rsid w:val="0036639F"/>
    <w:rsid w:val="003663FA"/>
    <w:rsid w:val="00366585"/>
    <w:rsid w:val="003665BF"/>
    <w:rsid w:val="003674CD"/>
    <w:rsid w:val="00370037"/>
    <w:rsid w:val="0037015D"/>
    <w:rsid w:val="003701E2"/>
    <w:rsid w:val="00370FB0"/>
    <w:rsid w:val="00371674"/>
    <w:rsid w:val="00371F94"/>
    <w:rsid w:val="00372511"/>
    <w:rsid w:val="0037261F"/>
    <w:rsid w:val="00372772"/>
    <w:rsid w:val="0037293C"/>
    <w:rsid w:val="00372982"/>
    <w:rsid w:val="00372CE8"/>
    <w:rsid w:val="003736CD"/>
    <w:rsid w:val="00373807"/>
    <w:rsid w:val="00373BC3"/>
    <w:rsid w:val="0037496A"/>
    <w:rsid w:val="00374D18"/>
    <w:rsid w:val="00374EC9"/>
    <w:rsid w:val="0037533D"/>
    <w:rsid w:val="00375647"/>
    <w:rsid w:val="003768B4"/>
    <w:rsid w:val="00376E22"/>
    <w:rsid w:val="00377089"/>
    <w:rsid w:val="0037734B"/>
    <w:rsid w:val="003775F2"/>
    <w:rsid w:val="00377FC3"/>
    <w:rsid w:val="0038008C"/>
    <w:rsid w:val="00380791"/>
    <w:rsid w:val="00380E3D"/>
    <w:rsid w:val="00380F8C"/>
    <w:rsid w:val="0038133A"/>
    <w:rsid w:val="003826F7"/>
    <w:rsid w:val="00382B00"/>
    <w:rsid w:val="00382D6B"/>
    <w:rsid w:val="003830E8"/>
    <w:rsid w:val="00383EAB"/>
    <w:rsid w:val="0038401E"/>
    <w:rsid w:val="003847C6"/>
    <w:rsid w:val="0038483B"/>
    <w:rsid w:val="00384B5F"/>
    <w:rsid w:val="00384FAD"/>
    <w:rsid w:val="0038546B"/>
    <w:rsid w:val="00385B46"/>
    <w:rsid w:val="00385E3A"/>
    <w:rsid w:val="003860EA"/>
    <w:rsid w:val="0038660C"/>
    <w:rsid w:val="00386757"/>
    <w:rsid w:val="003868A2"/>
    <w:rsid w:val="00386AB6"/>
    <w:rsid w:val="003872C8"/>
    <w:rsid w:val="00387B78"/>
    <w:rsid w:val="00387CA7"/>
    <w:rsid w:val="00390310"/>
    <w:rsid w:val="00390A77"/>
    <w:rsid w:val="00390AB1"/>
    <w:rsid w:val="00390B28"/>
    <w:rsid w:val="00391D61"/>
    <w:rsid w:val="003926E5"/>
    <w:rsid w:val="0039292C"/>
    <w:rsid w:val="00392D86"/>
    <w:rsid w:val="003931B2"/>
    <w:rsid w:val="00393291"/>
    <w:rsid w:val="00394535"/>
    <w:rsid w:val="00395B57"/>
    <w:rsid w:val="00395E02"/>
    <w:rsid w:val="00395FD7"/>
    <w:rsid w:val="0039620F"/>
    <w:rsid w:val="00396822"/>
    <w:rsid w:val="00397390"/>
    <w:rsid w:val="00397D9D"/>
    <w:rsid w:val="00397E4D"/>
    <w:rsid w:val="003A01CF"/>
    <w:rsid w:val="003A03F5"/>
    <w:rsid w:val="003A06B6"/>
    <w:rsid w:val="003A0E8B"/>
    <w:rsid w:val="003A0F74"/>
    <w:rsid w:val="003A1330"/>
    <w:rsid w:val="003A14E6"/>
    <w:rsid w:val="003A220F"/>
    <w:rsid w:val="003A2C90"/>
    <w:rsid w:val="003A2CB7"/>
    <w:rsid w:val="003A2F7A"/>
    <w:rsid w:val="003A2FD8"/>
    <w:rsid w:val="003A300B"/>
    <w:rsid w:val="003A319E"/>
    <w:rsid w:val="003A31A9"/>
    <w:rsid w:val="003A4764"/>
    <w:rsid w:val="003A4AB0"/>
    <w:rsid w:val="003A4E3F"/>
    <w:rsid w:val="003A54B1"/>
    <w:rsid w:val="003A5653"/>
    <w:rsid w:val="003A5AD0"/>
    <w:rsid w:val="003A5EAE"/>
    <w:rsid w:val="003A5F9F"/>
    <w:rsid w:val="003A6096"/>
    <w:rsid w:val="003A60A2"/>
    <w:rsid w:val="003A7055"/>
    <w:rsid w:val="003A759F"/>
    <w:rsid w:val="003B0771"/>
    <w:rsid w:val="003B0E20"/>
    <w:rsid w:val="003B13B2"/>
    <w:rsid w:val="003B14DE"/>
    <w:rsid w:val="003B1D74"/>
    <w:rsid w:val="003B2E8F"/>
    <w:rsid w:val="003B5795"/>
    <w:rsid w:val="003B59F1"/>
    <w:rsid w:val="003B5C15"/>
    <w:rsid w:val="003B6517"/>
    <w:rsid w:val="003B69B1"/>
    <w:rsid w:val="003B6E03"/>
    <w:rsid w:val="003B7E79"/>
    <w:rsid w:val="003C030B"/>
    <w:rsid w:val="003C0AC5"/>
    <w:rsid w:val="003C12E0"/>
    <w:rsid w:val="003C1935"/>
    <w:rsid w:val="003C1E12"/>
    <w:rsid w:val="003C1E14"/>
    <w:rsid w:val="003C28E7"/>
    <w:rsid w:val="003C2D1D"/>
    <w:rsid w:val="003C30C1"/>
    <w:rsid w:val="003C35BA"/>
    <w:rsid w:val="003C40FB"/>
    <w:rsid w:val="003C4990"/>
    <w:rsid w:val="003C4E91"/>
    <w:rsid w:val="003C540E"/>
    <w:rsid w:val="003C5F5C"/>
    <w:rsid w:val="003C611A"/>
    <w:rsid w:val="003C6869"/>
    <w:rsid w:val="003C691B"/>
    <w:rsid w:val="003C6B23"/>
    <w:rsid w:val="003C6B87"/>
    <w:rsid w:val="003C7066"/>
    <w:rsid w:val="003C7B2E"/>
    <w:rsid w:val="003D01D6"/>
    <w:rsid w:val="003D0AD6"/>
    <w:rsid w:val="003D0BAC"/>
    <w:rsid w:val="003D0E1C"/>
    <w:rsid w:val="003D12C9"/>
    <w:rsid w:val="003D1C7E"/>
    <w:rsid w:val="003D1E7D"/>
    <w:rsid w:val="003D285E"/>
    <w:rsid w:val="003D289A"/>
    <w:rsid w:val="003D2983"/>
    <w:rsid w:val="003D2F25"/>
    <w:rsid w:val="003D2F8F"/>
    <w:rsid w:val="003D3174"/>
    <w:rsid w:val="003D328A"/>
    <w:rsid w:val="003D393A"/>
    <w:rsid w:val="003D3C70"/>
    <w:rsid w:val="003D4BC7"/>
    <w:rsid w:val="003D4CE5"/>
    <w:rsid w:val="003D51B9"/>
    <w:rsid w:val="003D558F"/>
    <w:rsid w:val="003D58C6"/>
    <w:rsid w:val="003D599D"/>
    <w:rsid w:val="003D62AC"/>
    <w:rsid w:val="003D672A"/>
    <w:rsid w:val="003D6AEB"/>
    <w:rsid w:val="003D6F41"/>
    <w:rsid w:val="003D6FE9"/>
    <w:rsid w:val="003D747E"/>
    <w:rsid w:val="003D75FC"/>
    <w:rsid w:val="003D79D1"/>
    <w:rsid w:val="003E0381"/>
    <w:rsid w:val="003E05C4"/>
    <w:rsid w:val="003E09B9"/>
    <w:rsid w:val="003E11D5"/>
    <w:rsid w:val="003E142E"/>
    <w:rsid w:val="003E1620"/>
    <w:rsid w:val="003E1B05"/>
    <w:rsid w:val="003E22F5"/>
    <w:rsid w:val="003E26F1"/>
    <w:rsid w:val="003E2725"/>
    <w:rsid w:val="003E29AE"/>
    <w:rsid w:val="003E2CE5"/>
    <w:rsid w:val="003E2F1B"/>
    <w:rsid w:val="003E33EC"/>
    <w:rsid w:val="003E346F"/>
    <w:rsid w:val="003E55B9"/>
    <w:rsid w:val="003E5DE8"/>
    <w:rsid w:val="003E6345"/>
    <w:rsid w:val="003E68DD"/>
    <w:rsid w:val="003E6D70"/>
    <w:rsid w:val="003E7119"/>
    <w:rsid w:val="003E73FA"/>
    <w:rsid w:val="003E796B"/>
    <w:rsid w:val="003E7D26"/>
    <w:rsid w:val="003F0313"/>
    <w:rsid w:val="003F0509"/>
    <w:rsid w:val="003F0D6E"/>
    <w:rsid w:val="003F1D18"/>
    <w:rsid w:val="003F22CD"/>
    <w:rsid w:val="003F2448"/>
    <w:rsid w:val="003F24DE"/>
    <w:rsid w:val="003F2CBD"/>
    <w:rsid w:val="003F2FF2"/>
    <w:rsid w:val="003F308B"/>
    <w:rsid w:val="003F4182"/>
    <w:rsid w:val="003F41B4"/>
    <w:rsid w:val="003F41BA"/>
    <w:rsid w:val="003F46BB"/>
    <w:rsid w:val="003F5752"/>
    <w:rsid w:val="003F5947"/>
    <w:rsid w:val="003F5C00"/>
    <w:rsid w:val="003F5DAA"/>
    <w:rsid w:val="003F6096"/>
    <w:rsid w:val="003F6B5F"/>
    <w:rsid w:val="003F7368"/>
    <w:rsid w:val="003F76E1"/>
    <w:rsid w:val="003F7B34"/>
    <w:rsid w:val="003F7FDC"/>
    <w:rsid w:val="00401330"/>
    <w:rsid w:val="00401AF9"/>
    <w:rsid w:val="00402B68"/>
    <w:rsid w:val="00403228"/>
    <w:rsid w:val="0040384D"/>
    <w:rsid w:val="00403D1E"/>
    <w:rsid w:val="00404695"/>
    <w:rsid w:val="00404C87"/>
    <w:rsid w:val="004060D8"/>
    <w:rsid w:val="00406521"/>
    <w:rsid w:val="004066D7"/>
    <w:rsid w:val="0040715C"/>
    <w:rsid w:val="0040782A"/>
    <w:rsid w:val="0040790E"/>
    <w:rsid w:val="00407B79"/>
    <w:rsid w:val="00407CDB"/>
    <w:rsid w:val="00407D3A"/>
    <w:rsid w:val="004104A6"/>
    <w:rsid w:val="00410736"/>
    <w:rsid w:val="00410BFC"/>
    <w:rsid w:val="00410C26"/>
    <w:rsid w:val="00411794"/>
    <w:rsid w:val="004119F4"/>
    <w:rsid w:val="00411B0F"/>
    <w:rsid w:val="00411EB6"/>
    <w:rsid w:val="0041213D"/>
    <w:rsid w:val="0041221D"/>
    <w:rsid w:val="00412555"/>
    <w:rsid w:val="004125A2"/>
    <w:rsid w:val="00412E6E"/>
    <w:rsid w:val="004133B9"/>
    <w:rsid w:val="0041352E"/>
    <w:rsid w:val="004135A6"/>
    <w:rsid w:val="004136BB"/>
    <w:rsid w:val="00413897"/>
    <w:rsid w:val="004148DE"/>
    <w:rsid w:val="004154F4"/>
    <w:rsid w:val="00415C84"/>
    <w:rsid w:val="0041660A"/>
    <w:rsid w:val="00416DA6"/>
    <w:rsid w:val="0041750E"/>
    <w:rsid w:val="00417967"/>
    <w:rsid w:val="004203E9"/>
    <w:rsid w:val="00420756"/>
    <w:rsid w:val="0042198C"/>
    <w:rsid w:val="00421D3A"/>
    <w:rsid w:val="00422D26"/>
    <w:rsid w:val="00423318"/>
    <w:rsid w:val="0042350D"/>
    <w:rsid w:val="00423D1E"/>
    <w:rsid w:val="00424581"/>
    <w:rsid w:val="0042486E"/>
    <w:rsid w:val="00424ADE"/>
    <w:rsid w:val="00424D0B"/>
    <w:rsid w:val="00426102"/>
    <w:rsid w:val="0042620D"/>
    <w:rsid w:val="004263A4"/>
    <w:rsid w:val="00426A94"/>
    <w:rsid w:val="00427BD6"/>
    <w:rsid w:val="00427CF3"/>
    <w:rsid w:val="0043142D"/>
    <w:rsid w:val="004319F5"/>
    <w:rsid w:val="0043222F"/>
    <w:rsid w:val="00433023"/>
    <w:rsid w:val="004330A1"/>
    <w:rsid w:val="0043356E"/>
    <w:rsid w:val="004336B1"/>
    <w:rsid w:val="00433C46"/>
    <w:rsid w:val="004340AA"/>
    <w:rsid w:val="0043466F"/>
    <w:rsid w:val="00434ADE"/>
    <w:rsid w:val="00434F60"/>
    <w:rsid w:val="00435006"/>
    <w:rsid w:val="004351E2"/>
    <w:rsid w:val="00437DBB"/>
    <w:rsid w:val="00440024"/>
    <w:rsid w:val="0044042E"/>
    <w:rsid w:val="00440435"/>
    <w:rsid w:val="00440EE8"/>
    <w:rsid w:val="0044108D"/>
    <w:rsid w:val="004410CB"/>
    <w:rsid w:val="00441124"/>
    <w:rsid w:val="00441547"/>
    <w:rsid w:val="00441F9A"/>
    <w:rsid w:val="0044211C"/>
    <w:rsid w:val="0044224C"/>
    <w:rsid w:val="004426A4"/>
    <w:rsid w:val="00442C86"/>
    <w:rsid w:val="004435C2"/>
    <w:rsid w:val="00443ADE"/>
    <w:rsid w:val="00443F9F"/>
    <w:rsid w:val="00444652"/>
    <w:rsid w:val="00444E1F"/>
    <w:rsid w:val="00444E7E"/>
    <w:rsid w:val="004455E9"/>
    <w:rsid w:val="0044725D"/>
    <w:rsid w:val="004472FA"/>
    <w:rsid w:val="00450242"/>
    <w:rsid w:val="004503A6"/>
    <w:rsid w:val="00450C0C"/>
    <w:rsid w:val="00451D9D"/>
    <w:rsid w:val="00452157"/>
    <w:rsid w:val="0045247B"/>
    <w:rsid w:val="0045267F"/>
    <w:rsid w:val="00452C15"/>
    <w:rsid w:val="00453666"/>
    <w:rsid w:val="004536D0"/>
    <w:rsid w:val="00453BCA"/>
    <w:rsid w:val="00454153"/>
    <w:rsid w:val="004544C0"/>
    <w:rsid w:val="004547ED"/>
    <w:rsid w:val="00454DFC"/>
    <w:rsid w:val="00455103"/>
    <w:rsid w:val="004552BC"/>
    <w:rsid w:val="004553B9"/>
    <w:rsid w:val="00456529"/>
    <w:rsid w:val="00456D6B"/>
    <w:rsid w:val="004573C8"/>
    <w:rsid w:val="00460369"/>
    <w:rsid w:val="00460EF3"/>
    <w:rsid w:val="00460FF3"/>
    <w:rsid w:val="00461AB8"/>
    <w:rsid w:val="00461ACF"/>
    <w:rsid w:val="00461CA3"/>
    <w:rsid w:val="00462076"/>
    <w:rsid w:val="0046219A"/>
    <w:rsid w:val="00462403"/>
    <w:rsid w:val="00462471"/>
    <w:rsid w:val="00462695"/>
    <w:rsid w:val="004630CB"/>
    <w:rsid w:val="004636FA"/>
    <w:rsid w:val="00463706"/>
    <w:rsid w:val="00463DB1"/>
    <w:rsid w:val="0046485D"/>
    <w:rsid w:val="00464EE0"/>
    <w:rsid w:val="00464FBE"/>
    <w:rsid w:val="00465C93"/>
    <w:rsid w:val="00466608"/>
    <w:rsid w:val="00466FFB"/>
    <w:rsid w:val="00467AD8"/>
    <w:rsid w:val="00470461"/>
    <w:rsid w:val="00470D8B"/>
    <w:rsid w:val="00471110"/>
    <w:rsid w:val="00471A7A"/>
    <w:rsid w:val="00472546"/>
    <w:rsid w:val="004737E2"/>
    <w:rsid w:val="0047469A"/>
    <w:rsid w:val="00474C27"/>
    <w:rsid w:val="004750D1"/>
    <w:rsid w:val="0047545F"/>
    <w:rsid w:val="0047577E"/>
    <w:rsid w:val="00475D61"/>
    <w:rsid w:val="00476047"/>
    <w:rsid w:val="0047625C"/>
    <w:rsid w:val="0047657D"/>
    <w:rsid w:val="00476634"/>
    <w:rsid w:val="004770B0"/>
    <w:rsid w:val="00477BEB"/>
    <w:rsid w:val="00477DDD"/>
    <w:rsid w:val="00480223"/>
    <w:rsid w:val="0048030C"/>
    <w:rsid w:val="00480553"/>
    <w:rsid w:val="0048177C"/>
    <w:rsid w:val="00481F6B"/>
    <w:rsid w:val="00482521"/>
    <w:rsid w:val="00482B99"/>
    <w:rsid w:val="00482F90"/>
    <w:rsid w:val="0048329F"/>
    <w:rsid w:val="00484070"/>
    <w:rsid w:val="004843AF"/>
    <w:rsid w:val="00484901"/>
    <w:rsid w:val="00484D72"/>
    <w:rsid w:val="00485A19"/>
    <w:rsid w:val="00485D52"/>
    <w:rsid w:val="0048604A"/>
    <w:rsid w:val="004864D3"/>
    <w:rsid w:val="00486707"/>
    <w:rsid w:val="00486C7F"/>
    <w:rsid w:val="00486D66"/>
    <w:rsid w:val="00486D83"/>
    <w:rsid w:val="0048767A"/>
    <w:rsid w:val="004876A2"/>
    <w:rsid w:val="00487CEA"/>
    <w:rsid w:val="00490988"/>
    <w:rsid w:val="004913DC"/>
    <w:rsid w:val="00491695"/>
    <w:rsid w:val="004921CE"/>
    <w:rsid w:val="004924E0"/>
    <w:rsid w:val="00493D3C"/>
    <w:rsid w:val="004943D5"/>
    <w:rsid w:val="00494A33"/>
    <w:rsid w:val="00494C32"/>
    <w:rsid w:val="00494DE0"/>
    <w:rsid w:val="004955C6"/>
    <w:rsid w:val="00495E5A"/>
    <w:rsid w:val="004966FB"/>
    <w:rsid w:val="0049690B"/>
    <w:rsid w:val="00496E3D"/>
    <w:rsid w:val="00496ED7"/>
    <w:rsid w:val="004971D5"/>
    <w:rsid w:val="0049734C"/>
    <w:rsid w:val="00497671"/>
    <w:rsid w:val="00497CA2"/>
    <w:rsid w:val="004A009D"/>
    <w:rsid w:val="004A0DDF"/>
    <w:rsid w:val="004A0EF2"/>
    <w:rsid w:val="004A1B86"/>
    <w:rsid w:val="004A1E7D"/>
    <w:rsid w:val="004A2A7D"/>
    <w:rsid w:val="004A3ED5"/>
    <w:rsid w:val="004A3FD6"/>
    <w:rsid w:val="004A42B5"/>
    <w:rsid w:val="004A48FF"/>
    <w:rsid w:val="004A52C8"/>
    <w:rsid w:val="004A5445"/>
    <w:rsid w:val="004A713B"/>
    <w:rsid w:val="004A799C"/>
    <w:rsid w:val="004A7AAF"/>
    <w:rsid w:val="004B027A"/>
    <w:rsid w:val="004B0A83"/>
    <w:rsid w:val="004B0C26"/>
    <w:rsid w:val="004B1209"/>
    <w:rsid w:val="004B1599"/>
    <w:rsid w:val="004B1665"/>
    <w:rsid w:val="004B1A09"/>
    <w:rsid w:val="004B1B34"/>
    <w:rsid w:val="004B1BB0"/>
    <w:rsid w:val="004B1C9E"/>
    <w:rsid w:val="004B2891"/>
    <w:rsid w:val="004B3035"/>
    <w:rsid w:val="004B35A7"/>
    <w:rsid w:val="004B3BBF"/>
    <w:rsid w:val="004B3FD3"/>
    <w:rsid w:val="004B456A"/>
    <w:rsid w:val="004B4592"/>
    <w:rsid w:val="004B46BA"/>
    <w:rsid w:val="004B4F64"/>
    <w:rsid w:val="004B55C4"/>
    <w:rsid w:val="004B58BE"/>
    <w:rsid w:val="004B6ACB"/>
    <w:rsid w:val="004B6D6E"/>
    <w:rsid w:val="004B738F"/>
    <w:rsid w:val="004B746D"/>
    <w:rsid w:val="004B759F"/>
    <w:rsid w:val="004B761B"/>
    <w:rsid w:val="004B7719"/>
    <w:rsid w:val="004B7D43"/>
    <w:rsid w:val="004B7E44"/>
    <w:rsid w:val="004C00A2"/>
    <w:rsid w:val="004C0104"/>
    <w:rsid w:val="004C058F"/>
    <w:rsid w:val="004C0831"/>
    <w:rsid w:val="004C0E7C"/>
    <w:rsid w:val="004C1C27"/>
    <w:rsid w:val="004C1E60"/>
    <w:rsid w:val="004C2614"/>
    <w:rsid w:val="004C31FA"/>
    <w:rsid w:val="004C4D3F"/>
    <w:rsid w:val="004C5299"/>
    <w:rsid w:val="004C5A51"/>
    <w:rsid w:val="004C6843"/>
    <w:rsid w:val="004C6C27"/>
    <w:rsid w:val="004C6D37"/>
    <w:rsid w:val="004C7627"/>
    <w:rsid w:val="004D079C"/>
    <w:rsid w:val="004D07B5"/>
    <w:rsid w:val="004D124C"/>
    <w:rsid w:val="004D16F8"/>
    <w:rsid w:val="004D19A4"/>
    <w:rsid w:val="004D19B7"/>
    <w:rsid w:val="004D19F0"/>
    <w:rsid w:val="004D1AA2"/>
    <w:rsid w:val="004D1B76"/>
    <w:rsid w:val="004D1B9E"/>
    <w:rsid w:val="004D2CA7"/>
    <w:rsid w:val="004D3099"/>
    <w:rsid w:val="004D3184"/>
    <w:rsid w:val="004D36EC"/>
    <w:rsid w:val="004D46DF"/>
    <w:rsid w:val="004D4E51"/>
    <w:rsid w:val="004D55F7"/>
    <w:rsid w:val="004D5D34"/>
    <w:rsid w:val="004D6EF5"/>
    <w:rsid w:val="004D6F29"/>
    <w:rsid w:val="004D724B"/>
    <w:rsid w:val="004E045B"/>
    <w:rsid w:val="004E15FF"/>
    <w:rsid w:val="004E1EB0"/>
    <w:rsid w:val="004E2337"/>
    <w:rsid w:val="004E26B0"/>
    <w:rsid w:val="004E28BF"/>
    <w:rsid w:val="004E2E0F"/>
    <w:rsid w:val="004E4598"/>
    <w:rsid w:val="004E4E72"/>
    <w:rsid w:val="004E5A68"/>
    <w:rsid w:val="004E5AF5"/>
    <w:rsid w:val="004E5CEF"/>
    <w:rsid w:val="004E70E7"/>
    <w:rsid w:val="004E77A1"/>
    <w:rsid w:val="004E7890"/>
    <w:rsid w:val="004E78AF"/>
    <w:rsid w:val="004E7EB1"/>
    <w:rsid w:val="004E7F1D"/>
    <w:rsid w:val="004F021B"/>
    <w:rsid w:val="004F1416"/>
    <w:rsid w:val="004F1D01"/>
    <w:rsid w:val="004F2070"/>
    <w:rsid w:val="004F22F3"/>
    <w:rsid w:val="004F2631"/>
    <w:rsid w:val="004F2CAB"/>
    <w:rsid w:val="004F2DF1"/>
    <w:rsid w:val="004F3C30"/>
    <w:rsid w:val="004F3D87"/>
    <w:rsid w:val="004F4272"/>
    <w:rsid w:val="004F44D1"/>
    <w:rsid w:val="004F48C9"/>
    <w:rsid w:val="004F4B3E"/>
    <w:rsid w:val="004F5391"/>
    <w:rsid w:val="004F53F7"/>
    <w:rsid w:val="004F551C"/>
    <w:rsid w:val="004F5B08"/>
    <w:rsid w:val="004F5FC3"/>
    <w:rsid w:val="004F60AE"/>
    <w:rsid w:val="004F616C"/>
    <w:rsid w:val="004F6EBC"/>
    <w:rsid w:val="004F739F"/>
    <w:rsid w:val="004F7856"/>
    <w:rsid w:val="0050096D"/>
    <w:rsid w:val="00500F24"/>
    <w:rsid w:val="005012D9"/>
    <w:rsid w:val="00501541"/>
    <w:rsid w:val="00503391"/>
    <w:rsid w:val="0050381B"/>
    <w:rsid w:val="00503D70"/>
    <w:rsid w:val="00503E03"/>
    <w:rsid w:val="00503F09"/>
    <w:rsid w:val="005040A7"/>
    <w:rsid w:val="005044A2"/>
    <w:rsid w:val="00504B5E"/>
    <w:rsid w:val="005069B8"/>
    <w:rsid w:val="00506E6D"/>
    <w:rsid w:val="00506E70"/>
    <w:rsid w:val="005070F5"/>
    <w:rsid w:val="005074A2"/>
    <w:rsid w:val="005101FC"/>
    <w:rsid w:val="00510F1D"/>
    <w:rsid w:val="00511123"/>
    <w:rsid w:val="005118F0"/>
    <w:rsid w:val="00511988"/>
    <w:rsid w:val="005122A0"/>
    <w:rsid w:val="005123C2"/>
    <w:rsid w:val="005123E3"/>
    <w:rsid w:val="0051265B"/>
    <w:rsid w:val="005136C9"/>
    <w:rsid w:val="005136D2"/>
    <w:rsid w:val="0051383F"/>
    <w:rsid w:val="00513B1E"/>
    <w:rsid w:val="00513B77"/>
    <w:rsid w:val="005145DF"/>
    <w:rsid w:val="00514CA3"/>
    <w:rsid w:val="00515009"/>
    <w:rsid w:val="005152C3"/>
    <w:rsid w:val="00515D75"/>
    <w:rsid w:val="005160B6"/>
    <w:rsid w:val="0051643A"/>
    <w:rsid w:val="00516FC6"/>
    <w:rsid w:val="0051763F"/>
    <w:rsid w:val="00520426"/>
    <w:rsid w:val="00520662"/>
    <w:rsid w:val="0052079E"/>
    <w:rsid w:val="00520A56"/>
    <w:rsid w:val="00520B5E"/>
    <w:rsid w:val="00520E0A"/>
    <w:rsid w:val="00520F7F"/>
    <w:rsid w:val="00521EBE"/>
    <w:rsid w:val="00521EF6"/>
    <w:rsid w:val="005220CF"/>
    <w:rsid w:val="005229E5"/>
    <w:rsid w:val="0052369C"/>
    <w:rsid w:val="00523D42"/>
    <w:rsid w:val="00523D86"/>
    <w:rsid w:val="00524A6F"/>
    <w:rsid w:val="005261A1"/>
    <w:rsid w:val="005270A1"/>
    <w:rsid w:val="0053035B"/>
    <w:rsid w:val="0053037E"/>
    <w:rsid w:val="005304F8"/>
    <w:rsid w:val="00530840"/>
    <w:rsid w:val="00530C43"/>
    <w:rsid w:val="00531BF2"/>
    <w:rsid w:val="00531D4E"/>
    <w:rsid w:val="00531ECD"/>
    <w:rsid w:val="00532CF1"/>
    <w:rsid w:val="00533345"/>
    <w:rsid w:val="005334D4"/>
    <w:rsid w:val="00533980"/>
    <w:rsid w:val="0053439B"/>
    <w:rsid w:val="005343B1"/>
    <w:rsid w:val="00534865"/>
    <w:rsid w:val="00535194"/>
    <w:rsid w:val="005360BE"/>
    <w:rsid w:val="005368E0"/>
    <w:rsid w:val="00536BA8"/>
    <w:rsid w:val="00537AD6"/>
    <w:rsid w:val="00537CAA"/>
    <w:rsid w:val="00537D20"/>
    <w:rsid w:val="00540331"/>
    <w:rsid w:val="0054054D"/>
    <w:rsid w:val="00540738"/>
    <w:rsid w:val="0054084D"/>
    <w:rsid w:val="0054269F"/>
    <w:rsid w:val="00543040"/>
    <w:rsid w:val="005433CC"/>
    <w:rsid w:val="005437A0"/>
    <w:rsid w:val="005440A5"/>
    <w:rsid w:val="0054477C"/>
    <w:rsid w:val="00544DCA"/>
    <w:rsid w:val="005452E9"/>
    <w:rsid w:val="00545CF2"/>
    <w:rsid w:val="0054688C"/>
    <w:rsid w:val="0054776D"/>
    <w:rsid w:val="00547C4B"/>
    <w:rsid w:val="00550A4D"/>
    <w:rsid w:val="00550D91"/>
    <w:rsid w:val="005511E2"/>
    <w:rsid w:val="0055122F"/>
    <w:rsid w:val="00552B53"/>
    <w:rsid w:val="005530F4"/>
    <w:rsid w:val="00553B42"/>
    <w:rsid w:val="00554071"/>
    <w:rsid w:val="005546BE"/>
    <w:rsid w:val="00554878"/>
    <w:rsid w:val="005548C7"/>
    <w:rsid w:val="00554903"/>
    <w:rsid w:val="00555F0C"/>
    <w:rsid w:val="00556580"/>
    <w:rsid w:val="00556FF0"/>
    <w:rsid w:val="00557168"/>
    <w:rsid w:val="005574EA"/>
    <w:rsid w:val="00557680"/>
    <w:rsid w:val="00557FC9"/>
    <w:rsid w:val="00560451"/>
    <w:rsid w:val="0056089D"/>
    <w:rsid w:val="0056094A"/>
    <w:rsid w:val="005610AF"/>
    <w:rsid w:val="0056126A"/>
    <w:rsid w:val="0056156D"/>
    <w:rsid w:val="00561798"/>
    <w:rsid w:val="00561C1B"/>
    <w:rsid w:val="00561D78"/>
    <w:rsid w:val="005626AD"/>
    <w:rsid w:val="00563A94"/>
    <w:rsid w:val="00563AA0"/>
    <w:rsid w:val="00563FC9"/>
    <w:rsid w:val="00564125"/>
    <w:rsid w:val="00564182"/>
    <w:rsid w:val="005642E8"/>
    <w:rsid w:val="00564958"/>
    <w:rsid w:val="0056574B"/>
    <w:rsid w:val="0056600D"/>
    <w:rsid w:val="00567651"/>
    <w:rsid w:val="005676B5"/>
    <w:rsid w:val="00567C1D"/>
    <w:rsid w:val="00567D3B"/>
    <w:rsid w:val="005703A9"/>
    <w:rsid w:val="00570A0D"/>
    <w:rsid w:val="00570C76"/>
    <w:rsid w:val="00570F03"/>
    <w:rsid w:val="00571029"/>
    <w:rsid w:val="00571480"/>
    <w:rsid w:val="005719E4"/>
    <w:rsid w:val="005722F9"/>
    <w:rsid w:val="00572FD9"/>
    <w:rsid w:val="00573718"/>
    <w:rsid w:val="00573EC5"/>
    <w:rsid w:val="00573FAC"/>
    <w:rsid w:val="00574600"/>
    <w:rsid w:val="005746B3"/>
    <w:rsid w:val="00574742"/>
    <w:rsid w:val="00575ABF"/>
    <w:rsid w:val="00575DDB"/>
    <w:rsid w:val="00575DE9"/>
    <w:rsid w:val="00575EE9"/>
    <w:rsid w:val="00575F79"/>
    <w:rsid w:val="00576087"/>
    <w:rsid w:val="00576151"/>
    <w:rsid w:val="005763E4"/>
    <w:rsid w:val="005767DC"/>
    <w:rsid w:val="00576B6B"/>
    <w:rsid w:val="00576E2B"/>
    <w:rsid w:val="0057776E"/>
    <w:rsid w:val="0058010A"/>
    <w:rsid w:val="0058083C"/>
    <w:rsid w:val="00580F8C"/>
    <w:rsid w:val="0058189E"/>
    <w:rsid w:val="005826ED"/>
    <w:rsid w:val="00582833"/>
    <w:rsid w:val="00583455"/>
    <w:rsid w:val="00583736"/>
    <w:rsid w:val="0058373C"/>
    <w:rsid w:val="00583C9F"/>
    <w:rsid w:val="00584032"/>
    <w:rsid w:val="0058405B"/>
    <w:rsid w:val="00584C80"/>
    <w:rsid w:val="005856DE"/>
    <w:rsid w:val="005862C1"/>
    <w:rsid w:val="0058649F"/>
    <w:rsid w:val="005867A6"/>
    <w:rsid w:val="00587291"/>
    <w:rsid w:val="005876AB"/>
    <w:rsid w:val="00590002"/>
    <w:rsid w:val="00590222"/>
    <w:rsid w:val="00590F2D"/>
    <w:rsid w:val="00591194"/>
    <w:rsid w:val="00591218"/>
    <w:rsid w:val="0059129F"/>
    <w:rsid w:val="00591914"/>
    <w:rsid w:val="00592589"/>
    <w:rsid w:val="00592F56"/>
    <w:rsid w:val="005938C8"/>
    <w:rsid w:val="00594972"/>
    <w:rsid w:val="00594A5D"/>
    <w:rsid w:val="00594EE5"/>
    <w:rsid w:val="00594FA2"/>
    <w:rsid w:val="00595029"/>
    <w:rsid w:val="005955BB"/>
    <w:rsid w:val="00596AEB"/>
    <w:rsid w:val="00596B56"/>
    <w:rsid w:val="005A044D"/>
    <w:rsid w:val="005A0A7B"/>
    <w:rsid w:val="005A0EE6"/>
    <w:rsid w:val="005A28A7"/>
    <w:rsid w:val="005A29A5"/>
    <w:rsid w:val="005A3031"/>
    <w:rsid w:val="005A30C2"/>
    <w:rsid w:val="005A341F"/>
    <w:rsid w:val="005A3502"/>
    <w:rsid w:val="005A35B7"/>
    <w:rsid w:val="005A3B49"/>
    <w:rsid w:val="005A3B60"/>
    <w:rsid w:val="005A4108"/>
    <w:rsid w:val="005A4155"/>
    <w:rsid w:val="005A4328"/>
    <w:rsid w:val="005A47B4"/>
    <w:rsid w:val="005A4ED0"/>
    <w:rsid w:val="005A4FD9"/>
    <w:rsid w:val="005A6387"/>
    <w:rsid w:val="005A79EF"/>
    <w:rsid w:val="005A7BFC"/>
    <w:rsid w:val="005A7C5B"/>
    <w:rsid w:val="005B05F4"/>
    <w:rsid w:val="005B0ECE"/>
    <w:rsid w:val="005B1051"/>
    <w:rsid w:val="005B2394"/>
    <w:rsid w:val="005B2C71"/>
    <w:rsid w:val="005B3188"/>
    <w:rsid w:val="005B3409"/>
    <w:rsid w:val="005B34B5"/>
    <w:rsid w:val="005B370D"/>
    <w:rsid w:val="005B4003"/>
    <w:rsid w:val="005B45CB"/>
    <w:rsid w:val="005B45DF"/>
    <w:rsid w:val="005B5953"/>
    <w:rsid w:val="005B63F7"/>
    <w:rsid w:val="005B6A22"/>
    <w:rsid w:val="005B6EF7"/>
    <w:rsid w:val="005B717D"/>
    <w:rsid w:val="005C060D"/>
    <w:rsid w:val="005C07C7"/>
    <w:rsid w:val="005C1858"/>
    <w:rsid w:val="005C1D3D"/>
    <w:rsid w:val="005C1F41"/>
    <w:rsid w:val="005C1F6C"/>
    <w:rsid w:val="005C216A"/>
    <w:rsid w:val="005C2755"/>
    <w:rsid w:val="005C2BFB"/>
    <w:rsid w:val="005C3166"/>
    <w:rsid w:val="005C3AD7"/>
    <w:rsid w:val="005C3BCD"/>
    <w:rsid w:val="005C4162"/>
    <w:rsid w:val="005C52C8"/>
    <w:rsid w:val="005C6BBE"/>
    <w:rsid w:val="005C74D3"/>
    <w:rsid w:val="005D01DB"/>
    <w:rsid w:val="005D046E"/>
    <w:rsid w:val="005D0F91"/>
    <w:rsid w:val="005D1445"/>
    <w:rsid w:val="005D14B3"/>
    <w:rsid w:val="005D1C2E"/>
    <w:rsid w:val="005D2BFB"/>
    <w:rsid w:val="005D2C36"/>
    <w:rsid w:val="005D3503"/>
    <w:rsid w:val="005D3D6E"/>
    <w:rsid w:val="005D3E94"/>
    <w:rsid w:val="005D4F5C"/>
    <w:rsid w:val="005D5B74"/>
    <w:rsid w:val="005D5F79"/>
    <w:rsid w:val="005D6C8D"/>
    <w:rsid w:val="005D6DE4"/>
    <w:rsid w:val="005D7240"/>
    <w:rsid w:val="005D7498"/>
    <w:rsid w:val="005D7607"/>
    <w:rsid w:val="005D7CC0"/>
    <w:rsid w:val="005E05D4"/>
    <w:rsid w:val="005E082F"/>
    <w:rsid w:val="005E0A72"/>
    <w:rsid w:val="005E0AF0"/>
    <w:rsid w:val="005E0C8D"/>
    <w:rsid w:val="005E0D07"/>
    <w:rsid w:val="005E108B"/>
    <w:rsid w:val="005E1699"/>
    <w:rsid w:val="005E1A43"/>
    <w:rsid w:val="005E2253"/>
    <w:rsid w:val="005E23F7"/>
    <w:rsid w:val="005E30EE"/>
    <w:rsid w:val="005E33AC"/>
    <w:rsid w:val="005E38D5"/>
    <w:rsid w:val="005E4B21"/>
    <w:rsid w:val="005E4C62"/>
    <w:rsid w:val="005E57CF"/>
    <w:rsid w:val="005E586A"/>
    <w:rsid w:val="005E61B5"/>
    <w:rsid w:val="005E6B0C"/>
    <w:rsid w:val="005E6BAD"/>
    <w:rsid w:val="005E77E0"/>
    <w:rsid w:val="005E79C8"/>
    <w:rsid w:val="005E7E0A"/>
    <w:rsid w:val="005F00A1"/>
    <w:rsid w:val="005F0385"/>
    <w:rsid w:val="005F0856"/>
    <w:rsid w:val="005F1331"/>
    <w:rsid w:val="005F1350"/>
    <w:rsid w:val="005F166F"/>
    <w:rsid w:val="005F1AA9"/>
    <w:rsid w:val="005F23E9"/>
    <w:rsid w:val="005F27BF"/>
    <w:rsid w:val="005F2831"/>
    <w:rsid w:val="005F368B"/>
    <w:rsid w:val="005F369F"/>
    <w:rsid w:val="005F4278"/>
    <w:rsid w:val="005F4414"/>
    <w:rsid w:val="005F4D69"/>
    <w:rsid w:val="005F5084"/>
    <w:rsid w:val="005F59AF"/>
    <w:rsid w:val="005F6466"/>
    <w:rsid w:val="005F64D0"/>
    <w:rsid w:val="005F7972"/>
    <w:rsid w:val="005F7D3D"/>
    <w:rsid w:val="006004F8"/>
    <w:rsid w:val="00600EA0"/>
    <w:rsid w:val="00601B1E"/>
    <w:rsid w:val="006030B1"/>
    <w:rsid w:val="006039DA"/>
    <w:rsid w:val="00604BCC"/>
    <w:rsid w:val="006052DC"/>
    <w:rsid w:val="00605FD2"/>
    <w:rsid w:val="00606074"/>
    <w:rsid w:val="006067DA"/>
    <w:rsid w:val="00607008"/>
    <w:rsid w:val="00607611"/>
    <w:rsid w:val="00607DD7"/>
    <w:rsid w:val="0061048B"/>
    <w:rsid w:val="00610726"/>
    <w:rsid w:val="00610D6B"/>
    <w:rsid w:val="00611EFF"/>
    <w:rsid w:val="00611F1B"/>
    <w:rsid w:val="00612171"/>
    <w:rsid w:val="006122F7"/>
    <w:rsid w:val="00612333"/>
    <w:rsid w:val="00612717"/>
    <w:rsid w:val="006127B4"/>
    <w:rsid w:val="006129AA"/>
    <w:rsid w:val="00612BD6"/>
    <w:rsid w:val="00613078"/>
    <w:rsid w:val="006139FE"/>
    <w:rsid w:val="00613B92"/>
    <w:rsid w:val="006141EF"/>
    <w:rsid w:val="0061438F"/>
    <w:rsid w:val="006145EC"/>
    <w:rsid w:val="00614A00"/>
    <w:rsid w:val="00614A6A"/>
    <w:rsid w:val="0061562E"/>
    <w:rsid w:val="00615DAA"/>
    <w:rsid w:val="00615EE5"/>
    <w:rsid w:val="006161D8"/>
    <w:rsid w:val="00616371"/>
    <w:rsid w:val="0061664B"/>
    <w:rsid w:val="00616C5E"/>
    <w:rsid w:val="006172C8"/>
    <w:rsid w:val="00617433"/>
    <w:rsid w:val="00617750"/>
    <w:rsid w:val="00617A7B"/>
    <w:rsid w:val="00620039"/>
    <w:rsid w:val="00620D62"/>
    <w:rsid w:val="00622712"/>
    <w:rsid w:val="006230ED"/>
    <w:rsid w:val="006237DB"/>
    <w:rsid w:val="006237FD"/>
    <w:rsid w:val="006243C2"/>
    <w:rsid w:val="006248DC"/>
    <w:rsid w:val="00624C0E"/>
    <w:rsid w:val="006259FD"/>
    <w:rsid w:val="006261A8"/>
    <w:rsid w:val="00626381"/>
    <w:rsid w:val="00626C74"/>
    <w:rsid w:val="00627ACC"/>
    <w:rsid w:val="00627BCD"/>
    <w:rsid w:val="00627DA1"/>
    <w:rsid w:val="00627EB7"/>
    <w:rsid w:val="00630407"/>
    <w:rsid w:val="006307C2"/>
    <w:rsid w:val="006308A8"/>
    <w:rsid w:val="00630952"/>
    <w:rsid w:val="00630C6A"/>
    <w:rsid w:val="006310B9"/>
    <w:rsid w:val="006311C5"/>
    <w:rsid w:val="006333EB"/>
    <w:rsid w:val="00633667"/>
    <w:rsid w:val="006339D2"/>
    <w:rsid w:val="00634BA8"/>
    <w:rsid w:val="0063576F"/>
    <w:rsid w:val="006358A4"/>
    <w:rsid w:val="00635A52"/>
    <w:rsid w:val="006362F7"/>
    <w:rsid w:val="00636326"/>
    <w:rsid w:val="00636410"/>
    <w:rsid w:val="00636A7E"/>
    <w:rsid w:val="00636EA5"/>
    <w:rsid w:val="0063718D"/>
    <w:rsid w:val="006371F8"/>
    <w:rsid w:val="006376CD"/>
    <w:rsid w:val="006378D6"/>
    <w:rsid w:val="00637B18"/>
    <w:rsid w:val="00637FCB"/>
    <w:rsid w:val="00640373"/>
    <w:rsid w:val="00641524"/>
    <w:rsid w:val="00642251"/>
    <w:rsid w:val="0064226C"/>
    <w:rsid w:val="006425DB"/>
    <w:rsid w:val="006426EA"/>
    <w:rsid w:val="006429F1"/>
    <w:rsid w:val="00642A10"/>
    <w:rsid w:val="00642E78"/>
    <w:rsid w:val="006431CC"/>
    <w:rsid w:val="00643420"/>
    <w:rsid w:val="00643499"/>
    <w:rsid w:val="0064355B"/>
    <w:rsid w:val="00643D15"/>
    <w:rsid w:val="00644B9A"/>
    <w:rsid w:val="00644E48"/>
    <w:rsid w:val="006453EC"/>
    <w:rsid w:val="00646209"/>
    <w:rsid w:val="006469E3"/>
    <w:rsid w:val="00646DAD"/>
    <w:rsid w:val="006474B0"/>
    <w:rsid w:val="006476B5"/>
    <w:rsid w:val="00647C20"/>
    <w:rsid w:val="00647D81"/>
    <w:rsid w:val="00650A1B"/>
    <w:rsid w:val="00650C57"/>
    <w:rsid w:val="00651126"/>
    <w:rsid w:val="006512C5"/>
    <w:rsid w:val="006514AA"/>
    <w:rsid w:val="0065188F"/>
    <w:rsid w:val="00651B80"/>
    <w:rsid w:val="00652531"/>
    <w:rsid w:val="006525FD"/>
    <w:rsid w:val="0065276E"/>
    <w:rsid w:val="00652943"/>
    <w:rsid w:val="00652E26"/>
    <w:rsid w:val="00653246"/>
    <w:rsid w:val="006536AF"/>
    <w:rsid w:val="00653C00"/>
    <w:rsid w:val="00653D6E"/>
    <w:rsid w:val="00654253"/>
    <w:rsid w:val="00654D20"/>
    <w:rsid w:val="00654EDF"/>
    <w:rsid w:val="00654F04"/>
    <w:rsid w:val="006550A9"/>
    <w:rsid w:val="0065538C"/>
    <w:rsid w:val="00655885"/>
    <w:rsid w:val="00655E9F"/>
    <w:rsid w:val="00656A95"/>
    <w:rsid w:val="00656AC8"/>
    <w:rsid w:val="00656FC4"/>
    <w:rsid w:val="0065716A"/>
    <w:rsid w:val="0065769E"/>
    <w:rsid w:val="00660514"/>
    <w:rsid w:val="00661480"/>
    <w:rsid w:val="00661CAC"/>
    <w:rsid w:val="00661EBF"/>
    <w:rsid w:val="00662ACA"/>
    <w:rsid w:val="00662EBB"/>
    <w:rsid w:val="00662FA2"/>
    <w:rsid w:val="0066350C"/>
    <w:rsid w:val="006636EC"/>
    <w:rsid w:val="00663B47"/>
    <w:rsid w:val="0066400E"/>
    <w:rsid w:val="00664300"/>
    <w:rsid w:val="00664B93"/>
    <w:rsid w:val="00664E5A"/>
    <w:rsid w:val="00665078"/>
    <w:rsid w:val="00666460"/>
    <w:rsid w:val="00666B00"/>
    <w:rsid w:val="00666DBF"/>
    <w:rsid w:val="006675CB"/>
    <w:rsid w:val="00667C4C"/>
    <w:rsid w:val="00667E9B"/>
    <w:rsid w:val="006700F2"/>
    <w:rsid w:val="00670144"/>
    <w:rsid w:val="00671A95"/>
    <w:rsid w:val="00672763"/>
    <w:rsid w:val="0067278C"/>
    <w:rsid w:val="00673727"/>
    <w:rsid w:val="006738F1"/>
    <w:rsid w:val="00673F3F"/>
    <w:rsid w:val="006747A8"/>
    <w:rsid w:val="00675721"/>
    <w:rsid w:val="00675865"/>
    <w:rsid w:val="00675929"/>
    <w:rsid w:val="00675D62"/>
    <w:rsid w:val="00675D91"/>
    <w:rsid w:val="006760EA"/>
    <w:rsid w:val="0067733E"/>
    <w:rsid w:val="00677800"/>
    <w:rsid w:val="00677CE6"/>
    <w:rsid w:val="0068014E"/>
    <w:rsid w:val="0068082D"/>
    <w:rsid w:val="006809EF"/>
    <w:rsid w:val="006827A5"/>
    <w:rsid w:val="00682FBF"/>
    <w:rsid w:val="0068328A"/>
    <w:rsid w:val="00683386"/>
    <w:rsid w:val="006839D5"/>
    <w:rsid w:val="00683BB2"/>
    <w:rsid w:val="0068450C"/>
    <w:rsid w:val="00684808"/>
    <w:rsid w:val="00684E52"/>
    <w:rsid w:val="0068595C"/>
    <w:rsid w:val="00686CDC"/>
    <w:rsid w:val="006870C2"/>
    <w:rsid w:val="0068722C"/>
    <w:rsid w:val="00690222"/>
    <w:rsid w:val="0069042C"/>
    <w:rsid w:val="0069077B"/>
    <w:rsid w:val="00690CE7"/>
    <w:rsid w:val="006912B3"/>
    <w:rsid w:val="0069165E"/>
    <w:rsid w:val="00691B8E"/>
    <w:rsid w:val="00691F23"/>
    <w:rsid w:val="00691F84"/>
    <w:rsid w:val="00692022"/>
    <w:rsid w:val="0069295C"/>
    <w:rsid w:val="00693609"/>
    <w:rsid w:val="00693640"/>
    <w:rsid w:val="00693674"/>
    <w:rsid w:val="00693FA6"/>
    <w:rsid w:val="00695D36"/>
    <w:rsid w:val="006960B5"/>
    <w:rsid w:val="00696330"/>
    <w:rsid w:val="00696AAB"/>
    <w:rsid w:val="00697202"/>
    <w:rsid w:val="0069740C"/>
    <w:rsid w:val="00697C82"/>
    <w:rsid w:val="006A00DF"/>
    <w:rsid w:val="006A0549"/>
    <w:rsid w:val="006A06E6"/>
    <w:rsid w:val="006A0A0F"/>
    <w:rsid w:val="006A0CA6"/>
    <w:rsid w:val="006A2DE0"/>
    <w:rsid w:val="006A3D32"/>
    <w:rsid w:val="006A4E80"/>
    <w:rsid w:val="006A52E1"/>
    <w:rsid w:val="006A547D"/>
    <w:rsid w:val="006A5527"/>
    <w:rsid w:val="006A5646"/>
    <w:rsid w:val="006A5998"/>
    <w:rsid w:val="006A5F86"/>
    <w:rsid w:val="006A6994"/>
    <w:rsid w:val="006A7612"/>
    <w:rsid w:val="006A7B9E"/>
    <w:rsid w:val="006B0767"/>
    <w:rsid w:val="006B0F1D"/>
    <w:rsid w:val="006B1158"/>
    <w:rsid w:val="006B1393"/>
    <w:rsid w:val="006B22DF"/>
    <w:rsid w:val="006B23F8"/>
    <w:rsid w:val="006B245F"/>
    <w:rsid w:val="006B2E26"/>
    <w:rsid w:val="006B31E2"/>
    <w:rsid w:val="006B34E9"/>
    <w:rsid w:val="006B3B46"/>
    <w:rsid w:val="006B3DCD"/>
    <w:rsid w:val="006B4F46"/>
    <w:rsid w:val="006B60F0"/>
    <w:rsid w:val="006B617B"/>
    <w:rsid w:val="006B6231"/>
    <w:rsid w:val="006B64D7"/>
    <w:rsid w:val="006B68B9"/>
    <w:rsid w:val="006B6C68"/>
    <w:rsid w:val="006B7704"/>
    <w:rsid w:val="006B7A41"/>
    <w:rsid w:val="006B7BC8"/>
    <w:rsid w:val="006B7EDF"/>
    <w:rsid w:val="006C002E"/>
    <w:rsid w:val="006C0655"/>
    <w:rsid w:val="006C0B60"/>
    <w:rsid w:val="006C0D49"/>
    <w:rsid w:val="006C0FA1"/>
    <w:rsid w:val="006C13C0"/>
    <w:rsid w:val="006C1B43"/>
    <w:rsid w:val="006C1E3B"/>
    <w:rsid w:val="006C2310"/>
    <w:rsid w:val="006C2821"/>
    <w:rsid w:val="006C2BEF"/>
    <w:rsid w:val="006C314C"/>
    <w:rsid w:val="006C3CCD"/>
    <w:rsid w:val="006C447F"/>
    <w:rsid w:val="006C45A8"/>
    <w:rsid w:val="006C4792"/>
    <w:rsid w:val="006C4DF9"/>
    <w:rsid w:val="006C5483"/>
    <w:rsid w:val="006C586A"/>
    <w:rsid w:val="006C616A"/>
    <w:rsid w:val="006C61E7"/>
    <w:rsid w:val="006C6484"/>
    <w:rsid w:val="006C64B2"/>
    <w:rsid w:val="006C68C3"/>
    <w:rsid w:val="006D016F"/>
    <w:rsid w:val="006D05F0"/>
    <w:rsid w:val="006D0B06"/>
    <w:rsid w:val="006D0BCC"/>
    <w:rsid w:val="006D0CBE"/>
    <w:rsid w:val="006D143D"/>
    <w:rsid w:val="006D15F0"/>
    <w:rsid w:val="006D1866"/>
    <w:rsid w:val="006D1C79"/>
    <w:rsid w:val="006D1C7B"/>
    <w:rsid w:val="006D2246"/>
    <w:rsid w:val="006D35D9"/>
    <w:rsid w:val="006D4698"/>
    <w:rsid w:val="006D47C2"/>
    <w:rsid w:val="006D4A5B"/>
    <w:rsid w:val="006D4DAE"/>
    <w:rsid w:val="006D4E3C"/>
    <w:rsid w:val="006D56B2"/>
    <w:rsid w:val="006D5AFD"/>
    <w:rsid w:val="006D5B57"/>
    <w:rsid w:val="006D772F"/>
    <w:rsid w:val="006E0007"/>
    <w:rsid w:val="006E0449"/>
    <w:rsid w:val="006E0D74"/>
    <w:rsid w:val="006E0F05"/>
    <w:rsid w:val="006E1991"/>
    <w:rsid w:val="006E1CD8"/>
    <w:rsid w:val="006E2F67"/>
    <w:rsid w:val="006E36AF"/>
    <w:rsid w:val="006E3C20"/>
    <w:rsid w:val="006E40CE"/>
    <w:rsid w:val="006E47D4"/>
    <w:rsid w:val="006E4B0D"/>
    <w:rsid w:val="006E60E3"/>
    <w:rsid w:val="006E6408"/>
    <w:rsid w:val="006E677D"/>
    <w:rsid w:val="006E6B2D"/>
    <w:rsid w:val="006E70BC"/>
    <w:rsid w:val="006E7695"/>
    <w:rsid w:val="006F0022"/>
    <w:rsid w:val="006F0637"/>
    <w:rsid w:val="006F07A8"/>
    <w:rsid w:val="006F0F7E"/>
    <w:rsid w:val="006F154D"/>
    <w:rsid w:val="006F1C48"/>
    <w:rsid w:val="006F1DB3"/>
    <w:rsid w:val="006F23B5"/>
    <w:rsid w:val="006F277F"/>
    <w:rsid w:val="006F2C2A"/>
    <w:rsid w:val="006F3284"/>
    <w:rsid w:val="006F33FA"/>
    <w:rsid w:val="006F38A9"/>
    <w:rsid w:val="006F38D5"/>
    <w:rsid w:val="006F3B3E"/>
    <w:rsid w:val="006F42D6"/>
    <w:rsid w:val="006F4622"/>
    <w:rsid w:val="006F4739"/>
    <w:rsid w:val="006F4A5E"/>
    <w:rsid w:val="006F5006"/>
    <w:rsid w:val="006F66D8"/>
    <w:rsid w:val="006F6D52"/>
    <w:rsid w:val="006F6EC0"/>
    <w:rsid w:val="006F7243"/>
    <w:rsid w:val="006F759E"/>
    <w:rsid w:val="006F7868"/>
    <w:rsid w:val="006F7BBB"/>
    <w:rsid w:val="0070007F"/>
    <w:rsid w:val="00700197"/>
    <w:rsid w:val="00700AEA"/>
    <w:rsid w:val="00701774"/>
    <w:rsid w:val="00701936"/>
    <w:rsid w:val="00701999"/>
    <w:rsid w:val="00701AF6"/>
    <w:rsid w:val="00702223"/>
    <w:rsid w:val="00702C44"/>
    <w:rsid w:val="00702F1C"/>
    <w:rsid w:val="0070329B"/>
    <w:rsid w:val="007032F7"/>
    <w:rsid w:val="0070365C"/>
    <w:rsid w:val="00703886"/>
    <w:rsid w:val="00703FFF"/>
    <w:rsid w:val="0070445D"/>
    <w:rsid w:val="00704795"/>
    <w:rsid w:val="0070543E"/>
    <w:rsid w:val="00705825"/>
    <w:rsid w:val="00705C7E"/>
    <w:rsid w:val="00706D44"/>
    <w:rsid w:val="00706E53"/>
    <w:rsid w:val="00706F67"/>
    <w:rsid w:val="00707DD6"/>
    <w:rsid w:val="00710036"/>
    <w:rsid w:val="007102BD"/>
    <w:rsid w:val="00710B24"/>
    <w:rsid w:val="00711079"/>
    <w:rsid w:val="00711130"/>
    <w:rsid w:val="00711307"/>
    <w:rsid w:val="00711E59"/>
    <w:rsid w:val="007123D3"/>
    <w:rsid w:val="007123D8"/>
    <w:rsid w:val="00712482"/>
    <w:rsid w:val="00712807"/>
    <w:rsid w:val="00712CD6"/>
    <w:rsid w:val="0071333B"/>
    <w:rsid w:val="00713B07"/>
    <w:rsid w:val="00713B24"/>
    <w:rsid w:val="00713CF7"/>
    <w:rsid w:val="00713E2E"/>
    <w:rsid w:val="00714028"/>
    <w:rsid w:val="0071419E"/>
    <w:rsid w:val="007143FA"/>
    <w:rsid w:val="0071440E"/>
    <w:rsid w:val="00714461"/>
    <w:rsid w:val="00714753"/>
    <w:rsid w:val="00715559"/>
    <w:rsid w:val="007155F9"/>
    <w:rsid w:val="00715A0D"/>
    <w:rsid w:val="007166B2"/>
    <w:rsid w:val="00716AE1"/>
    <w:rsid w:val="00716BD2"/>
    <w:rsid w:val="00716F2E"/>
    <w:rsid w:val="00716FE0"/>
    <w:rsid w:val="007171CB"/>
    <w:rsid w:val="007171F1"/>
    <w:rsid w:val="00717989"/>
    <w:rsid w:val="00717FE3"/>
    <w:rsid w:val="00720A54"/>
    <w:rsid w:val="00721BC0"/>
    <w:rsid w:val="00721DD0"/>
    <w:rsid w:val="00721E8B"/>
    <w:rsid w:val="007221E6"/>
    <w:rsid w:val="0072251B"/>
    <w:rsid w:val="0072285C"/>
    <w:rsid w:val="00722AE9"/>
    <w:rsid w:val="00722EA1"/>
    <w:rsid w:val="00723237"/>
    <w:rsid w:val="00723588"/>
    <w:rsid w:val="00723589"/>
    <w:rsid w:val="00723EDF"/>
    <w:rsid w:val="00724321"/>
    <w:rsid w:val="0072474C"/>
    <w:rsid w:val="00724759"/>
    <w:rsid w:val="007253B3"/>
    <w:rsid w:val="007258DD"/>
    <w:rsid w:val="007268C4"/>
    <w:rsid w:val="0072771A"/>
    <w:rsid w:val="00727BB5"/>
    <w:rsid w:val="00727E8D"/>
    <w:rsid w:val="00730365"/>
    <w:rsid w:val="00730571"/>
    <w:rsid w:val="00730C7D"/>
    <w:rsid w:val="00731239"/>
    <w:rsid w:val="00731A5D"/>
    <w:rsid w:val="00731BE9"/>
    <w:rsid w:val="00731E45"/>
    <w:rsid w:val="007322D1"/>
    <w:rsid w:val="00732306"/>
    <w:rsid w:val="00732BCE"/>
    <w:rsid w:val="00732E0B"/>
    <w:rsid w:val="0073370A"/>
    <w:rsid w:val="0073403B"/>
    <w:rsid w:val="0073411A"/>
    <w:rsid w:val="00735A37"/>
    <w:rsid w:val="00735A4E"/>
    <w:rsid w:val="00735D32"/>
    <w:rsid w:val="00735DE1"/>
    <w:rsid w:val="007362B9"/>
    <w:rsid w:val="0073690A"/>
    <w:rsid w:val="00736B83"/>
    <w:rsid w:val="007377B0"/>
    <w:rsid w:val="00737982"/>
    <w:rsid w:val="0074041B"/>
    <w:rsid w:val="007404FD"/>
    <w:rsid w:val="00740906"/>
    <w:rsid w:val="00740A1B"/>
    <w:rsid w:val="00740C04"/>
    <w:rsid w:val="00740E39"/>
    <w:rsid w:val="00740F2D"/>
    <w:rsid w:val="0074118E"/>
    <w:rsid w:val="0074163B"/>
    <w:rsid w:val="00741745"/>
    <w:rsid w:val="00741AB2"/>
    <w:rsid w:val="00741E23"/>
    <w:rsid w:val="00742746"/>
    <w:rsid w:val="0074308A"/>
    <w:rsid w:val="007431AC"/>
    <w:rsid w:val="007431C1"/>
    <w:rsid w:val="00743722"/>
    <w:rsid w:val="00743E71"/>
    <w:rsid w:val="007442F8"/>
    <w:rsid w:val="00744388"/>
    <w:rsid w:val="00744531"/>
    <w:rsid w:val="00744A1C"/>
    <w:rsid w:val="007450EC"/>
    <w:rsid w:val="00745201"/>
    <w:rsid w:val="00745FBF"/>
    <w:rsid w:val="0074655E"/>
    <w:rsid w:val="0074679F"/>
    <w:rsid w:val="00746AE7"/>
    <w:rsid w:val="00746C0A"/>
    <w:rsid w:val="00747667"/>
    <w:rsid w:val="007500F5"/>
    <w:rsid w:val="0075041D"/>
    <w:rsid w:val="00750B6A"/>
    <w:rsid w:val="00750DB5"/>
    <w:rsid w:val="007522E0"/>
    <w:rsid w:val="00752686"/>
    <w:rsid w:val="007526EA"/>
    <w:rsid w:val="00752DC6"/>
    <w:rsid w:val="00752E91"/>
    <w:rsid w:val="00752FF2"/>
    <w:rsid w:val="00753422"/>
    <w:rsid w:val="00753527"/>
    <w:rsid w:val="0075409F"/>
    <w:rsid w:val="007548B6"/>
    <w:rsid w:val="00754A28"/>
    <w:rsid w:val="00755CF1"/>
    <w:rsid w:val="00755D19"/>
    <w:rsid w:val="00756638"/>
    <w:rsid w:val="007567C1"/>
    <w:rsid w:val="00756C72"/>
    <w:rsid w:val="00757125"/>
    <w:rsid w:val="00757834"/>
    <w:rsid w:val="007579CF"/>
    <w:rsid w:val="00757CAF"/>
    <w:rsid w:val="00757FBB"/>
    <w:rsid w:val="00760406"/>
    <w:rsid w:val="007611E2"/>
    <w:rsid w:val="00761217"/>
    <w:rsid w:val="007614A5"/>
    <w:rsid w:val="00761BBD"/>
    <w:rsid w:val="00761C55"/>
    <w:rsid w:val="00761F1E"/>
    <w:rsid w:val="007622E6"/>
    <w:rsid w:val="007630C6"/>
    <w:rsid w:val="007633C2"/>
    <w:rsid w:val="007635FD"/>
    <w:rsid w:val="0076437C"/>
    <w:rsid w:val="00764CAC"/>
    <w:rsid w:val="00765212"/>
    <w:rsid w:val="00765A62"/>
    <w:rsid w:val="007667FA"/>
    <w:rsid w:val="00766E93"/>
    <w:rsid w:val="00767EE2"/>
    <w:rsid w:val="00767F5D"/>
    <w:rsid w:val="00770272"/>
    <w:rsid w:val="00770400"/>
    <w:rsid w:val="007705DD"/>
    <w:rsid w:val="007705F3"/>
    <w:rsid w:val="007707C4"/>
    <w:rsid w:val="00770F7C"/>
    <w:rsid w:val="00771594"/>
    <w:rsid w:val="00771637"/>
    <w:rsid w:val="0077192F"/>
    <w:rsid w:val="00772BB9"/>
    <w:rsid w:val="00772C76"/>
    <w:rsid w:val="00773272"/>
    <w:rsid w:val="007738AD"/>
    <w:rsid w:val="00773D3A"/>
    <w:rsid w:val="00774825"/>
    <w:rsid w:val="00774940"/>
    <w:rsid w:val="007750E5"/>
    <w:rsid w:val="00775388"/>
    <w:rsid w:val="00776008"/>
    <w:rsid w:val="00776B16"/>
    <w:rsid w:val="00777EA3"/>
    <w:rsid w:val="00780B5D"/>
    <w:rsid w:val="00780C3E"/>
    <w:rsid w:val="00781EA1"/>
    <w:rsid w:val="007829E7"/>
    <w:rsid w:val="007831F6"/>
    <w:rsid w:val="00783505"/>
    <w:rsid w:val="00783CFE"/>
    <w:rsid w:val="00783E4C"/>
    <w:rsid w:val="007843A1"/>
    <w:rsid w:val="00785317"/>
    <w:rsid w:val="00785B35"/>
    <w:rsid w:val="00786096"/>
    <w:rsid w:val="00786B3A"/>
    <w:rsid w:val="00786B9D"/>
    <w:rsid w:val="00786BEA"/>
    <w:rsid w:val="007870AF"/>
    <w:rsid w:val="007872DC"/>
    <w:rsid w:val="00787636"/>
    <w:rsid w:val="00787EAB"/>
    <w:rsid w:val="00790102"/>
    <w:rsid w:val="007901F3"/>
    <w:rsid w:val="007908BD"/>
    <w:rsid w:val="00790CF2"/>
    <w:rsid w:val="00790E8C"/>
    <w:rsid w:val="00791F8F"/>
    <w:rsid w:val="00792636"/>
    <w:rsid w:val="00792734"/>
    <w:rsid w:val="00792C27"/>
    <w:rsid w:val="00792DDF"/>
    <w:rsid w:val="00792E6C"/>
    <w:rsid w:val="007933C3"/>
    <w:rsid w:val="00794251"/>
    <w:rsid w:val="00794731"/>
    <w:rsid w:val="0079481B"/>
    <w:rsid w:val="00794AB5"/>
    <w:rsid w:val="00794B11"/>
    <w:rsid w:val="00795ABA"/>
    <w:rsid w:val="00795EB8"/>
    <w:rsid w:val="00796445"/>
    <w:rsid w:val="007964FF"/>
    <w:rsid w:val="00796E45"/>
    <w:rsid w:val="007A0654"/>
    <w:rsid w:val="007A0D97"/>
    <w:rsid w:val="007A189A"/>
    <w:rsid w:val="007A19CB"/>
    <w:rsid w:val="007A1B8A"/>
    <w:rsid w:val="007A1E00"/>
    <w:rsid w:val="007A1E3B"/>
    <w:rsid w:val="007A2872"/>
    <w:rsid w:val="007A2DF0"/>
    <w:rsid w:val="007A363F"/>
    <w:rsid w:val="007A38C8"/>
    <w:rsid w:val="007A3A20"/>
    <w:rsid w:val="007A3AF4"/>
    <w:rsid w:val="007A3CB1"/>
    <w:rsid w:val="007A3EA0"/>
    <w:rsid w:val="007A471F"/>
    <w:rsid w:val="007A4B04"/>
    <w:rsid w:val="007A5311"/>
    <w:rsid w:val="007A5E18"/>
    <w:rsid w:val="007A5FE1"/>
    <w:rsid w:val="007A64AA"/>
    <w:rsid w:val="007A66E7"/>
    <w:rsid w:val="007A6E01"/>
    <w:rsid w:val="007A741D"/>
    <w:rsid w:val="007A7CFB"/>
    <w:rsid w:val="007A7D24"/>
    <w:rsid w:val="007A7EB9"/>
    <w:rsid w:val="007A7F4B"/>
    <w:rsid w:val="007B024B"/>
    <w:rsid w:val="007B04C2"/>
    <w:rsid w:val="007B0A07"/>
    <w:rsid w:val="007B14B1"/>
    <w:rsid w:val="007B1923"/>
    <w:rsid w:val="007B1D9E"/>
    <w:rsid w:val="007B1E5E"/>
    <w:rsid w:val="007B1FEB"/>
    <w:rsid w:val="007B23B6"/>
    <w:rsid w:val="007B241C"/>
    <w:rsid w:val="007B27E6"/>
    <w:rsid w:val="007B2E00"/>
    <w:rsid w:val="007B310A"/>
    <w:rsid w:val="007B3CAA"/>
    <w:rsid w:val="007B3D7B"/>
    <w:rsid w:val="007B42BC"/>
    <w:rsid w:val="007B4458"/>
    <w:rsid w:val="007B4593"/>
    <w:rsid w:val="007B45CF"/>
    <w:rsid w:val="007B4715"/>
    <w:rsid w:val="007B4F80"/>
    <w:rsid w:val="007B66D5"/>
    <w:rsid w:val="007B677B"/>
    <w:rsid w:val="007B7222"/>
    <w:rsid w:val="007C0599"/>
    <w:rsid w:val="007C145D"/>
    <w:rsid w:val="007C326E"/>
    <w:rsid w:val="007C36E6"/>
    <w:rsid w:val="007C48B7"/>
    <w:rsid w:val="007C52E6"/>
    <w:rsid w:val="007C567E"/>
    <w:rsid w:val="007C56CB"/>
    <w:rsid w:val="007C5758"/>
    <w:rsid w:val="007C59D3"/>
    <w:rsid w:val="007C622F"/>
    <w:rsid w:val="007C6B8F"/>
    <w:rsid w:val="007C7697"/>
    <w:rsid w:val="007D0088"/>
    <w:rsid w:val="007D0318"/>
    <w:rsid w:val="007D04F4"/>
    <w:rsid w:val="007D070A"/>
    <w:rsid w:val="007D08EB"/>
    <w:rsid w:val="007D182F"/>
    <w:rsid w:val="007D2654"/>
    <w:rsid w:val="007D3481"/>
    <w:rsid w:val="007D3516"/>
    <w:rsid w:val="007D3A89"/>
    <w:rsid w:val="007D472B"/>
    <w:rsid w:val="007D56C1"/>
    <w:rsid w:val="007D5BD3"/>
    <w:rsid w:val="007D5E7F"/>
    <w:rsid w:val="007D66F6"/>
    <w:rsid w:val="007D6923"/>
    <w:rsid w:val="007D717D"/>
    <w:rsid w:val="007E090A"/>
    <w:rsid w:val="007E18AE"/>
    <w:rsid w:val="007E1B37"/>
    <w:rsid w:val="007E1C62"/>
    <w:rsid w:val="007E1DD7"/>
    <w:rsid w:val="007E1EFC"/>
    <w:rsid w:val="007E2053"/>
    <w:rsid w:val="007E20E5"/>
    <w:rsid w:val="007E24CA"/>
    <w:rsid w:val="007E2745"/>
    <w:rsid w:val="007E2DE6"/>
    <w:rsid w:val="007E2FAF"/>
    <w:rsid w:val="007E3526"/>
    <w:rsid w:val="007E43D6"/>
    <w:rsid w:val="007E4B27"/>
    <w:rsid w:val="007E54BF"/>
    <w:rsid w:val="007E6017"/>
    <w:rsid w:val="007E63FC"/>
    <w:rsid w:val="007E6868"/>
    <w:rsid w:val="007E6DB6"/>
    <w:rsid w:val="007E7195"/>
    <w:rsid w:val="007E719A"/>
    <w:rsid w:val="007F0394"/>
    <w:rsid w:val="007F09DE"/>
    <w:rsid w:val="007F13A2"/>
    <w:rsid w:val="007F1D5F"/>
    <w:rsid w:val="007F2139"/>
    <w:rsid w:val="007F21FA"/>
    <w:rsid w:val="007F261E"/>
    <w:rsid w:val="007F2824"/>
    <w:rsid w:val="007F4353"/>
    <w:rsid w:val="007F43E7"/>
    <w:rsid w:val="007F4E0B"/>
    <w:rsid w:val="007F52A3"/>
    <w:rsid w:val="007F594D"/>
    <w:rsid w:val="007F608D"/>
    <w:rsid w:val="007F6BA5"/>
    <w:rsid w:val="007F78F4"/>
    <w:rsid w:val="00800A25"/>
    <w:rsid w:val="00800B38"/>
    <w:rsid w:val="00800BC0"/>
    <w:rsid w:val="00800F3E"/>
    <w:rsid w:val="008012B4"/>
    <w:rsid w:val="00801A4F"/>
    <w:rsid w:val="00801BB9"/>
    <w:rsid w:val="00803C0E"/>
    <w:rsid w:val="0080405F"/>
    <w:rsid w:val="00804823"/>
    <w:rsid w:val="00805406"/>
    <w:rsid w:val="008054DE"/>
    <w:rsid w:val="008059B1"/>
    <w:rsid w:val="00805C89"/>
    <w:rsid w:val="008060AA"/>
    <w:rsid w:val="00806A75"/>
    <w:rsid w:val="00806FD8"/>
    <w:rsid w:val="0080707F"/>
    <w:rsid w:val="00807088"/>
    <w:rsid w:val="008078FC"/>
    <w:rsid w:val="00807A81"/>
    <w:rsid w:val="00807FC9"/>
    <w:rsid w:val="008101B0"/>
    <w:rsid w:val="0081030A"/>
    <w:rsid w:val="008104FB"/>
    <w:rsid w:val="00810D05"/>
    <w:rsid w:val="00811BE1"/>
    <w:rsid w:val="00811C62"/>
    <w:rsid w:val="0081256E"/>
    <w:rsid w:val="00812877"/>
    <w:rsid w:val="00812B2B"/>
    <w:rsid w:val="0081321F"/>
    <w:rsid w:val="00813815"/>
    <w:rsid w:val="00813A49"/>
    <w:rsid w:val="00813EC7"/>
    <w:rsid w:val="00814495"/>
    <w:rsid w:val="008146E5"/>
    <w:rsid w:val="0081471B"/>
    <w:rsid w:val="008149E1"/>
    <w:rsid w:val="00814A99"/>
    <w:rsid w:val="008152CC"/>
    <w:rsid w:val="008157F7"/>
    <w:rsid w:val="00815F9F"/>
    <w:rsid w:val="00816840"/>
    <w:rsid w:val="00816A0F"/>
    <w:rsid w:val="00817427"/>
    <w:rsid w:val="00820050"/>
    <w:rsid w:val="00820145"/>
    <w:rsid w:val="00820AD6"/>
    <w:rsid w:val="00820B09"/>
    <w:rsid w:val="00820B2D"/>
    <w:rsid w:val="00821E30"/>
    <w:rsid w:val="00821F40"/>
    <w:rsid w:val="0082265B"/>
    <w:rsid w:val="00822EB7"/>
    <w:rsid w:val="0082330E"/>
    <w:rsid w:val="00823E95"/>
    <w:rsid w:val="008243F9"/>
    <w:rsid w:val="0082487B"/>
    <w:rsid w:val="008251C2"/>
    <w:rsid w:val="008252D6"/>
    <w:rsid w:val="00825326"/>
    <w:rsid w:val="00825503"/>
    <w:rsid w:val="00825976"/>
    <w:rsid w:val="00826EBE"/>
    <w:rsid w:val="0082703E"/>
    <w:rsid w:val="00827084"/>
    <w:rsid w:val="00827A5F"/>
    <w:rsid w:val="0083047A"/>
    <w:rsid w:val="008305BC"/>
    <w:rsid w:val="0083092B"/>
    <w:rsid w:val="008309BF"/>
    <w:rsid w:val="00830EE5"/>
    <w:rsid w:val="00831121"/>
    <w:rsid w:val="00831D70"/>
    <w:rsid w:val="00831FE1"/>
    <w:rsid w:val="008324F9"/>
    <w:rsid w:val="00832648"/>
    <w:rsid w:val="00832B90"/>
    <w:rsid w:val="00832EDD"/>
    <w:rsid w:val="00832F69"/>
    <w:rsid w:val="0083332E"/>
    <w:rsid w:val="008333EA"/>
    <w:rsid w:val="00833E45"/>
    <w:rsid w:val="0083448D"/>
    <w:rsid w:val="00834D62"/>
    <w:rsid w:val="00835139"/>
    <w:rsid w:val="00835425"/>
    <w:rsid w:val="00835C87"/>
    <w:rsid w:val="00835CD8"/>
    <w:rsid w:val="00835F04"/>
    <w:rsid w:val="00835FCB"/>
    <w:rsid w:val="00836003"/>
    <w:rsid w:val="008364F7"/>
    <w:rsid w:val="00836518"/>
    <w:rsid w:val="008365C8"/>
    <w:rsid w:val="008370EF"/>
    <w:rsid w:val="0083715B"/>
    <w:rsid w:val="00837360"/>
    <w:rsid w:val="00837A89"/>
    <w:rsid w:val="00840729"/>
    <w:rsid w:val="00840781"/>
    <w:rsid w:val="0084078D"/>
    <w:rsid w:val="00840B91"/>
    <w:rsid w:val="00841AD3"/>
    <w:rsid w:val="00842545"/>
    <w:rsid w:val="00842E74"/>
    <w:rsid w:val="0084416A"/>
    <w:rsid w:val="00844459"/>
    <w:rsid w:val="008444F4"/>
    <w:rsid w:val="00844664"/>
    <w:rsid w:val="00844BDB"/>
    <w:rsid w:val="00844FC9"/>
    <w:rsid w:val="00845AEA"/>
    <w:rsid w:val="00845C98"/>
    <w:rsid w:val="00846558"/>
    <w:rsid w:val="008471DB"/>
    <w:rsid w:val="00847D81"/>
    <w:rsid w:val="00847FFD"/>
    <w:rsid w:val="008500DB"/>
    <w:rsid w:val="00850332"/>
    <w:rsid w:val="0085069A"/>
    <w:rsid w:val="00850762"/>
    <w:rsid w:val="00850F10"/>
    <w:rsid w:val="00851003"/>
    <w:rsid w:val="00851AAF"/>
    <w:rsid w:val="008524AB"/>
    <w:rsid w:val="00853797"/>
    <w:rsid w:val="00853F2B"/>
    <w:rsid w:val="008543FB"/>
    <w:rsid w:val="00855BF3"/>
    <w:rsid w:val="00855C1A"/>
    <w:rsid w:val="00856435"/>
    <w:rsid w:val="00856562"/>
    <w:rsid w:val="008565F0"/>
    <w:rsid w:val="00856998"/>
    <w:rsid w:val="00856C10"/>
    <w:rsid w:val="00856F39"/>
    <w:rsid w:val="0085773F"/>
    <w:rsid w:val="00860294"/>
    <w:rsid w:val="008613F7"/>
    <w:rsid w:val="00861DA8"/>
    <w:rsid w:val="00861F50"/>
    <w:rsid w:val="008621F8"/>
    <w:rsid w:val="00863358"/>
    <w:rsid w:val="008634E7"/>
    <w:rsid w:val="008637E9"/>
    <w:rsid w:val="00863CDF"/>
    <w:rsid w:val="008647AB"/>
    <w:rsid w:val="00864E62"/>
    <w:rsid w:val="008653BE"/>
    <w:rsid w:val="008658C8"/>
    <w:rsid w:val="008658D7"/>
    <w:rsid w:val="00865BD6"/>
    <w:rsid w:val="00865F86"/>
    <w:rsid w:val="00866C05"/>
    <w:rsid w:val="00866CE7"/>
    <w:rsid w:val="008672DC"/>
    <w:rsid w:val="008674AA"/>
    <w:rsid w:val="00867DFA"/>
    <w:rsid w:val="008707F9"/>
    <w:rsid w:val="0087095F"/>
    <w:rsid w:val="008713BB"/>
    <w:rsid w:val="008714FA"/>
    <w:rsid w:val="0087201C"/>
    <w:rsid w:val="0087266B"/>
    <w:rsid w:val="008728DC"/>
    <w:rsid w:val="00872EB8"/>
    <w:rsid w:val="0087306A"/>
    <w:rsid w:val="008735FC"/>
    <w:rsid w:val="00873E0E"/>
    <w:rsid w:val="008752C8"/>
    <w:rsid w:val="0087566D"/>
    <w:rsid w:val="00875DF8"/>
    <w:rsid w:val="00875F20"/>
    <w:rsid w:val="008761B7"/>
    <w:rsid w:val="00876214"/>
    <w:rsid w:val="00876743"/>
    <w:rsid w:val="00876A97"/>
    <w:rsid w:val="00876DB0"/>
    <w:rsid w:val="00876EE0"/>
    <w:rsid w:val="00877774"/>
    <w:rsid w:val="0088026F"/>
    <w:rsid w:val="00881DC6"/>
    <w:rsid w:val="008829E3"/>
    <w:rsid w:val="00883350"/>
    <w:rsid w:val="008836A5"/>
    <w:rsid w:val="00884410"/>
    <w:rsid w:val="00884953"/>
    <w:rsid w:val="00884A84"/>
    <w:rsid w:val="00884B0E"/>
    <w:rsid w:val="00884E9E"/>
    <w:rsid w:val="008859C0"/>
    <w:rsid w:val="008863D4"/>
    <w:rsid w:val="00886817"/>
    <w:rsid w:val="008868F1"/>
    <w:rsid w:val="00886DFD"/>
    <w:rsid w:val="00887416"/>
    <w:rsid w:val="008877EC"/>
    <w:rsid w:val="0089045E"/>
    <w:rsid w:val="00890A11"/>
    <w:rsid w:val="00893506"/>
    <w:rsid w:val="0089508B"/>
    <w:rsid w:val="00895153"/>
    <w:rsid w:val="00895749"/>
    <w:rsid w:val="0089574F"/>
    <w:rsid w:val="00895A5F"/>
    <w:rsid w:val="0089645E"/>
    <w:rsid w:val="0089648C"/>
    <w:rsid w:val="00896ABC"/>
    <w:rsid w:val="00896BB5"/>
    <w:rsid w:val="008979ED"/>
    <w:rsid w:val="008A01E4"/>
    <w:rsid w:val="008A07FA"/>
    <w:rsid w:val="008A0DD0"/>
    <w:rsid w:val="008A12DE"/>
    <w:rsid w:val="008A1766"/>
    <w:rsid w:val="008A1F41"/>
    <w:rsid w:val="008A237A"/>
    <w:rsid w:val="008A28D5"/>
    <w:rsid w:val="008A305F"/>
    <w:rsid w:val="008A3DD9"/>
    <w:rsid w:val="008A452D"/>
    <w:rsid w:val="008A46B1"/>
    <w:rsid w:val="008A4DEF"/>
    <w:rsid w:val="008A55F0"/>
    <w:rsid w:val="008A5715"/>
    <w:rsid w:val="008A587B"/>
    <w:rsid w:val="008A612A"/>
    <w:rsid w:val="008A6BE5"/>
    <w:rsid w:val="008A6D42"/>
    <w:rsid w:val="008A6D75"/>
    <w:rsid w:val="008A70A5"/>
    <w:rsid w:val="008A72BF"/>
    <w:rsid w:val="008B0124"/>
    <w:rsid w:val="008B04F1"/>
    <w:rsid w:val="008B0CE7"/>
    <w:rsid w:val="008B1929"/>
    <w:rsid w:val="008B1A1D"/>
    <w:rsid w:val="008B22FC"/>
    <w:rsid w:val="008B24E2"/>
    <w:rsid w:val="008B3254"/>
    <w:rsid w:val="008B3CE4"/>
    <w:rsid w:val="008B3F23"/>
    <w:rsid w:val="008B408D"/>
    <w:rsid w:val="008B46CE"/>
    <w:rsid w:val="008B4C40"/>
    <w:rsid w:val="008B5D29"/>
    <w:rsid w:val="008B6225"/>
    <w:rsid w:val="008B63C6"/>
    <w:rsid w:val="008B7085"/>
    <w:rsid w:val="008B72EE"/>
    <w:rsid w:val="008B72F4"/>
    <w:rsid w:val="008B741A"/>
    <w:rsid w:val="008B7C01"/>
    <w:rsid w:val="008B7CE4"/>
    <w:rsid w:val="008C0832"/>
    <w:rsid w:val="008C09BC"/>
    <w:rsid w:val="008C0B89"/>
    <w:rsid w:val="008C13B4"/>
    <w:rsid w:val="008C1706"/>
    <w:rsid w:val="008C17D8"/>
    <w:rsid w:val="008C21DB"/>
    <w:rsid w:val="008C3001"/>
    <w:rsid w:val="008C324C"/>
    <w:rsid w:val="008C3498"/>
    <w:rsid w:val="008C3C4E"/>
    <w:rsid w:val="008C497E"/>
    <w:rsid w:val="008C539A"/>
    <w:rsid w:val="008C543F"/>
    <w:rsid w:val="008C5444"/>
    <w:rsid w:val="008C5A61"/>
    <w:rsid w:val="008C5CA8"/>
    <w:rsid w:val="008C6626"/>
    <w:rsid w:val="008C6664"/>
    <w:rsid w:val="008C66A7"/>
    <w:rsid w:val="008C6FF2"/>
    <w:rsid w:val="008C7288"/>
    <w:rsid w:val="008C7750"/>
    <w:rsid w:val="008C7CAD"/>
    <w:rsid w:val="008C7DE5"/>
    <w:rsid w:val="008C7F04"/>
    <w:rsid w:val="008D0204"/>
    <w:rsid w:val="008D042D"/>
    <w:rsid w:val="008D0570"/>
    <w:rsid w:val="008D0C6E"/>
    <w:rsid w:val="008D28D0"/>
    <w:rsid w:val="008D2F06"/>
    <w:rsid w:val="008D3054"/>
    <w:rsid w:val="008D4453"/>
    <w:rsid w:val="008D46FF"/>
    <w:rsid w:val="008D472A"/>
    <w:rsid w:val="008D48E4"/>
    <w:rsid w:val="008D4936"/>
    <w:rsid w:val="008D4DB9"/>
    <w:rsid w:val="008D581B"/>
    <w:rsid w:val="008D5FA4"/>
    <w:rsid w:val="008D6112"/>
    <w:rsid w:val="008D6E27"/>
    <w:rsid w:val="008D7446"/>
    <w:rsid w:val="008D74A3"/>
    <w:rsid w:val="008D778B"/>
    <w:rsid w:val="008E008A"/>
    <w:rsid w:val="008E047E"/>
    <w:rsid w:val="008E077D"/>
    <w:rsid w:val="008E0F4C"/>
    <w:rsid w:val="008E1C33"/>
    <w:rsid w:val="008E1C58"/>
    <w:rsid w:val="008E1DF3"/>
    <w:rsid w:val="008E25AB"/>
    <w:rsid w:val="008E2BC6"/>
    <w:rsid w:val="008E2ECF"/>
    <w:rsid w:val="008E3EA6"/>
    <w:rsid w:val="008E43C4"/>
    <w:rsid w:val="008E4A83"/>
    <w:rsid w:val="008E4F29"/>
    <w:rsid w:val="008E5059"/>
    <w:rsid w:val="008E5CA3"/>
    <w:rsid w:val="008E6BD3"/>
    <w:rsid w:val="008E7475"/>
    <w:rsid w:val="008E7C04"/>
    <w:rsid w:val="008E7F2A"/>
    <w:rsid w:val="008E7F6B"/>
    <w:rsid w:val="008F01A3"/>
    <w:rsid w:val="008F022C"/>
    <w:rsid w:val="008F0562"/>
    <w:rsid w:val="008F0B03"/>
    <w:rsid w:val="008F111F"/>
    <w:rsid w:val="008F17A2"/>
    <w:rsid w:val="008F1FA1"/>
    <w:rsid w:val="008F23C8"/>
    <w:rsid w:val="008F277A"/>
    <w:rsid w:val="008F39A9"/>
    <w:rsid w:val="008F3B1A"/>
    <w:rsid w:val="008F4495"/>
    <w:rsid w:val="008F48F3"/>
    <w:rsid w:val="008F4A9F"/>
    <w:rsid w:val="008F53C4"/>
    <w:rsid w:val="008F54EF"/>
    <w:rsid w:val="008F576E"/>
    <w:rsid w:val="008F58AA"/>
    <w:rsid w:val="008F5CE5"/>
    <w:rsid w:val="008F5D30"/>
    <w:rsid w:val="008F666B"/>
    <w:rsid w:val="008F6A4C"/>
    <w:rsid w:val="008F6B9E"/>
    <w:rsid w:val="008F6C9E"/>
    <w:rsid w:val="008F6FF5"/>
    <w:rsid w:val="008F7979"/>
    <w:rsid w:val="00900564"/>
    <w:rsid w:val="00901147"/>
    <w:rsid w:val="00901441"/>
    <w:rsid w:val="00901DD5"/>
    <w:rsid w:val="00901E21"/>
    <w:rsid w:val="00902438"/>
    <w:rsid w:val="00902B79"/>
    <w:rsid w:val="00902E86"/>
    <w:rsid w:val="00903806"/>
    <w:rsid w:val="0090473F"/>
    <w:rsid w:val="0090602D"/>
    <w:rsid w:val="009078A3"/>
    <w:rsid w:val="009078E3"/>
    <w:rsid w:val="00907EF8"/>
    <w:rsid w:val="00910207"/>
    <w:rsid w:val="0091073D"/>
    <w:rsid w:val="0091081A"/>
    <w:rsid w:val="00910B31"/>
    <w:rsid w:val="00911D28"/>
    <w:rsid w:val="0091227A"/>
    <w:rsid w:val="00912635"/>
    <w:rsid w:val="00912DAB"/>
    <w:rsid w:val="00913343"/>
    <w:rsid w:val="009133B9"/>
    <w:rsid w:val="009136CF"/>
    <w:rsid w:val="00914986"/>
    <w:rsid w:val="00914D24"/>
    <w:rsid w:val="00914EDA"/>
    <w:rsid w:val="0091511A"/>
    <w:rsid w:val="00915297"/>
    <w:rsid w:val="0091537F"/>
    <w:rsid w:val="009161D8"/>
    <w:rsid w:val="0091679A"/>
    <w:rsid w:val="00916B37"/>
    <w:rsid w:val="00917E7D"/>
    <w:rsid w:val="00917FF2"/>
    <w:rsid w:val="009201AF"/>
    <w:rsid w:val="00920954"/>
    <w:rsid w:val="00920A76"/>
    <w:rsid w:val="00920C2F"/>
    <w:rsid w:val="00920C40"/>
    <w:rsid w:val="00921329"/>
    <w:rsid w:val="009217FD"/>
    <w:rsid w:val="00921A85"/>
    <w:rsid w:val="00921E53"/>
    <w:rsid w:val="00921E8E"/>
    <w:rsid w:val="00922063"/>
    <w:rsid w:val="00922856"/>
    <w:rsid w:val="009237F1"/>
    <w:rsid w:val="009237FF"/>
    <w:rsid w:val="00923CFC"/>
    <w:rsid w:val="00923FE7"/>
    <w:rsid w:val="009253CF"/>
    <w:rsid w:val="00925803"/>
    <w:rsid w:val="009262D6"/>
    <w:rsid w:val="00926389"/>
    <w:rsid w:val="00926786"/>
    <w:rsid w:val="00926B05"/>
    <w:rsid w:val="00927212"/>
    <w:rsid w:val="00927A2B"/>
    <w:rsid w:val="00927F21"/>
    <w:rsid w:val="009307E5"/>
    <w:rsid w:val="00931271"/>
    <w:rsid w:val="009318C1"/>
    <w:rsid w:val="00931A0F"/>
    <w:rsid w:val="00931AF8"/>
    <w:rsid w:val="00931F5F"/>
    <w:rsid w:val="009320BD"/>
    <w:rsid w:val="009324DF"/>
    <w:rsid w:val="00932DAC"/>
    <w:rsid w:val="00933300"/>
    <w:rsid w:val="00933F0D"/>
    <w:rsid w:val="0093439D"/>
    <w:rsid w:val="00934C11"/>
    <w:rsid w:val="00934D10"/>
    <w:rsid w:val="00934FAD"/>
    <w:rsid w:val="009355EF"/>
    <w:rsid w:val="00936316"/>
    <w:rsid w:val="00936597"/>
    <w:rsid w:val="00936630"/>
    <w:rsid w:val="009368EA"/>
    <w:rsid w:val="009368ED"/>
    <w:rsid w:val="00937F96"/>
    <w:rsid w:val="0094100C"/>
    <w:rsid w:val="009413EA"/>
    <w:rsid w:val="00941BAB"/>
    <w:rsid w:val="00941D67"/>
    <w:rsid w:val="009422AF"/>
    <w:rsid w:val="00942A43"/>
    <w:rsid w:val="00942FDC"/>
    <w:rsid w:val="00943574"/>
    <w:rsid w:val="0094363A"/>
    <w:rsid w:val="009442CD"/>
    <w:rsid w:val="00944A7F"/>
    <w:rsid w:val="009460DF"/>
    <w:rsid w:val="009469A8"/>
    <w:rsid w:val="00946D28"/>
    <w:rsid w:val="0094723D"/>
    <w:rsid w:val="00950B20"/>
    <w:rsid w:val="00950B7D"/>
    <w:rsid w:val="00950F32"/>
    <w:rsid w:val="00951476"/>
    <w:rsid w:val="00951575"/>
    <w:rsid w:val="00953651"/>
    <w:rsid w:val="00953F66"/>
    <w:rsid w:val="00954A49"/>
    <w:rsid w:val="00954DB0"/>
    <w:rsid w:val="00955C48"/>
    <w:rsid w:val="00955E60"/>
    <w:rsid w:val="0095704D"/>
    <w:rsid w:val="009572C8"/>
    <w:rsid w:val="009575F6"/>
    <w:rsid w:val="00960266"/>
    <w:rsid w:val="00960420"/>
    <w:rsid w:val="009606A5"/>
    <w:rsid w:val="0096091F"/>
    <w:rsid w:val="00961140"/>
    <w:rsid w:val="00961147"/>
    <w:rsid w:val="009611AB"/>
    <w:rsid w:val="0096146B"/>
    <w:rsid w:val="0096168A"/>
    <w:rsid w:val="00961B3A"/>
    <w:rsid w:val="009620D1"/>
    <w:rsid w:val="00962F69"/>
    <w:rsid w:val="00963022"/>
    <w:rsid w:val="00964454"/>
    <w:rsid w:val="00964C96"/>
    <w:rsid w:val="00964F42"/>
    <w:rsid w:val="009651BC"/>
    <w:rsid w:val="009655F7"/>
    <w:rsid w:val="00965E7C"/>
    <w:rsid w:val="009661BD"/>
    <w:rsid w:val="0097017A"/>
    <w:rsid w:val="00970C28"/>
    <w:rsid w:val="009711D3"/>
    <w:rsid w:val="00971788"/>
    <w:rsid w:val="009726D5"/>
    <w:rsid w:val="00972C9C"/>
    <w:rsid w:val="00972E98"/>
    <w:rsid w:val="009734AE"/>
    <w:rsid w:val="009735EB"/>
    <w:rsid w:val="0097488C"/>
    <w:rsid w:val="0097537C"/>
    <w:rsid w:val="009755B2"/>
    <w:rsid w:val="00975BFC"/>
    <w:rsid w:val="00976DE3"/>
    <w:rsid w:val="00977089"/>
    <w:rsid w:val="009770C9"/>
    <w:rsid w:val="00977251"/>
    <w:rsid w:val="0097766F"/>
    <w:rsid w:val="0098096E"/>
    <w:rsid w:val="00980ACC"/>
    <w:rsid w:val="00980B2A"/>
    <w:rsid w:val="009811FD"/>
    <w:rsid w:val="009819E9"/>
    <w:rsid w:val="00981B70"/>
    <w:rsid w:val="00981DCE"/>
    <w:rsid w:val="00982865"/>
    <w:rsid w:val="00982CF0"/>
    <w:rsid w:val="0098353F"/>
    <w:rsid w:val="00983B16"/>
    <w:rsid w:val="00983C6E"/>
    <w:rsid w:val="00983D94"/>
    <w:rsid w:val="009847EB"/>
    <w:rsid w:val="009851E4"/>
    <w:rsid w:val="00985A3E"/>
    <w:rsid w:val="0098678F"/>
    <w:rsid w:val="00986864"/>
    <w:rsid w:val="00986ECC"/>
    <w:rsid w:val="00987C13"/>
    <w:rsid w:val="00990112"/>
    <w:rsid w:val="00990A54"/>
    <w:rsid w:val="00990BC3"/>
    <w:rsid w:val="00990D87"/>
    <w:rsid w:val="009916C5"/>
    <w:rsid w:val="009917E5"/>
    <w:rsid w:val="00991A16"/>
    <w:rsid w:val="00991A56"/>
    <w:rsid w:val="00991CB1"/>
    <w:rsid w:val="0099208F"/>
    <w:rsid w:val="00992354"/>
    <w:rsid w:val="0099298A"/>
    <w:rsid w:val="00992E16"/>
    <w:rsid w:val="00993D93"/>
    <w:rsid w:val="00994732"/>
    <w:rsid w:val="00994BD4"/>
    <w:rsid w:val="0099511F"/>
    <w:rsid w:val="00995A52"/>
    <w:rsid w:val="00995D3B"/>
    <w:rsid w:val="00995F27"/>
    <w:rsid w:val="0099601C"/>
    <w:rsid w:val="009960D3"/>
    <w:rsid w:val="00996327"/>
    <w:rsid w:val="00996675"/>
    <w:rsid w:val="00996D9B"/>
    <w:rsid w:val="009972FF"/>
    <w:rsid w:val="00997DB9"/>
    <w:rsid w:val="009A08E7"/>
    <w:rsid w:val="009A0D41"/>
    <w:rsid w:val="009A11AA"/>
    <w:rsid w:val="009A1A7E"/>
    <w:rsid w:val="009A1F86"/>
    <w:rsid w:val="009A2D02"/>
    <w:rsid w:val="009A33B6"/>
    <w:rsid w:val="009A3512"/>
    <w:rsid w:val="009A3A41"/>
    <w:rsid w:val="009A3D77"/>
    <w:rsid w:val="009A4686"/>
    <w:rsid w:val="009A498D"/>
    <w:rsid w:val="009A4CAB"/>
    <w:rsid w:val="009A4E22"/>
    <w:rsid w:val="009A5487"/>
    <w:rsid w:val="009A557C"/>
    <w:rsid w:val="009A559A"/>
    <w:rsid w:val="009A58DF"/>
    <w:rsid w:val="009A5AF1"/>
    <w:rsid w:val="009A66A6"/>
    <w:rsid w:val="009A6CB0"/>
    <w:rsid w:val="009B0184"/>
    <w:rsid w:val="009B0C86"/>
    <w:rsid w:val="009B126B"/>
    <w:rsid w:val="009B176A"/>
    <w:rsid w:val="009B1EAD"/>
    <w:rsid w:val="009B2258"/>
    <w:rsid w:val="009B412A"/>
    <w:rsid w:val="009B4643"/>
    <w:rsid w:val="009B4D49"/>
    <w:rsid w:val="009B5951"/>
    <w:rsid w:val="009B5B3E"/>
    <w:rsid w:val="009B5C37"/>
    <w:rsid w:val="009B6060"/>
    <w:rsid w:val="009B61E5"/>
    <w:rsid w:val="009B6429"/>
    <w:rsid w:val="009B65F5"/>
    <w:rsid w:val="009B66AB"/>
    <w:rsid w:val="009B6A56"/>
    <w:rsid w:val="009B6B49"/>
    <w:rsid w:val="009B760B"/>
    <w:rsid w:val="009C08BD"/>
    <w:rsid w:val="009C0CCD"/>
    <w:rsid w:val="009C0DD2"/>
    <w:rsid w:val="009C13F2"/>
    <w:rsid w:val="009C14EB"/>
    <w:rsid w:val="009C2693"/>
    <w:rsid w:val="009C35EA"/>
    <w:rsid w:val="009C38F3"/>
    <w:rsid w:val="009C3A4E"/>
    <w:rsid w:val="009C41AB"/>
    <w:rsid w:val="009C48A2"/>
    <w:rsid w:val="009C4D2A"/>
    <w:rsid w:val="009C5850"/>
    <w:rsid w:val="009C5F1E"/>
    <w:rsid w:val="009C6968"/>
    <w:rsid w:val="009C7255"/>
    <w:rsid w:val="009D00A9"/>
    <w:rsid w:val="009D1349"/>
    <w:rsid w:val="009D144C"/>
    <w:rsid w:val="009D1533"/>
    <w:rsid w:val="009D185A"/>
    <w:rsid w:val="009D20AF"/>
    <w:rsid w:val="009D2632"/>
    <w:rsid w:val="009D29B2"/>
    <w:rsid w:val="009D2CFD"/>
    <w:rsid w:val="009D32B5"/>
    <w:rsid w:val="009D34B5"/>
    <w:rsid w:val="009D3DB4"/>
    <w:rsid w:val="009D464A"/>
    <w:rsid w:val="009D486D"/>
    <w:rsid w:val="009D4B5B"/>
    <w:rsid w:val="009D4FE9"/>
    <w:rsid w:val="009D5026"/>
    <w:rsid w:val="009D553D"/>
    <w:rsid w:val="009D5DE5"/>
    <w:rsid w:val="009D66CA"/>
    <w:rsid w:val="009D7470"/>
    <w:rsid w:val="009D75E8"/>
    <w:rsid w:val="009D773D"/>
    <w:rsid w:val="009D780C"/>
    <w:rsid w:val="009D7CAE"/>
    <w:rsid w:val="009E0064"/>
    <w:rsid w:val="009E11EF"/>
    <w:rsid w:val="009E1294"/>
    <w:rsid w:val="009E1864"/>
    <w:rsid w:val="009E1B0C"/>
    <w:rsid w:val="009E1F83"/>
    <w:rsid w:val="009E295B"/>
    <w:rsid w:val="009E2BB1"/>
    <w:rsid w:val="009E2DD8"/>
    <w:rsid w:val="009E2ED1"/>
    <w:rsid w:val="009E3256"/>
    <w:rsid w:val="009E35BF"/>
    <w:rsid w:val="009E3678"/>
    <w:rsid w:val="009E3770"/>
    <w:rsid w:val="009E3DA1"/>
    <w:rsid w:val="009E47FB"/>
    <w:rsid w:val="009E4BBA"/>
    <w:rsid w:val="009E5071"/>
    <w:rsid w:val="009E5AFA"/>
    <w:rsid w:val="009E624C"/>
    <w:rsid w:val="009E6387"/>
    <w:rsid w:val="009E7237"/>
    <w:rsid w:val="009E789F"/>
    <w:rsid w:val="009E7991"/>
    <w:rsid w:val="009E7B6F"/>
    <w:rsid w:val="009F0637"/>
    <w:rsid w:val="009F0FA7"/>
    <w:rsid w:val="009F1C0C"/>
    <w:rsid w:val="009F2946"/>
    <w:rsid w:val="009F2FEC"/>
    <w:rsid w:val="009F3E70"/>
    <w:rsid w:val="009F4AFD"/>
    <w:rsid w:val="009F5B11"/>
    <w:rsid w:val="009F5B68"/>
    <w:rsid w:val="009F5E66"/>
    <w:rsid w:val="009F6166"/>
    <w:rsid w:val="009F621F"/>
    <w:rsid w:val="009F7985"/>
    <w:rsid w:val="009F7A90"/>
    <w:rsid w:val="009F7F27"/>
    <w:rsid w:val="00A0028F"/>
    <w:rsid w:val="00A002D3"/>
    <w:rsid w:val="00A00466"/>
    <w:rsid w:val="00A00C24"/>
    <w:rsid w:val="00A01BC0"/>
    <w:rsid w:val="00A01C63"/>
    <w:rsid w:val="00A02AC4"/>
    <w:rsid w:val="00A02E2F"/>
    <w:rsid w:val="00A02EEE"/>
    <w:rsid w:val="00A03280"/>
    <w:rsid w:val="00A03622"/>
    <w:rsid w:val="00A03D12"/>
    <w:rsid w:val="00A04072"/>
    <w:rsid w:val="00A041F8"/>
    <w:rsid w:val="00A04DF2"/>
    <w:rsid w:val="00A0507F"/>
    <w:rsid w:val="00A0511D"/>
    <w:rsid w:val="00A053DC"/>
    <w:rsid w:val="00A056C6"/>
    <w:rsid w:val="00A058A3"/>
    <w:rsid w:val="00A05E7D"/>
    <w:rsid w:val="00A06615"/>
    <w:rsid w:val="00A067AF"/>
    <w:rsid w:val="00A07D79"/>
    <w:rsid w:val="00A104AF"/>
    <w:rsid w:val="00A1110B"/>
    <w:rsid w:val="00A12444"/>
    <w:rsid w:val="00A12736"/>
    <w:rsid w:val="00A127D5"/>
    <w:rsid w:val="00A12F31"/>
    <w:rsid w:val="00A1318F"/>
    <w:rsid w:val="00A13257"/>
    <w:rsid w:val="00A13AD7"/>
    <w:rsid w:val="00A148DC"/>
    <w:rsid w:val="00A14A74"/>
    <w:rsid w:val="00A14BF6"/>
    <w:rsid w:val="00A14D73"/>
    <w:rsid w:val="00A15145"/>
    <w:rsid w:val="00A156C0"/>
    <w:rsid w:val="00A157E5"/>
    <w:rsid w:val="00A15A28"/>
    <w:rsid w:val="00A164AD"/>
    <w:rsid w:val="00A1660A"/>
    <w:rsid w:val="00A166EB"/>
    <w:rsid w:val="00A16ADB"/>
    <w:rsid w:val="00A16B31"/>
    <w:rsid w:val="00A16D80"/>
    <w:rsid w:val="00A20043"/>
    <w:rsid w:val="00A2049F"/>
    <w:rsid w:val="00A211F0"/>
    <w:rsid w:val="00A21463"/>
    <w:rsid w:val="00A21E15"/>
    <w:rsid w:val="00A22DAC"/>
    <w:rsid w:val="00A232C2"/>
    <w:rsid w:val="00A237A3"/>
    <w:rsid w:val="00A23A39"/>
    <w:rsid w:val="00A23A3D"/>
    <w:rsid w:val="00A23D89"/>
    <w:rsid w:val="00A23F11"/>
    <w:rsid w:val="00A24486"/>
    <w:rsid w:val="00A2453E"/>
    <w:rsid w:val="00A246F5"/>
    <w:rsid w:val="00A259D1"/>
    <w:rsid w:val="00A2664E"/>
    <w:rsid w:val="00A274A5"/>
    <w:rsid w:val="00A27AAA"/>
    <w:rsid w:val="00A3001A"/>
    <w:rsid w:val="00A30AA4"/>
    <w:rsid w:val="00A310BA"/>
    <w:rsid w:val="00A31315"/>
    <w:rsid w:val="00A317A6"/>
    <w:rsid w:val="00A32268"/>
    <w:rsid w:val="00A32713"/>
    <w:rsid w:val="00A32D79"/>
    <w:rsid w:val="00A330A2"/>
    <w:rsid w:val="00A3342F"/>
    <w:rsid w:val="00A335E0"/>
    <w:rsid w:val="00A3366C"/>
    <w:rsid w:val="00A34209"/>
    <w:rsid w:val="00A34395"/>
    <w:rsid w:val="00A34684"/>
    <w:rsid w:val="00A34D8D"/>
    <w:rsid w:val="00A3501F"/>
    <w:rsid w:val="00A3536B"/>
    <w:rsid w:val="00A3605B"/>
    <w:rsid w:val="00A36125"/>
    <w:rsid w:val="00A3618D"/>
    <w:rsid w:val="00A36A94"/>
    <w:rsid w:val="00A36A98"/>
    <w:rsid w:val="00A36CAA"/>
    <w:rsid w:val="00A36CFD"/>
    <w:rsid w:val="00A371B2"/>
    <w:rsid w:val="00A37DD5"/>
    <w:rsid w:val="00A40170"/>
    <w:rsid w:val="00A401DD"/>
    <w:rsid w:val="00A402EC"/>
    <w:rsid w:val="00A4049B"/>
    <w:rsid w:val="00A40D7D"/>
    <w:rsid w:val="00A41088"/>
    <w:rsid w:val="00A4118D"/>
    <w:rsid w:val="00A41449"/>
    <w:rsid w:val="00A414B8"/>
    <w:rsid w:val="00A414FC"/>
    <w:rsid w:val="00A41613"/>
    <w:rsid w:val="00A41ED1"/>
    <w:rsid w:val="00A42293"/>
    <w:rsid w:val="00A42B00"/>
    <w:rsid w:val="00A42F57"/>
    <w:rsid w:val="00A42FD3"/>
    <w:rsid w:val="00A4330B"/>
    <w:rsid w:val="00A434B0"/>
    <w:rsid w:val="00A44017"/>
    <w:rsid w:val="00A4409A"/>
    <w:rsid w:val="00A4513A"/>
    <w:rsid w:val="00A4589A"/>
    <w:rsid w:val="00A458AE"/>
    <w:rsid w:val="00A47816"/>
    <w:rsid w:val="00A47869"/>
    <w:rsid w:val="00A478A9"/>
    <w:rsid w:val="00A47A82"/>
    <w:rsid w:val="00A5000C"/>
    <w:rsid w:val="00A505A4"/>
    <w:rsid w:val="00A51ADB"/>
    <w:rsid w:val="00A5227F"/>
    <w:rsid w:val="00A52371"/>
    <w:rsid w:val="00A52394"/>
    <w:rsid w:val="00A5323B"/>
    <w:rsid w:val="00A53C02"/>
    <w:rsid w:val="00A53C36"/>
    <w:rsid w:val="00A5435A"/>
    <w:rsid w:val="00A54648"/>
    <w:rsid w:val="00A55448"/>
    <w:rsid w:val="00A55504"/>
    <w:rsid w:val="00A567F5"/>
    <w:rsid w:val="00A569C8"/>
    <w:rsid w:val="00A56C89"/>
    <w:rsid w:val="00A573CD"/>
    <w:rsid w:val="00A5762C"/>
    <w:rsid w:val="00A57E39"/>
    <w:rsid w:val="00A607FF"/>
    <w:rsid w:val="00A608D5"/>
    <w:rsid w:val="00A608EE"/>
    <w:rsid w:val="00A60D3A"/>
    <w:rsid w:val="00A60D80"/>
    <w:rsid w:val="00A6132E"/>
    <w:rsid w:val="00A61AB9"/>
    <w:rsid w:val="00A61E61"/>
    <w:rsid w:val="00A62294"/>
    <w:rsid w:val="00A622EE"/>
    <w:rsid w:val="00A62661"/>
    <w:rsid w:val="00A63545"/>
    <w:rsid w:val="00A6415F"/>
    <w:rsid w:val="00A6454A"/>
    <w:rsid w:val="00A6505E"/>
    <w:rsid w:val="00A655DF"/>
    <w:rsid w:val="00A656A5"/>
    <w:rsid w:val="00A65F9C"/>
    <w:rsid w:val="00A666ED"/>
    <w:rsid w:val="00A6686D"/>
    <w:rsid w:val="00A66B45"/>
    <w:rsid w:val="00A6794F"/>
    <w:rsid w:val="00A67A20"/>
    <w:rsid w:val="00A67B00"/>
    <w:rsid w:val="00A70544"/>
    <w:rsid w:val="00A70827"/>
    <w:rsid w:val="00A70F98"/>
    <w:rsid w:val="00A71A0E"/>
    <w:rsid w:val="00A7272E"/>
    <w:rsid w:val="00A73103"/>
    <w:rsid w:val="00A731B7"/>
    <w:rsid w:val="00A7331B"/>
    <w:rsid w:val="00A73357"/>
    <w:rsid w:val="00A7354A"/>
    <w:rsid w:val="00A73624"/>
    <w:rsid w:val="00A7395B"/>
    <w:rsid w:val="00A748E6"/>
    <w:rsid w:val="00A74959"/>
    <w:rsid w:val="00A74EDF"/>
    <w:rsid w:val="00A7530E"/>
    <w:rsid w:val="00A7578D"/>
    <w:rsid w:val="00A75848"/>
    <w:rsid w:val="00A772A7"/>
    <w:rsid w:val="00A77685"/>
    <w:rsid w:val="00A77701"/>
    <w:rsid w:val="00A77CA2"/>
    <w:rsid w:val="00A800CF"/>
    <w:rsid w:val="00A80915"/>
    <w:rsid w:val="00A80F39"/>
    <w:rsid w:val="00A810E5"/>
    <w:rsid w:val="00A814D3"/>
    <w:rsid w:val="00A81729"/>
    <w:rsid w:val="00A81A5C"/>
    <w:rsid w:val="00A82696"/>
    <w:rsid w:val="00A82764"/>
    <w:rsid w:val="00A829EE"/>
    <w:rsid w:val="00A82A46"/>
    <w:rsid w:val="00A83228"/>
    <w:rsid w:val="00A83AE3"/>
    <w:rsid w:val="00A83B0F"/>
    <w:rsid w:val="00A84A88"/>
    <w:rsid w:val="00A85095"/>
    <w:rsid w:val="00A851A5"/>
    <w:rsid w:val="00A85888"/>
    <w:rsid w:val="00A861BC"/>
    <w:rsid w:val="00A8695E"/>
    <w:rsid w:val="00A86C9D"/>
    <w:rsid w:val="00A871D2"/>
    <w:rsid w:val="00A87982"/>
    <w:rsid w:val="00A87998"/>
    <w:rsid w:val="00A87BF1"/>
    <w:rsid w:val="00A90059"/>
    <w:rsid w:val="00A90064"/>
    <w:rsid w:val="00A908C0"/>
    <w:rsid w:val="00A90B88"/>
    <w:rsid w:val="00A90C8C"/>
    <w:rsid w:val="00A91024"/>
    <w:rsid w:val="00A917D2"/>
    <w:rsid w:val="00A921C9"/>
    <w:rsid w:val="00A92470"/>
    <w:rsid w:val="00A92517"/>
    <w:rsid w:val="00A9280A"/>
    <w:rsid w:val="00A92AB1"/>
    <w:rsid w:val="00A93929"/>
    <w:rsid w:val="00A93BDF"/>
    <w:rsid w:val="00A94078"/>
    <w:rsid w:val="00A94C45"/>
    <w:rsid w:val="00A95047"/>
    <w:rsid w:val="00A9535B"/>
    <w:rsid w:val="00A95958"/>
    <w:rsid w:val="00A95DAF"/>
    <w:rsid w:val="00A97989"/>
    <w:rsid w:val="00A97A8F"/>
    <w:rsid w:val="00A97DEE"/>
    <w:rsid w:val="00AA0145"/>
    <w:rsid w:val="00AA039D"/>
    <w:rsid w:val="00AA05CF"/>
    <w:rsid w:val="00AA1048"/>
    <w:rsid w:val="00AA1C71"/>
    <w:rsid w:val="00AA2E5D"/>
    <w:rsid w:val="00AA37BC"/>
    <w:rsid w:val="00AA3BDB"/>
    <w:rsid w:val="00AA3C12"/>
    <w:rsid w:val="00AA3E95"/>
    <w:rsid w:val="00AA464D"/>
    <w:rsid w:val="00AA476B"/>
    <w:rsid w:val="00AA4C69"/>
    <w:rsid w:val="00AA4D05"/>
    <w:rsid w:val="00AA57C0"/>
    <w:rsid w:val="00AA5E4C"/>
    <w:rsid w:val="00AA623E"/>
    <w:rsid w:val="00AA652B"/>
    <w:rsid w:val="00AA6783"/>
    <w:rsid w:val="00AA6DB4"/>
    <w:rsid w:val="00AA7325"/>
    <w:rsid w:val="00AA7790"/>
    <w:rsid w:val="00AA7EE9"/>
    <w:rsid w:val="00AB00A2"/>
    <w:rsid w:val="00AB0112"/>
    <w:rsid w:val="00AB0161"/>
    <w:rsid w:val="00AB0EE3"/>
    <w:rsid w:val="00AB22A5"/>
    <w:rsid w:val="00AB2562"/>
    <w:rsid w:val="00AB26EC"/>
    <w:rsid w:val="00AB296B"/>
    <w:rsid w:val="00AB313F"/>
    <w:rsid w:val="00AB33AE"/>
    <w:rsid w:val="00AB3679"/>
    <w:rsid w:val="00AB367D"/>
    <w:rsid w:val="00AB36F6"/>
    <w:rsid w:val="00AB422D"/>
    <w:rsid w:val="00AB4848"/>
    <w:rsid w:val="00AB493F"/>
    <w:rsid w:val="00AB4D0F"/>
    <w:rsid w:val="00AB4D3F"/>
    <w:rsid w:val="00AB4FAE"/>
    <w:rsid w:val="00AB4FF4"/>
    <w:rsid w:val="00AB598E"/>
    <w:rsid w:val="00AB5A1A"/>
    <w:rsid w:val="00AB5A2A"/>
    <w:rsid w:val="00AB6085"/>
    <w:rsid w:val="00AB6760"/>
    <w:rsid w:val="00AB7840"/>
    <w:rsid w:val="00AB7E27"/>
    <w:rsid w:val="00AB7E37"/>
    <w:rsid w:val="00AB7FEA"/>
    <w:rsid w:val="00AC106B"/>
    <w:rsid w:val="00AC1810"/>
    <w:rsid w:val="00AC181D"/>
    <w:rsid w:val="00AC222D"/>
    <w:rsid w:val="00AC24C0"/>
    <w:rsid w:val="00AC250C"/>
    <w:rsid w:val="00AC26F0"/>
    <w:rsid w:val="00AC2B18"/>
    <w:rsid w:val="00AC41BB"/>
    <w:rsid w:val="00AC46EE"/>
    <w:rsid w:val="00AC4F78"/>
    <w:rsid w:val="00AC53CA"/>
    <w:rsid w:val="00AC564F"/>
    <w:rsid w:val="00AC5908"/>
    <w:rsid w:val="00AC5BF1"/>
    <w:rsid w:val="00AC5D64"/>
    <w:rsid w:val="00AC6CB4"/>
    <w:rsid w:val="00AC76C3"/>
    <w:rsid w:val="00AC7B4F"/>
    <w:rsid w:val="00AD0F73"/>
    <w:rsid w:val="00AD1191"/>
    <w:rsid w:val="00AD13C5"/>
    <w:rsid w:val="00AD14EF"/>
    <w:rsid w:val="00AD277E"/>
    <w:rsid w:val="00AD306B"/>
    <w:rsid w:val="00AD35F9"/>
    <w:rsid w:val="00AD36AB"/>
    <w:rsid w:val="00AD396A"/>
    <w:rsid w:val="00AD4025"/>
    <w:rsid w:val="00AD411C"/>
    <w:rsid w:val="00AD5223"/>
    <w:rsid w:val="00AD573C"/>
    <w:rsid w:val="00AD599E"/>
    <w:rsid w:val="00AD605D"/>
    <w:rsid w:val="00AD68C9"/>
    <w:rsid w:val="00AD6BCE"/>
    <w:rsid w:val="00AD6F41"/>
    <w:rsid w:val="00AD755E"/>
    <w:rsid w:val="00AD76CF"/>
    <w:rsid w:val="00AD7C00"/>
    <w:rsid w:val="00AD7D19"/>
    <w:rsid w:val="00AE0175"/>
    <w:rsid w:val="00AE11AE"/>
    <w:rsid w:val="00AE149C"/>
    <w:rsid w:val="00AE1E1E"/>
    <w:rsid w:val="00AE273A"/>
    <w:rsid w:val="00AE2913"/>
    <w:rsid w:val="00AE3064"/>
    <w:rsid w:val="00AE3D97"/>
    <w:rsid w:val="00AE4D19"/>
    <w:rsid w:val="00AE4ED3"/>
    <w:rsid w:val="00AE534C"/>
    <w:rsid w:val="00AE5862"/>
    <w:rsid w:val="00AE59DC"/>
    <w:rsid w:val="00AE69D3"/>
    <w:rsid w:val="00AE7198"/>
    <w:rsid w:val="00AE7639"/>
    <w:rsid w:val="00AE794F"/>
    <w:rsid w:val="00AF014E"/>
    <w:rsid w:val="00AF0E69"/>
    <w:rsid w:val="00AF10F2"/>
    <w:rsid w:val="00AF1572"/>
    <w:rsid w:val="00AF19F9"/>
    <w:rsid w:val="00AF1C4A"/>
    <w:rsid w:val="00AF21A0"/>
    <w:rsid w:val="00AF245B"/>
    <w:rsid w:val="00AF2564"/>
    <w:rsid w:val="00AF2875"/>
    <w:rsid w:val="00AF2B65"/>
    <w:rsid w:val="00AF3147"/>
    <w:rsid w:val="00AF3168"/>
    <w:rsid w:val="00AF31DA"/>
    <w:rsid w:val="00AF3525"/>
    <w:rsid w:val="00AF3660"/>
    <w:rsid w:val="00AF3865"/>
    <w:rsid w:val="00AF45F6"/>
    <w:rsid w:val="00AF4A3D"/>
    <w:rsid w:val="00AF4D97"/>
    <w:rsid w:val="00AF4F3C"/>
    <w:rsid w:val="00AF5E65"/>
    <w:rsid w:val="00AF6251"/>
    <w:rsid w:val="00AF6928"/>
    <w:rsid w:val="00AF6AD0"/>
    <w:rsid w:val="00AF6CE1"/>
    <w:rsid w:val="00AF7AAF"/>
    <w:rsid w:val="00B001BB"/>
    <w:rsid w:val="00B00EDA"/>
    <w:rsid w:val="00B019E8"/>
    <w:rsid w:val="00B01BBE"/>
    <w:rsid w:val="00B024E1"/>
    <w:rsid w:val="00B028BE"/>
    <w:rsid w:val="00B03496"/>
    <w:rsid w:val="00B03BD8"/>
    <w:rsid w:val="00B040BA"/>
    <w:rsid w:val="00B04432"/>
    <w:rsid w:val="00B0501B"/>
    <w:rsid w:val="00B053AA"/>
    <w:rsid w:val="00B058DE"/>
    <w:rsid w:val="00B05A53"/>
    <w:rsid w:val="00B05CE9"/>
    <w:rsid w:val="00B05EDE"/>
    <w:rsid w:val="00B0669E"/>
    <w:rsid w:val="00B07822"/>
    <w:rsid w:val="00B078A1"/>
    <w:rsid w:val="00B07B8C"/>
    <w:rsid w:val="00B07CD4"/>
    <w:rsid w:val="00B1017C"/>
    <w:rsid w:val="00B107A1"/>
    <w:rsid w:val="00B10BEF"/>
    <w:rsid w:val="00B1123D"/>
    <w:rsid w:val="00B11935"/>
    <w:rsid w:val="00B11A01"/>
    <w:rsid w:val="00B11AF7"/>
    <w:rsid w:val="00B120FF"/>
    <w:rsid w:val="00B1282C"/>
    <w:rsid w:val="00B12C33"/>
    <w:rsid w:val="00B12D6F"/>
    <w:rsid w:val="00B12ED3"/>
    <w:rsid w:val="00B12F0F"/>
    <w:rsid w:val="00B131F4"/>
    <w:rsid w:val="00B14EB9"/>
    <w:rsid w:val="00B14F3B"/>
    <w:rsid w:val="00B155DC"/>
    <w:rsid w:val="00B159FD"/>
    <w:rsid w:val="00B162C6"/>
    <w:rsid w:val="00B16639"/>
    <w:rsid w:val="00B204B4"/>
    <w:rsid w:val="00B205D2"/>
    <w:rsid w:val="00B207D8"/>
    <w:rsid w:val="00B21602"/>
    <w:rsid w:val="00B21C93"/>
    <w:rsid w:val="00B21D29"/>
    <w:rsid w:val="00B23185"/>
    <w:rsid w:val="00B232D3"/>
    <w:rsid w:val="00B23D3B"/>
    <w:rsid w:val="00B23E27"/>
    <w:rsid w:val="00B24C94"/>
    <w:rsid w:val="00B24EFC"/>
    <w:rsid w:val="00B2531B"/>
    <w:rsid w:val="00B25366"/>
    <w:rsid w:val="00B25978"/>
    <w:rsid w:val="00B25E57"/>
    <w:rsid w:val="00B26537"/>
    <w:rsid w:val="00B2663F"/>
    <w:rsid w:val="00B2691F"/>
    <w:rsid w:val="00B27406"/>
    <w:rsid w:val="00B27520"/>
    <w:rsid w:val="00B276BA"/>
    <w:rsid w:val="00B27A63"/>
    <w:rsid w:val="00B30BAB"/>
    <w:rsid w:val="00B30C60"/>
    <w:rsid w:val="00B30CDF"/>
    <w:rsid w:val="00B30D99"/>
    <w:rsid w:val="00B30DEC"/>
    <w:rsid w:val="00B31012"/>
    <w:rsid w:val="00B31126"/>
    <w:rsid w:val="00B31342"/>
    <w:rsid w:val="00B31A55"/>
    <w:rsid w:val="00B324A3"/>
    <w:rsid w:val="00B324BB"/>
    <w:rsid w:val="00B32D76"/>
    <w:rsid w:val="00B33AF8"/>
    <w:rsid w:val="00B33D14"/>
    <w:rsid w:val="00B34305"/>
    <w:rsid w:val="00B362FA"/>
    <w:rsid w:val="00B364CA"/>
    <w:rsid w:val="00B37F93"/>
    <w:rsid w:val="00B40283"/>
    <w:rsid w:val="00B404AA"/>
    <w:rsid w:val="00B40D3D"/>
    <w:rsid w:val="00B4140A"/>
    <w:rsid w:val="00B41543"/>
    <w:rsid w:val="00B419BC"/>
    <w:rsid w:val="00B41E68"/>
    <w:rsid w:val="00B4225A"/>
    <w:rsid w:val="00B42C54"/>
    <w:rsid w:val="00B42C79"/>
    <w:rsid w:val="00B43000"/>
    <w:rsid w:val="00B43012"/>
    <w:rsid w:val="00B4328C"/>
    <w:rsid w:val="00B43508"/>
    <w:rsid w:val="00B4352E"/>
    <w:rsid w:val="00B43BD0"/>
    <w:rsid w:val="00B43C31"/>
    <w:rsid w:val="00B4435E"/>
    <w:rsid w:val="00B446B9"/>
    <w:rsid w:val="00B44ACA"/>
    <w:rsid w:val="00B45CE3"/>
    <w:rsid w:val="00B4610C"/>
    <w:rsid w:val="00B466CC"/>
    <w:rsid w:val="00B46A56"/>
    <w:rsid w:val="00B46C33"/>
    <w:rsid w:val="00B46D9A"/>
    <w:rsid w:val="00B50073"/>
    <w:rsid w:val="00B5086D"/>
    <w:rsid w:val="00B5186E"/>
    <w:rsid w:val="00B51D61"/>
    <w:rsid w:val="00B526F1"/>
    <w:rsid w:val="00B52958"/>
    <w:rsid w:val="00B52E48"/>
    <w:rsid w:val="00B530BE"/>
    <w:rsid w:val="00B5313C"/>
    <w:rsid w:val="00B5338C"/>
    <w:rsid w:val="00B53772"/>
    <w:rsid w:val="00B53BDF"/>
    <w:rsid w:val="00B53D9F"/>
    <w:rsid w:val="00B54C22"/>
    <w:rsid w:val="00B54D85"/>
    <w:rsid w:val="00B554AB"/>
    <w:rsid w:val="00B55744"/>
    <w:rsid w:val="00B55ACD"/>
    <w:rsid w:val="00B55FD8"/>
    <w:rsid w:val="00B5668E"/>
    <w:rsid w:val="00B56BFF"/>
    <w:rsid w:val="00B56CB6"/>
    <w:rsid w:val="00B5783B"/>
    <w:rsid w:val="00B60009"/>
    <w:rsid w:val="00B60C83"/>
    <w:rsid w:val="00B6115A"/>
    <w:rsid w:val="00B61194"/>
    <w:rsid w:val="00B62952"/>
    <w:rsid w:val="00B62CB5"/>
    <w:rsid w:val="00B6318B"/>
    <w:rsid w:val="00B63271"/>
    <w:rsid w:val="00B63B05"/>
    <w:rsid w:val="00B64637"/>
    <w:rsid w:val="00B648A5"/>
    <w:rsid w:val="00B65141"/>
    <w:rsid w:val="00B6527A"/>
    <w:rsid w:val="00B6654C"/>
    <w:rsid w:val="00B6691F"/>
    <w:rsid w:val="00B672A4"/>
    <w:rsid w:val="00B67311"/>
    <w:rsid w:val="00B67514"/>
    <w:rsid w:val="00B675AE"/>
    <w:rsid w:val="00B702D0"/>
    <w:rsid w:val="00B70418"/>
    <w:rsid w:val="00B708AA"/>
    <w:rsid w:val="00B711DF"/>
    <w:rsid w:val="00B712CD"/>
    <w:rsid w:val="00B71EA8"/>
    <w:rsid w:val="00B71EB2"/>
    <w:rsid w:val="00B72D16"/>
    <w:rsid w:val="00B732B9"/>
    <w:rsid w:val="00B74239"/>
    <w:rsid w:val="00B745DE"/>
    <w:rsid w:val="00B750F1"/>
    <w:rsid w:val="00B7558C"/>
    <w:rsid w:val="00B75736"/>
    <w:rsid w:val="00B75944"/>
    <w:rsid w:val="00B765C1"/>
    <w:rsid w:val="00B76DD6"/>
    <w:rsid w:val="00B810E7"/>
    <w:rsid w:val="00B8136A"/>
    <w:rsid w:val="00B81E35"/>
    <w:rsid w:val="00B82C36"/>
    <w:rsid w:val="00B8302E"/>
    <w:rsid w:val="00B8318A"/>
    <w:rsid w:val="00B836FF"/>
    <w:rsid w:val="00B83798"/>
    <w:rsid w:val="00B83912"/>
    <w:rsid w:val="00B83977"/>
    <w:rsid w:val="00B83AA3"/>
    <w:rsid w:val="00B8454B"/>
    <w:rsid w:val="00B8480E"/>
    <w:rsid w:val="00B8495F"/>
    <w:rsid w:val="00B84D62"/>
    <w:rsid w:val="00B84DFE"/>
    <w:rsid w:val="00B853B7"/>
    <w:rsid w:val="00B85885"/>
    <w:rsid w:val="00B858C9"/>
    <w:rsid w:val="00B85AC9"/>
    <w:rsid w:val="00B86AD0"/>
    <w:rsid w:val="00B87827"/>
    <w:rsid w:val="00B87A17"/>
    <w:rsid w:val="00B87A64"/>
    <w:rsid w:val="00B87F42"/>
    <w:rsid w:val="00B908BE"/>
    <w:rsid w:val="00B909F7"/>
    <w:rsid w:val="00B90ADA"/>
    <w:rsid w:val="00B90FDA"/>
    <w:rsid w:val="00B915B6"/>
    <w:rsid w:val="00B91627"/>
    <w:rsid w:val="00B9176E"/>
    <w:rsid w:val="00B919DF"/>
    <w:rsid w:val="00B91AC5"/>
    <w:rsid w:val="00B91F1A"/>
    <w:rsid w:val="00B9220E"/>
    <w:rsid w:val="00B92353"/>
    <w:rsid w:val="00B92C50"/>
    <w:rsid w:val="00B93091"/>
    <w:rsid w:val="00B93290"/>
    <w:rsid w:val="00B939E4"/>
    <w:rsid w:val="00B9480D"/>
    <w:rsid w:val="00B950B7"/>
    <w:rsid w:val="00B950E9"/>
    <w:rsid w:val="00B960C3"/>
    <w:rsid w:val="00B96862"/>
    <w:rsid w:val="00B976C3"/>
    <w:rsid w:val="00B97A82"/>
    <w:rsid w:val="00BA06D5"/>
    <w:rsid w:val="00BA0AE4"/>
    <w:rsid w:val="00BA0CE0"/>
    <w:rsid w:val="00BA0E00"/>
    <w:rsid w:val="00BA0E8B"/>
    <w:rsid w:val="00BA1572"/>
    <w:rsid w:val="00BA15FE"/>
    <w:rsid w:val="00BA16DC"/>
    <w:rsid w:val="00BA265E"/>
    <w:rsid w:val="00BA271D"/>
    <w:rsid w:val="00BA31B2"/>
    <w:rsid w:val="00BA336F"/>
    <w:rsid w:val="00BA557D"/>
    <w:rsid w:val="00BA564A"/>
    <w:rsid w:val="00BA5E17"/>
    <w:rsid w:val="00BA6658"/>
    <w:rsid w:val="00BA67B6"/>
    <w:rsid w:val="00BA7446"/>
    <w:rsid w:val="00BA747F"/>
    <w:rsid w:val="00BA7D91"/>
    <w:rsid w:val="00BB01D5"/>
    <w:rsid w:val="00BB087F"/>
    <w:rsid w:val="00BB0C2A"/>
    <w:rsid w:val="00BB1135"/>
    <w:rsid w:val="00BB1251"/>
    <w:rsid w:val="00BB1A18"/>
    <w:rsid w:val="00BB1F01"/>
    <w:rsid w:val="00BB2039"/>
    <w:rsid w:val="00BB3342"/>
    <w:rsid w:val="00BB3444"/>
    <w:rsid w:val="00BB3A68"/>
    <w:rsid w:val="00BB3A80"/>
    <w:rsid w:val="00BB3AE4"/>
    <w:rsid w:val="00BB442E"/>
    <w:rsid w:val="00BB5001"/>
    <w:rsid w:val="00BB56EF"/>
    <w:rsid w:val="00BB64E3"/>
    <w:rsid w:val="00BB7BFC"/>
    <w:rsid w:val="00BB7E24"/>
    <w:rsid w:val="00BC0097"/>
    <w:rsid w:val="00BC09B9"/>
    <w:rsid w:val="00BC2476"/>
    <w:rsid w:val="00BC3830"/>
    <w:rsid w:val="00BC3A6A"/>
    <w:rsid w:val="00BC3AB1"/>
    <w:rsid w:val="00BC3D32"/>
    <w:rsid w:val="00BC402D"/>
    <w:rsid w:val="00BC41DF"/>
    <w:rsid w:val="00BC44D7"/>
    <w:rsid w:val="00BC52F8"/>
    <w:rsid w:val="00BC5564"/>
    <w:rsid w:val="00BC55DF"/>
    <w:rsid w:val="00BC56AF"/>
    <w:rsid w:val="00BC5AD3"/>
    <w:rsid w:val="00BC5D39"/>
    <w:rsid w:val="00BC60CE"/>
    <w:rsid w:val="00BC6147"/>
    <w:rsid w:val="00BC6609"/>
    <w:rsid w:val="00BC727A"/>
    <w:rsid w:val="00BC72AC"/>
    <w:rsid w:val="00BC72FD"/>
    <w:rsid w:val="00BC790C"/>
    <w:rsid w:val="00BD0860"/>
    <w:rsid w:val="00BD0E9D"/>
    <w:rsid w:val="00BD26B1"/>
    <w:rsid w:val="00BD29B4"/>
    <w:rsid w:val="00BD2F81"/>
    <w:rsid w:val="00BD358D"/>
    <w:rsid w:val="00BD3796"/>
    <w:rsid w:val="00BD41F3"/>
    <w:rsid w:val="00BD47CF"/>
    <w:rsid w:val="00BD4D7D"/>
    <w:rsid w:val="00BD5CFF"/>
    <w:rsid w:val="00BD660D"/>
    <w:rsid w:val="00BD6835"/>
    <w:rsid w:val="00BD6E13"/>
    <w:rsid w:val="00BD72E8"/>
    <w:rsid w:val="00BD735E"/>
    <w:rsid w:val="00BD7798"/>
    <w:rsid w:val="00BD7DBD"/>
    <w:rsid w:val="00BE01C5"/>
    <w:rsid w:val="00BE0921"/>
    <w:rsid w:val="00BE0A0D"/>
    <w:rsid w:val="00BE0B23"/>
    <w:rsid w:val="00BE11BE"/>
    <w:rsid w:val="00BE171B"/>
    <w:rsid w:val="00BE172D"/>
    <w:rsid w:val="00BE19D1"/>
    <w:rsid w:val="00BE1FA8"/>
    <w:rsid w:val="00BE2229"/>
    <w:rsid w:val="00BE3103"/>
    <w:rsid w:val="00BE3249"/>
    <w:rsid w:val="00BE3501"/>
    <w:rsid w:val="00BE3A19"/>
    <w:rsid w:val="00BE4B1A"/>
    <w:rsid w:val="00BE5078"/>
    <w:rsid w:val="00BE53B6"/>
    <w:rsid w:val="00BE56A5"/>
    <w:rsid w:val="00BE5BA1"/>
    <w:rsid w:val="00BE5FC5"/>
    <w:rsid w:val="00BE6388"/>
    <w:rsid w:val="00BE6524"/>
    <w:rsid w:val="00BE6536"/>
    <w:rsid w:val="00BE6B46"/>
    <w:rsid w:val="00BE7DFF"/>
    <w:rsid w:val="00BE7F30"/>
    <w:rsid w:val="00BF0546"/>
    <w:rsid w:val="00BF1810"/>
    <w:rsid w:val="00BF1F42"/>
    <w:rsid w:val="00BF2528"/>
    <w:rsid w:val="00BF28C1"/>
    <w:rsid w:val="00BF2D86"/>
    <w:rsid w:val="00BF321F"/>
    <w:rsid w:val="00BF35A7"/>
    <w:rsid w:val="00BF36D3"/>
    <w:rsid w:val="00BF36E0"/>
    <w:rsid w:val="00BF3D2C"/>
    <w:rsid w:val="00BF4083"/>
    <w:rsid w:val="00BF4484"/>
    <w:rsid w:val="00BF48A2"/>
    <w:rsid w:val="00BF4D57"/>
    <w:rsid w:val="00BF641E"/>
    <w:rsid w:val="00BF72FA"/>
    <w:rsid w:val="00BF7543"/>
    <w:rsid w:val="00BF7553"/>
    <w:rsid w:val="00C00276"/>
    <w:rsid w:val="00C00515"/>
    <w:rsid w:val="00C011FB"/>
    <w:rsid w:val="00C02319"/>
    <w:rsid w:val="00C02512"/>
    <w:rsid w:val="00C02DD9"/>
    <w:rsid w:val="00C03B3B"/>
    <w:rsid w:val="00C03C88"/>
    <w:rsid w:val="00C03D9D"/>
    <w:rsid w:val="00C03DBD"/>
    <w:rsid w:val="00C04642"/>
    <w:rsid w:val="00C0491D"/>
    <w:rsid w:val="00C049B4"/>
    <w:rsid w:val="00C04F0D"/>
    <w:rsid w:val="00C05145"/>
    <w:rsid w:val="00C051BB"/>
    <w:rsid w:val="00C056E8"/>
    <w:rsid w:val="00C05D08"/>
    <w:rsid w:val="00C06173"/>
    <w:rsid w:val="00C06285"/>
    <w:rsid w:val="00C062BC"/>
    <w:rsid w:val="00C064DD"/>
    <w:rsid w:val="00C07A4B"/>
    <w:rsid w:val="00C07FE5"/>
    <w:rsid w:val="00C1008E"/>
    <w:rsid w:val="00C10469"/>
    <w:rsid w:val="00C10951"/>
    <w:rsid w:val="00C111A4"/>
    <w:rsid w:val="00C111BE"/>
    <w:rsid w:val="00C116F0"/>
    <w:rsid w:val="00C11D79"/>
    <w:rsid w:val="00C122A6"/>
    <w:rsid w:val="00C1256C"/>
    <w:rsid w:val="00C126E3"/>
    <w:rsid w:val="00C12E0B"/>
    <w:rsid w:val="00C137FE"/>
    <w:rsid w:val="00C13B09"/>
    <w:rsid w:val="00C1483D"/>
    <w:rsid w:val="00C14A94"/>
    <w:rsid w:val="00C151F2"/>
    <w:rsid w:val="00C15204"/>
    <w:rsid w:val="00C15ED9"/>
    <w:rsid w:val="00C161A7"/>
    <w:rsid w:val="00C16B84"/>
    <w:rsid w:val="00C16BCF"/>
    <w:rsid w:val="00C1717A"/>
    <w:rsid w:val="00C173BC"/>
    <w:rsid w:val="00C1788C"/>
    <w:rsid w:val="00C17CFA"/>
    <w:rsid w:val="00C21477"/>
    <w:rsid w:val="00C22C70"/>
    <w:rsid w:val="00C23322"/>
    <w:rsid w:val="00C23589"/>
    <w:rsid w:val="00C236B2"/>
    <w:rsid w:val="00C23CEB"/>
    <w:rsid w:val="00C23D0C"/>
    <w:rsid w:val="00C2603F"/>
    <w:rsid w:val="00C260B2"/>
    <w:rsid w:val="00C268E7"/>
    <w:rsid w:val="00C26F98"/>
    <w:rsid w:val="00C2724E"/>
    <w:rsid w:val="00C301DC"/>
    <w:rsid w:val="00C30219"/>
    <w:rsid w:val="00C303B7"/>
    <w:rsid w:val="00C3082B"/>
    <w:rsid w:val="00C31776"/>
    <w:rsid w:val="00C31C41"/>
    <w:rsid w:val="00C31C82"/>
    <w:rsid w:val="00C33B9A"/>
    <w:rsid w:val="00C3436F"/>
    <w:rsid w:val="00C349F9"/>
    <w:rsid w:val="00C34D96"/>
    <w:rsid w:val="00C34E72"/>
    <w:rsid w:val="00C358FF"/>
    <w:rsid w:val="00C365EF"/>
    <w:rsid w:val="00C36B10"/>
    <w:rsid w:val="00C378FC"/>
    <w:rsid w:val="00C37D37"/>
    <w:rsid w:val="00C37E01"/>
    <w:rsid w:val="00C37E87"/>
    <w:rsid w:val="00C40098"/>
    <w:rsid w:val="00C41E21"/>
    <w:rsid w:val="00C41F18"/>
    <w:rsid w:val="00C41F30"/>
    <w:rsid w:val="00C424DD"/>
    <w:rsid w:val="00C42693"/>
    <w:rsid w:val="00C42910"/>
    <w:rsid w:val="00C43898"/>
    <w:rsid w:val="00C445CB"/>
    <w:rsid w:val="00C446CA"/>
    <w:rsid w:val="00C44A88"/>
    <w:rsid w:val="00C44D8B"/>
    <w:rsid w:val="00C452AE"/>
    <w:rsid w:val="00C457CD"/>
    <w:rsid w:val="00C46D9B"/>
    <w:rsid w:val="00C46F9E"/>
    <w:rsid w:val="00C4775D"/>
    <w:rsid w:val="00C479C5"/>
    <w:rsid w:val="00C47A35"/>
    <w:rsid w:val="00C47CB2"/>
    <w:rsid w:val="00C50B12"/>
    <w:rsid w:val="00C50B4D"/>
    <w:rsid w:val="00C50D95"/>
    <w:rsid w:val="00C51C32"/>
    <w:rsid w:val="00C51EF3"/>
    <w:rsid w:val="00C52226"/>
    <w:rsid w:val="00C523DC"/>
    <w:rsid w:val="00C526DF"/>
    <w:rsid w:val="00C53808"/>
    <w:rsid w:val="00C53A9F"/>
    <w:rsid w:val="00C53E1C"/>
    <w:rsid w:val="00C54EEC"/>
    <w:rsid w:val="00C557E5"/>
    <w:rsid w:val="00C559BF"/>
    <w:rsid w:val="00C56E6E"/>
    <w:rsid w:val="00C5767F"/>
    <w:rsid w:val="00C57A9D"/>
    <w:rsid w:val="00C6004A"/>
    <w:rsid w:val="00C60280"/>
    <w:rsid w:val="00C6109C"/>
    <w:rsid w:val="00C6255E"/>
    <w:rsid w:val="00C62561"/>
    <w:rsid w:val="00C6267D"/>
    <w:rsid w:val="00C62780"/>
    <w:rsid w:val="00C629B9"/>
    <w:rsid w:val="00C637E8"/>
    <w:rsid w:val="00C638C7"/>
    <w:rsid w:val="00C63A66"/>
    <w:rsid w:val="00C64360"/>
    <w:rsid w:val="00C64B6A"/>
    <w:rsid w:val="00C65813"/>
    <w:rsid w:val="00C65897"/>
    <w:rsid w:val="00C65C48"/>
    <w:rsid w:val="00C65FF6"/>
    <w:rsid w:val="00C6609B"/>
    <w:rsid w:val="00C66316"/>
    <w:rsid w:val="00C663A9"/>
    <w:rsid w:val="00C678B0"/>
    <w:rsid w:val="00C7061E"/>
    <w:rsid w:val="00C71011"/>
    <w:rsid w:val="00C7121B"/>
    <w:rsid w:val="00C71637"/>
    <w:rsid w:val="00C716CF"/>
    <w:rsid w:val="00C71B01"/>
    <w:rsid w:val="00C71E9E"/>
    <w:rsid w:val="00C71EB5"/>
    <w:rsid w:val="00C71FDD"/>
    <w:rsid w:val="00C7282F"/>
    <w:rsid w:val="00C73AB1"/>
    <w:rsid w:val="00C73EEA"/>
    <w:rsid w:val="00C74054"/>
    <w:rsid w:val="00C74945"/>
    <w:rsid w:val="00C75363"/>
    <w:rsid w:val="00C75FDD"/>
    <w:rsid w:val="00C763E0"/>
    <w:rsid w:val="00C769C3"/>
    <w:rsid w:val="00C77230"/>
    <w:rsid w:val="00C772BB"/>
    <w:rsid w:val="00C77549"/>
    <w:rsid w:val="00C7765F"/>
    <w:rsid w:val="00C808DE"/>
    <w:rsid w:val="00C80CAB"/>
    <w:rsid w:val="00C81467"/>
    <w:rsid w:val="00C81A53"/>
    <w:rsid w:val="00C81A83"/>
    <w:rsid w:val="00C81EAC"/>
    <w:rsid w:val="00C82077"/>
    <w:rsid w:val="00C830BD"/>
    <w:rsid w:val="00C84092"/>
    <w:rsid w:val="00C8455C"/>
    <w:rsid w:val="00C84D69"/>
    <w:rsid w:val="00C8517B"/>
    <w:rsid w:val="00C85200"/>
    <w:rsid w:val="00C85430"/>
    <w:rsid w:val="00C85974"/>
    <w:rsid w:val="00C860C7"/>
    <w:rsid w:val="00C860F8"/>
    <w:rsid w:val="00C86418"/>
    <w:rsid w:val="00C868F9"/>
    <w:rsid w:val="00C870ED"/>
    <w:rsid w:val="00C8722F"/>
    <w:rsid w:val="00C8735D"/>
    <w:rsid w:val="00C87892"/>
    <w:rsid w:val="00C878DA"/>
    <w:rsid w:val="00C90631"/>
    <w:rsid w:val="00C91047"/>
    <w:rsid w:val="00C9136F"/>
    <w:rsid w:val="00C91FF7"/>
    <w:rsid w:val="00C92389"/>
    <w:rsid w:val="00C92745"/>
    <w:rsid w:val="00C92F57"/>
    <w:rsid w:val="00C9322C"/>
    <w:rsid w:val="00C9371E"/>
    <w:rsid w:val="00C9386A"/>
    <w:rsid w:val="00C944D8"/>
    <w:rsid w:val="00C94DC4"/>
    <w:rsid w:val="00C94DD6"/>
    <w:rsid w:val="00C95130"/>
    <w:rsid w:val="00C95312"/>
    <w:rsid w:val="00C955E3"/>
    <w:rsid w:val="00C956D1"/>
    <w:rsid w:val="00C95A39"/>
    <w:rsid w:val="00C95C75"/>
    <w:rsid w:val="00C95FEE"/>
    <w:rsid w:val="00C97524"/>
    <w:rsid w:val="00C979CD"/>
    <w:rsid w:val="00C97F2A"/>
    <w:rsid w:val="00CA072A"/>
    <w:rsid w:val="00CA0FCE"/>
    <w:rsid w:val="00CA18EE"/>
    <w:rsid w:val="00CA285B"/>
    <w:rsid w:val="00CA2A7A"/>
    <w:rsid w:val="00CA32BF"/>
    <w:rsid w:val="00CA33F7"/>
    <w:rsid w:val="00CA34BC"/>
    <w:rsid w:val="00CA456F"/>
    <w:rsid w:val="00CA46A3"/>
    <w:rsid w:val="00CA4BBC"/>
    <w:rsid w:val="00CA5222"/>
    <w:rsid w:val="00CA5544"/>
    <w:rsid w:val="00CA5B68"/>
    <w:rsid w:val="00CA5C07"/>
    <w:rsid w:val="00CA5FF0"/>
    <w:rsid w:val="00CA6457"/>
    <w:rsid w:val="00CA6A1B"/>
    <w:rsid w:val="00CA7513"/>
    <w:rsid w:val="00CA76C5"/>
    <w:rsid w:val="00CA79A1"/>
    <w:rsid w:val="00CA79F5"/>
    <w:rsid w:val="00CB003E"/>
    <w:rsid w:val="00CB017A"/>
    <w:rsid w:val="00CB02A3"/>
    <w:rsid w:val="00CB0DCE"/>
    <w:rsid w:val="00CB0E48"/>
    <w:rsid w:val="00CB1784"/>
    <w:rsid w:val="00CB1E13"/>
    <w:rsid w:val="00CB2105"/>
    <w:rsid w:val="00CB225F"/>
    <w:rsid w:val="00CB2CD3"/>
    <w:rsid w:val="00CB2F38"/>
    <w:rsid w:val="00CB36AB"/>
    <w:rsid w:val="00CB40BD"/>
    <w:rsid w:val="00CB424C"/>
    <w:rsid w:val="00CB4805"/>
    <w:rsid w:val="00CB4E13"/>
    <w:rsid w:val="00CB4E39"/>
    <w:rsid w:val="00CB4EDC"/>
    <w:rsid w:val="00CB5235"/>
    <w:rsid w:val="00CB66AA"/>
    <w:rsid w:val="00CB6F14"/>
    <w:rsid w:val="00CB6F61"/>
    <w:rsid w:val="00CB799E"/>
    <w:rsid w:val="00CB7B1B"/>
    <w:rsid w:val="00CC0595"/>
    <w:rsid w:val="00CC0BBA"/>
    <w:rsid w:val="00CC1027"/>
    <w:rsid w:val="00CC1391"/>
    <w:rsid w:val="00CC16E8"/>
    <w:rsid w:val="00CC1DD0"/>
    <w:rsid w:val="00CC245F"/>
    <w:rsid w:val="00CC25CE"/>
    <w:rsid w:val="00CC2981"/>
    <w:rsid w:val="00CC2A82"/>
    <w:rsid w:val="00CC37D4"/>
    <w:rsid w:val="00CC3E29"/>
    <w:rsid w:val="00CC4097"/>
    <w:rsid w:val="00CC4526"/>
    <w:rsid w:val="00CC4742"/>
    <w:rsid w:val="00CC4FCC"/>
    <w:rsid w:val="00CC5014"/>
    <w:rsid w:val="00CC52DB"/>
    <w:rsid w:val="00CC54AF"/>
    <w:rsid w:val="00CC5BD4"/>
    <w:rsid w:val="00CC653F"/>
    <w:rsid w:val="00CC75C5"/>
    <w:rsid w:val="00CC7E73"/>
    <w:rsid w:val="00CD03D4"/>
    <w:rsid w:val="00CD16A7"/>
    <w:rsid w:val="00CD1DC9"/>
    <w:rsid w:val="00CD2048"/>
    <w:rsid w:val="00CD2744"/>
    <w:rsid w:val="00CD2DEC"/>
    <w:rsid w:val="00CD3649"/>
    <w:rsid w:val="00CD37E0"/>
    <w:rsid w:val="00CD388D"/>
    <w:rsid w:val="00CD3E15"/>
    <w:rsid w:val="00CD4101"/>
    <w:rsid w:val="00CD4226"/>
    <w:rsid w:val="00CD4501"/>
    <w:rsid w:val="00CD4549"/>
    <w:rsid w:val="00CD460C"/>
    <w:rsid w:val="00CD47AA"/>
    <w:rsid w:val="00CD4972"/>
    <w:rsid w:val="00CD4E34"/>
    <w:rsid w:val="00CD4FDC"/>
    <w:rsid w:val="00CD5021"/>
    <w:rsid w:val="00CD58F0"/>
    <w:rsid w:val="00CD5BC2"/>
    <w:rsid w:val="00CD5C2F"/>
    <w:rsid w:val="00CD6159"/>
    <w:rsid w:val="00CD6356"/>
    <w:rsid w:val="00CD73EC"/>
    <w:rsid w:val="00CD7423"/>
    <w:rsid w:val="00CD7665"/>
    <w:rsid w:val="00CD79D6"/>
    <w:rsid w:val="00CD7F9B"/>
    <w:rsid w:val="00CE08C8"/>
    <w:rsid w:val="00CE094D"/>
    <w:rsid w:val="00CE0C58"/>
    <w:rsid w:val="00CE10C1"/>
    <w:rsid w:val="00CE1BB5"/>
    <w:rsid w:val="00CE1EB7"/>
    <w:rsid w:val="00CE2755"/>
    <w:rsid w:val="00CE2A29"/>
    <w:rsid w:val="00CE2AA7"/>
    <w:rsid w:val="00CE2CEA"/>
    <w:rsid w:val="00CE30ED"/>
    <w:rsid w:val="00CE3871"/>
    <w:rsid w:val="00CE3A71"/>
    <w:rsid w:val="00CE3ABA"/>
    <w:rsid w:val="00CE3C65"/>
    <w:rsid w:val="00CE3D50"/>
    <w:rsid w:val="00CE3F6B"/>
    <w:rsid w:val="00CE40D6"/>
    <w:rsid w:val="00CE4822"/>
    <w:rsid w:val="00CE4A94"/>
    <w:rsid w:val="00CE5016"/>
    <w:rsid w:val="00CE5379"/>
    <w:rsid w:val="00CE564B"/>
    <w:rsid w:val="00CE5B86"/>
    <w:rsid w:val="00CE5D78"/>
    <w:rsid w:val="00CE5E75"/>
    <w:rsid w:val="00CE5F6B"/>
    <w:rsid w:val="00CE6097"/>
    <w:rsid w:val="00CE6747"/>
    <w:rsid w:val="00CE6973"/>
    <w:rsid w:val="00CE6C1A"/>
    <w:rsid w:val="00CE6D08"/>
    <w:rsid w:val="00CE6D7A"/>
    <w:rsid w:val="00CE6E11"/>
    <w:rsid w:val="00CE702A"/>
    <w:rsid w:val="00CE7B81"/>
    <w:rsid w:val="00CF02E8"/>
    <w:rsid w:val="00CF0361"/>
    <w:rsid w:val="00CF0974"/>
    <w:rsid w:val="00CF0ADB"/>
    <w:rsid w:val="00CF0B6E"/>
    <w:rsid w:val="00CF106D"/>
    <w:rsid w:val="00CF1257"/>
    <w:rsid w:val="00CF1893"/>
    <w:rsid w:val="00CF18B8"/>
    <w:rsid w:val="00CF1B14"/>
    <w:rsid w:val="00CF1C73"/>
    <w:rsid w:val="00CF20A8"/>
    <w:rsid w:val="00CF28ED"/>
    <w:rsid w:val="00CF3117"/>
    <w:rsid w:val="00CF3811"/>
    <w:rsid w:val="00CF3ABF"/>
    <w:rsid w:val="00CF40E4"/>
    <w:rsid w:val="00CF45AA"/>
    <w:rsid w:val="00CF46F8"/>
    <w:rsid w:val="00CF4B47"/>
    <w:rsid w:val="00CF4ECE"/>
    <w:rsid w:val="00CF51D3"/>
    <w:rsid w:val="00CF5354"/>
    <w:rsid w:val="00CF629E"/>
    <w:rsid w:val="00CF6998"/>
    <w:rsid w:val="00CF6EF3"/>
    <w:rsid w:val="00CF731A"/>
    <w:rsid w:val="00CF75D3"/>
    <w:rsid w:val="00CF770F"/>
    <w:rsid w:val="00CF7F7D"/>
    <w:rsid w:val="00D015A3"/>
    <w:rsid w:val="00D0164A"/>
    <w:rsid w:val="00D01EDF"/>
    <w:rsid w:val="00D02117"/>
    <w:rsid w:val="00D03235"/>
    <w:rsid w:val="00D034BC"/>
    <w:rsid w:val="00D04A17"/>
    <w:rsid w:val="00D04B3B"/>
    <w:rsid w:val="00D05160"/>
    <w:rsid w:val="00D05733"/>
    <w:rsid w:val="00D05997"/>
    <w:rsid w:val="00D05BC4"/>
    <w:rsid w:val="00D06686"/>
    <w:rsid w:val="00D06FD1"/>
    <w:rsid w:val="00D07798"/>
    <w:rsid w:val="00D07973"/>
    <w:rsid w:val="00D07DEA"/>
    <w:rsid w:val="00D105FB"/>
    <w:rsid w:val="00D112C6"/>
    <w:rsid w:val="00D11460"/>
    <w:rsid w:val="00D11A88"/>
    <w:rsid w:val="00D11AEC"/>
    <w:rsid w:val="00D1232F"/>
    <w:rsid w:val="00D12486"/>
    <w:rsid w:val="00D12738"/>
    <w:rsid w:val="00D12DE4"/>
    <w:rsid w:val="00D13509"/>
    <w:rsid w:val="00D13969"/>
    <w:rsid w:val="00D144CE"/>
    <w:rsid w:val="00D14B06"/>
    <w:rsid w:val="00D1528B"/>
    <w:rsid w:val="00D15670"/>
    <w:rsid w:val="00D15FE2"/>
    <w:rsid w:val="00D16D33"/>
    <w:rsid w:val="00D16E9F"/>
    <w:rsid w:val="00D172E0"/>
    <w:rsid w:val="00D17B84"/>
    <w:rsid w:val="00D17D60"/>
    <w:rsid w:val="00D20858"/>
    <w:rsid w:val="00D20953"/>
    <w:rsid w:val="00D21A72"/>
    <w:rsid w:val="00D21BE0"/>
    <w:rsid w:val="00D21D0D"/>
    <w:rsid w:val="00D226D7"/>
    <w:rsid w:val="00D22E35"/>
    <w:rsid w:val="00D231EB"/>
    <w:rsid w:val="00D23744"/>
    <w:rsid w:val="00D23CF7"/>
    <w:rsid w:val="00D2464D"/>
    <w:rsid w:val="00D249C2"/>
    <w:rsid w:val="00D24A82"/>
    <w:rsid w:val="00D250AD"/>
    <w:rsid w:val="00D250DA"/>
    <w:rsid w:val="00D25940"/>
    <w:rsid w:val="00D26D71"/>
    <w:rsid w:val="00D26F25"/>
    <w:rsid w:val="00D276F2"/>
    <w:rsid w:val="00D27789"/>
    <w:rsid w:val="00D27BCB"/>
    <w:rsid w:val="00D3000A"/>
    <w:rsid w:val="00D304ED"/>
    <w:rsid w:val="00D310CB"/>
    <w:rsid w:val="00D31749"/>
    <w:rsid w:val="00D31B48"/>
    <w:rsid w:val="00D3208B"/>
    <w:rsid w:val="00D320BB"/>
    <w:rsid w:val="00D328FC"/>
    <w:rsid w:val="00D32CFA"/>
    <w:rsid w:val="00D3313F"/>
    <w:rsid w:val="00D33E1E"/>
    <w:rsid w:val="00D35B3F"/>
    <w:rsid w:val="00D36077"/>
    <w:rsid w:val="00D36338"/>
    <w:rsid w:val="00D36652"/>
    <w:rsid w:val="00D36672"/>
    <w:rsid w:val="00D36B88"/>
    <w:rsid w:val="00D36C90"/>
    <w:rsid w:val="00D379C7"/>
    <w:rsid w:val="00D40260"/>
    <w:rsid w:val="00D402B3"/>
    <w:rsid w:val="00D4079C"/>
    <w:rsid w:val="00D40B0C"/>
    <w:rsid w:val="00D40DE8"/>
    <w:rsid w:val="00D40E3D"/>
    <w:rsid w:val="00D41195"/>
    <w:rsid w:val="00D41EAD"/>
    <w:rsid w:val="00D42707"/>
    <w:rsid w:val="00D42FB0"/>
    <w:rsid w:val="00D43DFE"/>
    <w:rsid w:val="00D444CA"/>
    <w:rsid w:val="00D44F5E"/>
    <w:rsid w:val="00D4592E"/>
    <w:rsid w:val="00D45A97"/>
    <w:rsid w:val="00D45F24"/>
    <w:rsid w:val="00D46713"/>
    <w:rsid w:val="00D46B97"/>
    <w:rsid w:val="00D46C68"/>
    <w:rsid w:val="00D46CC8"/>
    <w:rsid w:val="00D46D57"/>
    <w:rsid w:val="00D46F45"/>
    <w:rsid w:val="00D470F4"/>
    <w:rsid w:val="00D47552"/>
    <w:rsid w:val="00D476DA"/>
    <w:rsid w:val="00D47D3D"/>
    <w:rsid w:val="00D47EC9"/>
    <w:rsid w:val="00D505EB"/>
    <w:rsid w:val="00D50843"/>
    <w:rsid w:val="00D51E83"/>
    <w:rsid w:val="00D51F55"/>
    <w:rsid w:val="00D520E5"/>
    <w:rsid w:val="00D527A1"/>
    <w:rsid w:val="00D52A82"/>
    <w:rsid w:val="00D52C70"/>
    <w:rsid w:val="00D52C89"/>
    <w:rsid w:val="00D52E20"/>
    <w:rsid w:val="00D5367C"/>
    <w:rsid w:val="00D53E87"/>
    <w:rsid w:val="00D5418A"/>
    <w:rsid w:val="00D5520B"/>
    <w:rsid w:val="00D552DD"/>
    <w:rsid w:val="00D555FE"/>
    <w:rsid w:val="00D5572D"/>
    <w:rsid w:val="00D55B7A"/>
    <w:rsid w:val="00D5621A"/>
    <w:rsid w:val="00D576CD"/>
    <w:rsid w:val="00D57734"/>
    <w:rsid w:val="00D577B1"/>
    <w:rsid w:val="00D60696"/>
    <w:rsid w:val="00D60A05"/>
    <w:rsid w:val="00D61045"/>
    <w:rsid w:val="00D61D27"/>
    <w:rsid w:val="00D62214"/>
    <w:rsid w:val="00D62CA9"/>
    <w:rsid w:val="00D62F10"/>
    <w:rsid w:val="00D63186"/>
    <w:rsid w:val="00D634C3"/>
    <w:rsid w:val="00D6352B"/>
    <w:rsid w:val="00D63576"/>
    <w:rsid w:val="00D6426B"/>
    <w:rsid w:val="00D645CC"/>
    <w:rsid w:val="00D645D9"/>
    <w:rsid w:val="00D64C47"/>
    <w:rsid w:val="00D64E01"/>
    <w:rsid w:val="00D65404"/>
    <w:rsid w:val="00D65413"/>
    <w:rsid w:val="00D65A97"/>
    <w:rsid w:val="00D66155"/>
    <w:rsid w:val="00D6651E"/>
    <w:rsid w:val="00D66BAA"/>
    <w:rsid w:val="00D673A5"/>
    <w:rsid w:val="00D6799D"/>
    <w:rsid w:val="00D70327"/>
    <w:rsid w:val="00D70A5C"/>
    <w:rsid w:val="00D70B93"/>
    <w:rsid w:val="00D71101"/>
    <w:rsid w:val="00D71705"/>
    <w:rsid w:val="00D72C70"/>
    <w:rsid w:val="00D72C75"/>
    <w:rsid w:val="00D732D1"/>
    <w:rsid w:val="00D73308"/>
    <w:rsid w:val="00D73B7D"/>
    <w:rsid w:val="00D757A2"/>
    <w:rsid w:val="00D765E3"/>
    <w:rsid w:val="00D769C3"/>
    <w:rsid w:val="00D7758E"/>
    <w:rsid w:val="00D77DC0"/>
    <w:rsid w:val="00D800ED"/>
    <w:rsid w:val="00D8036A"/>
    <w:rsid w:val="00D80662"/>
    <w:rsid w:val="00D8106E"/>
    <w:rsid w:val="00D8156E"/>
    <w:rsid w:val="00D838F4"/>
    <w:rsid w:val="00D83D82"/>
    <w:rsid w:val="00D846D5"/>
    <w:rsid w:val="00D85815"/>
    <w:rsid w:val="00D85AAB"/>
    <w:rsid w:val="00D85EE8"/>
    <w:rsid w:val="00D85F18"/>
    <w:rsid w:val="00D86073"/>
    <w:rsid w:val="00D86209"/>
    <w:rsid w:val="00D8699F"/>
    <w:rsid w:val="00D86DA3"/>
    <w:rsid w:val="00D86DAC"/>
    <w:rsid w:val="00D87319"/>
    <w:rsid w:val="00D87881"/>
    <w:rsid w:val="00D879BC"/>
    <w:rsid w:val="00D87C06"/>
    <w:rsid w:val="00D87CE3"/>
    <w:rsid w:val="00D908A3"/>
    <w:rsid w:val="00D90E63"/>
    <w:rsid w:val="00D913DF"/>
    <w:rsid w:val="00D9164D"/>
    <w:rsid w:val="00D916DF"/>
    <w:rsid w:val="00D91785"/>
    <w:rsid w:val="00D91C99"/>
    <w:rsid w:val="00D9229E"/>
    <w:rsid w:val="00D922D4"/>
    <w:rsid w:val="00D92B75"/>
    <w:rsid w:val="00D943F0"/>
    <w:rsid w:val="00D948A9"/>
    <w:rsid w:val="00D94B3C"/>
    <w:rsid w:val="00D94E06"/>
    <w:rsid w:val="00D958BE"/>
    <w:rsid w:val="00D960AF"/>
    <w:rsid w:val="00D9690A"/>
    <w:rsid w:val="00D96966"/>
    <w:rsid w:val="00D970D9"/>
    <w:rsid w:val="00D973FB"/>
    <w:rsid w:val="00D976BA"/>
    <w:rsid w:val="00D97EFE"/>
    <w:rsid w:val="00D97F36"/>
    <w:rsid w:val="00DA0A36"/>
    <w:rsid w:val="00DA0B63"/>
    <w:rsid w:val="00DA0D01"/>
    <w:rsid w:val="00DA0D15"/>
    <w:rsid w:val="00DA0EFE"/>
    <w:rsid w:val="00DA1683"/>
    <w:rsid w:val="00DA1A16"/>
    <w:rsid w:val="00DA2BA2"/>
    <w:rsid w:val="00DA3026"/>
    <w:rsid w:val="00DA3534"/>
    <w:rsid w:val="00DA3ABE"/>
    <w:rsid w:val="00DA40B0"/>
    <w:rsid w:val="00DA4714"/>
    <w:rsid w:val="00DA509C"/>
    <w:rsid w:val="00DA541F"/>
    <w:rsid w:val="00DA5790"/>
    <w:rsid w:val="00DA5C85"/>
    <w:rsid w:val="00DA5E5A"/>
    <w:rsid w:val="00DA6384"/>
    <w:rsid w:val="00DA70CF"/>
    <w:rsid w:val="00DA72C0"/>
    <w:rsid w:val="00DA7E80"/>
    <w:rsid w:val="00DB048C"/>
    <w:rsid w:val="00DB1288"/>
    <w:rsid w:val="00DB2130"/>
    <w:rsid w:val="00DB28B7"/>
    <w:rsid w:val="00DB2F2A"/>
    <w:rsid w:val="00DB33F5"/>
    <w:rsid w:val="00DB384E"/>
    <w:rsid w:val="00DB391A"/>
    <w:rsid w:val="00DB45CE"/>
    <w:rsid w:val="00DB4707"/>
    <w:rsid w:val="00DB482C"/>
    <w:rsid w:val="00DB49A8"/>
    <w:rsid w:val="00DB4E98"/>
    <w:rsid w:val="00DB5505"/>
    <w:rsid w:val="00DB58D9"/>
    <w:rsid w:val="00DB5B7E"/>
    <w:rsid w:val="00DB7A01"/>
    <w:rsid w:val="00DB7AB1"/>
    <w:rsid w:val="00DC0078"/>
    <w:rsid w:val="00DC066D"/>
    <w:rsid w:val="00DC081C"/>
    <w:rsid w:val="00DC099E"/>
    <w:rsid w:val="00DC0B1D"/>
    <w:rsid w:val="00DC1459"/>
    <w:rsid w:val="00DC15CC"/>
    <w:rsid w:val="00DC2003"/>
    <w:rsid w:val="00DC2239"/>
    <w:rsid w:val="00DC26B8"/>
    <w:rsid w:val="00DC2A2F"/>
    <w:rsid w:val="00DC2EC8"/>
    <w:rsid w:val="00DC3317"/>
    <w:rsid w:val="00DC3EA1"/>
    <w:rsid w:val="00DC4846"/>
    <w:rsid w:val="00DC4E71"/>
    <w:rsid w:val="00DC4F79"/>
    <w:rsid w:val="00DC53A4"/>
    <w:rsid w:val="00DC6B09"/>
    <w:rsid w:val="00DC6C69"/>
    <w:rsid w:val="00DC6EC4"/>
    <w:rsid w:val="00DC6F9C"/>
    <w:rsid w:val="00DC792E"/>
    <w:rsid w:val="00DC79CA"/>
    <w:rsid w:val="00DC7F8D"/>
    <w:rsid w:val="00DD05A4"/>
    <w:rsid w:val="00DD09CB"/>
    <w:rsid w:val="00DD135E"/>
    <w:rsid w:val="00DD159C"/>
    <w:rsid w:val="00DD1616"/>
    <w:rsid w:val="00DD1BC1"/>
    <w:rsid w:val="00DD2451"/>
    <w:rsid w:val="00DD2CE1"/>
    <w:rsid w:val="00DD2F22"/>
    <w:rsid w:val="00DD394C"/>
    <w:rsid w:val="00DD47C0"/>
    <w:rsid w:val="00DD4A56"/>
    <w:rsid w:val="00DD4F4D"/>
    <w:rsid w:val="00DD53B2"/>
    <w:rsid w:val="00DD629C"/>
    <w:rsid w:val="00DD6789"/>
    <w:rsid w:val="00DD7395"/>
    <w:rsid w:val="00DD7830"/>
    <w:rsid w:val="00DD7C7F"/>
    <w:rsid w:val="00DE00FD"/>
    <w:rsid w:val="00DE02C8"/>
    <w:rsid w:val="00DE0410"/>
    <w:rsid w:val="00DE0E45"/>
    <w:rsid w:val="00DE195F"/>
    <w:rsid w:val="00DE1B12"/>
    <w:rsid w:val="00DE2B77"/>
    <w:rsid w:val="00DE2D3D"/>
    <w:rsid w:val="00DE2DCF"/>
    <w:rsid w:val="00DE36D3"/>
    <w:rsid w:val="00DE3995"/>
    <w:rsid w:val="00DE3A8B"/>
    <w:rsid w:val="00DE3F5A"/>
    <w:rsid w:val="00DE3FF4"/>
    <w:rsid w:val="00DE4078"/>
    <w:rsid w:val="00DE5569"/>
    <w:rsid w:val="00DE5B1E"/>
    <w:rsid w:val="00DE6638"/>
    <w:rsid w:val="00DE6CC5"/>
    <w:rsid w:val="00DE786F"/>
    <w:rsid w:val="00DE7946"/>
    <w:rsid w:val="00DF0038"/>
    <w:rsid w:val="00DF05A3"/>
    <w:rsid w:val="00DF0777"/>
    <w:rsid w:val="00DF0E2D"/>
    <w:rsid w:val="00DF1240"/>
    <w:rsid w:val="00DF16CE"/>
    <w:rsid w:val="00DF1759"/>
    <w:rsid w:val="00DF1CC6"/>
    <w:rsid w:val="00DF1E63"/>
    <w:rsid w:val="00DF222D"/>
    <w:rsid w:val="00DF25C6"/>
    <w:rsid w:val="00DF2A7A"/>
    <w:rsid w:val="00DF3E7C"/>
    <w:rsid w:val="00DF3F48"/>
    <w:rsid w:val="00DF4D55"/>
    <w:rsid w:val="00DF4DE7"/>
    <w:rsid w:val="00DF4FFF"/>
    <w:rsid w:val="00DF52EB"/>
    <w:rsid w:val="00DF5A40"/>
    <w:rsid w:val="00DF5F8B"/>
    <w:rsid w:val="00DF66DE"/>
    <w:rsid w:val="00DF6729"/>
    <w:rsid w:val="00DF6748"/>
    <w:rsid w:val="00DF6ED5"/>
    <w:rsid w:val="00DF7DC6"/>
    <w:rsid w:val="00E001B5"/>
    <w:rsid w:val="00E0070B"/>
    <w:rsid w:val="00E00AC0"/>
    <w:rsid w:val="00E00F1E"/>
    <w:rsid w:val="00E01740"/>
    <w:rsid w:val="00E01BC3"/>
    <w:rsid w:val="00E023B0"/>
    <w:rsid w:val="00E02A22"/>
    <w:rsid w:val="00E02A51"/>
    <w:rsid w:val="00E02B0D"/>
    <w:rsid w:val="00E02E55"/>
    <w:rsid w:val="00E030AB"/>
    <w:rsid w:val="00E03181"/>
    <w:rsid w:val="00E033BE"/>
    <w:rsid w:val="00E03D47"/>
    <w:rsid w:val="00E04637"/>
    <w:rsid w:val="00E04643"/>
    <w:rsid w:val="00E0488F"/>
    <w:rsid w:val="00E0561A"/>
    <w:rsid w:val="00E0567F"/>
    <w:rsid w:val="00E058BC"/>
    <w:rsid w:val="00E05B5C"/>
    <w:rsid w:val="00E05D50"/>
    <w:rsid w:val="00E0603E"/>
    <w:rsid w:val="00E06227"/>
    <w:rsid w:val="00E06477"/>
    <w:rsid w:val="00E06D93"/>
    <w:rsid w:val="00E07CE9"/>
    <w:rsid w:val="00E105EE"/>
    <w:rsid w:val="00E10977"/>
    <w:rsid w:val="00E10E68"/>
    <w:rsid w:val="00E119DD"/>
    <w:rsid w:val="00E12C2A"/>
    <w:rsid w:val="00E12CAD"/>
    <w:rsid w:val="00E12D83"/>
    <w:rsid w:val="00E13823"/>
    <w:rsid w:val="00E139DE"/>
    <w:rsid w:val="00E14C1A"/>
    <w:rsid w:val="00E160DA"/>
    <w:rsid w:val="00E1725A"/>
    <w:rsid w:val="00E17E3C"/>
    <w:rsid w:val="00E20399"/>
    <w:rsid w:val="00E20A50"/>
    <w:rsid w:val="00E215F1"/>
    <w:rsid w:val="00E21772"/>
    <w:rsid w:val="00E22053"/>
    <w:rsid w:val="00E226DE"/>
    <w:rsid w:val="00E22BB0"/>
    <w:rsid w:val="00E23373"/>
    <w:rsid w:val="00E2356B"/>
    <w:rsid w:val="00E23DF7"/>
    <w:rsid w:val="00E23EBE"/>
    <w:rsid w:val="00E24490"/>
    <w:rsid w:val="00E2468B"/>
    <w:rsid w:val="00E24928"/>
    <w:rsid w:val="00E25589"/>
    <w:rsid w:val="00E25EC9"/>
    <w:rsid w:val="00E25F75"/>
    <w:rsid w:val="00E263DB"/>
    <w:rsid w:val="00E2675D"/>
    <w:rsid w:val="00E26B6F"/>
    <w:rsid w:val="00E26C45"/>
    <w:rsid w:val="00E27001"/>
    <w:rsid w:val="00E27245"/>
    <w:rsid w:val="00E275F8"/>
    <w:rsid w:val="00E276DA"/>
    <w:rsid w:val="00E276FE"/>
    <w:rsid w:val="00E2798B"/>
    <w:rsid w:val="00E27B48"/>
    <w:rsid w:val="00E304A0"/>
    <w:rsid w:val="00E30D6C"/>
    <w:rsid w:val="00E312C9"/>
    <w:rsid w:val="00E31FBB"/>
    <w:rsid w:val="00E32869"/>
    <w:rsid w:val="00E32E8A"/>
    <w:rsid w:val="00E334FD"/>
    <w:rsid w:val="00E34035"/>
    <w:rsid w:val="00E348F0"/>
    <w:rsid w:val="00E34B57"/>
    <w:rsid w:val="00E35A31"/>
    <w:rsid w:val="00E35E05"/>
    <w:rsid w:val="00E35F46"/>
    <w:rsid w:val="00E366A9"/>
    <w:rsid w:val="00E36D06"/>
    <w:rsid w:val="00E36EC3"/>
    <w:rsid w:val="00E374FB"/>
    <w:rsid w:val="00E3761F"/>
    <w:rsid w:val="00E37C32"/>
    <w:rsid w:val="00E40263"/>
    <w:rsid w:val="00E40AA4"/>
    <w:rsid w:val="00E40ACC"/>
    <w:rsid w:val="00E422FA"/>
    <w:rsid w:val="00E4260A"/>
    <w:rsid w:val="00E42961"/>
    <w:rsid w:val="00E434BA"/>
    <w:rsid w:val="00E449B8"/>
    <w:rsid w:val="00E44E24"/>
    <w:rsid w:val="00E45497"/>
    <w:rsid w:val="00E45A51"/>
    <w:rsid w:val="00E45C2B"/>
    <w:rsid w:val="00E46812"/>
    <w:rsid w:val="00E4697B"/>
    <w:rsid w:val="00E46BEE"/>
    <w:rsid w:val="00E470C8"/>
    <w:rsid w:val="00E4740A"/>
    <w:rsid w:val="00E47646"/>
    <w:rsid w:val="00E47863"/>
    <w:rsid w:val="00E47D60"/>
    <w:rsid w:val="00E500FE"/>
    <w:rsid w:val="00E5107E"/>
    <w:rsid w:val="00E510DB"/>
    <w:rsid w:val="00E5171A"/>
    <w:rsid w:val="00E52645"/>
    <w:rsid w:val="00E5269D"/>
    <w:rsid w:val="00E526A6"/>
    <w:rsid w:val="00E53D83"/>
    <w:rsid w:val="00E53DD5"/>
    <w:rsid w:val="00E541D1"/>
    <w:rsid w:val="00E545A9"/>
    <w:rsid w:val="00E54B4C"/>
    <w:rsid w:val="00E54BF8"/>
    <w:rsid w:val="00E54E65"/>
    <w:rsid w:val="00E55612"/>
    <w:rsid w:val="00E55756"/>
    <w:rsid w:val="00E55C0F"/>
    <w:rsid w:val="00E55C95"/>
    <w:rsid w:val="00E55F3C"/>
    <w:rsid w:val="00E5626A"/>
    <w:rsid w:val="00E5648E"/>
    <w:rsid w:val="00E566CF"/>
    <w:rsid w:val="00E5676C"/>
    <w:rsid w:val="00E5680A"/>
    <w:rsid w:val="00E569F4"/>
    <w:rsid w:val="00E56A68"/>
    <w:rsid w:val="00E57948"/>
    <w:rsid w:val="00E57C24"/>
    <w:rsid w:val="00E60505"/>
    <w:rsid w:val="00E61589"/>
    <w:rsid w:val="00E62EDF"/>
    <w:rsid w:val="00E6366C"/>
    <w:rsid w:val="00E63A50"/>
    <w:rsid w:val="00E63AD6"/>
    <w:rsid w:val="00E63EE7"/>
    <w:rsid w:val="00E64495"/>
    <w:rsid w:val="00E648E7"/>
    <w:rsid w:val="00E64B1A"/>
    <w:rsid w:val="00E64D51"/>
    <w:rsid w:val="00E6543B"/>
    <w:rsid w:val="00E65C40"/>
    <w:rsid w:val="00E65EAC"/>
    <w:rsid w:val="00E66C17"/>
    <w:rsid w:val="00E66F2A"/>
    <w:rsid w:val="00E67CA1"/>
    <w:rsid w:val="00E67E52"/>
    <w:rsid w:val="00E67FFA"/>
    <w:rsid w:val="00E7015C"/>
    <w:rsid w:val="00E702D0"/>
    <w:rsid w:val="00E714E0"/>
    <w:rsid w:val="00E71659"/>
    <w:rsid w:val="00E71A76"/>
    <w:rsid w:val="00E71E3D"/>
    <w:rsid w:val="00E7287D"/>
    <w:rsid w:val="00E72CFF"/>
    <w:rsid w:val="00E72FC8"/>
    <w:rsid w:val="00E73690"/>
    <w:rsid w:val="00E737C5"/>
    <w:rsid w:val="00E73C2C"/>
    <w:rsid w:val="00E73FF0"/>
    <w:rsid w:val="00E7413D"/>
    <w:rsid w:val="00E74207"/>
    <w:rsid w:val="00E75347"/>
    <w:rsid w:val="00E754A8"/>
    <w:rsid w:val="00E76682"/>
    <w:rsid w:val="00E7693D"/>
    <w:rsid w:val="00E77103"/>
    <w:rsid w:val="00E77550"/>
    <w:rsid w:val="00E77990"/>
    <w:rsid w:val="00E77F57"/>
    <w:rsid w:val="00E801FD"/>
    <w:rsid w:val="00E80BF4"/>
    <w:rsid w:val="00E815E0"/>
    <w:rsid w:val="00E8168D"/>
    <w:rsid w:val="00E81C66"/>
    <w:rsid w:val="00E8245A"/>
    <w:rsid w:val="00E82522"/>
    <w:rsid w:val="00E83B03"/>
    <w:rsid w:val="00E848CB"/>
    <w:rsid w:val="00E84F97"/>
    <w:rsid w:val="00E86969"/>
    <w:rsid w:val="00E86994"/>
    <w:rsid w:val="00E86B31"/>
    <w:rsid w:val="00E86D98"/>
    <w:rsid w:val="00E871EA"/>
    <w:rsid w:val="00E900D8"/>
    <w:rsid w:val="00E90568"/>
    <w:rsid w:val="00E90D16"/>
    <w:rsid w:val="00E90F31"/>
    <w:rsid w:val="00E91377"/>
    <w:rsid w:val="00E91B0C"/>
    <w:rsid w:val="00E92A19"/>
    <w:rsid w:val="00E92FBB"/>
    <w:rsid w:val="00E933A7"/>
    <w:rsid w:val="00E938E5"/>
    <w:rsid w:val="00E93FF9"/>
    <w:rsid w:val="00E9468A"/>
    <w:rsid w:val="00E948E9"/>
    <w:rsid w:val="00E94FD6"/>
    <w:rsid w:val="00E9554B"/>
    <w:rsid w:val="00E959D9"/>
    <w:rsid w:val="00E95D67"/>
    <w:rsid w:val="00E95EF4"/>
    <w:rsid w:val="00E9666B"/>
    <w:rsid w:val="00E970B7"/>
    <w:rsid w:val="00E9718E"/>
    <w:rsid w:val="00E97964"/>
    <w:rsid w:val="00EA0313"/>
    <w:rsid w:val="00EA0E9A"/>
    <w:rsid w:val="00EA1B72"/>
    <w:rsid w:val="00EA251D"/>
    <w:rsid w:val="00EA3A58"/>
    <w:rsid w:val="00EA4052"/>
    <w:rsid w:val="00EA4372"/>
    <w:rsid w:val="00EA460E"/>
    <w:rsid w:val="00EA4F69"/>
    <w:rsid w:val="00EA5C64"/>
    <w:rsid w:val="00EA5F9B"/>
    <w:rsid w:val="00EA77DA"/>
    <w:rsid w:val="00EA7D1D"/>
    <w:rsid w:val="00EB078B"/>
    <w:rsid w:val="00EB0E64"/>
    <w:rsid w:val="00EB123D"/>
    <w:rsid w:val="00EB1741"/>
    <w:rsid w:val="00EB1DA2"/>
    <w:rsid w:val="00EB2434"/>
    <w:rsid w:val="00EB3214"/>
    <w:rsid w:val="00EB4E61"/>
    <w:rsid w:val="00EB52E4"/>
    <w:rsid w:val="00EB53AF"/>
    <w:rsid w:val="00EB5918"/>
    <w:rsid w:val="00EB593D"/>
    <w:rsid w:val="00EB5CD8"/>
    <w:rsid w:val="00EB6498"/>
    <w:rsid w:val="00EB64BC"/>
    <w:rsid w:val="00EB6FA2"/>
    <w:rsid w:val="00EB7054"/>
    <w:rsid w:val="00EB79D0"/>
    <w:rsid w:val="00EB7DAC"/>
    <w:rsid w:val="00EC0569"/>
    <w:rsid w:val="00EC0A7B"/>
    <w:rsid w:val="00EC1C6C"/>
    <w:rsid w:val="00EC2CB2"/>
    <w:rsid w:val="00EC2D32"/>
    <w:rsid w:val="00EC3037"/>
    <w:rsid w:val="00EC33D7"/>
    <w:rsid w:val="00EC40A1"/>
    <w:rsid w:val="00EC4BFB"/>
    <w:rsid w:val="00EC536A"/>
    <w:rsid w:val="00EC5FB7"/>
    <w:rsid w:val="00EC683E"/>
    <w:rsid w:val="00EC72E9"/>
    <w:rsid w:val="00EC7EAA"/>
    <w:rsid w:val="00EC7F01"/>
    <w:rsid w:val="00ED026D"/>
    <w:rsid w:val="00ED0866"/>
    <w:rsid w:val="00ED0B55"/>
    <w:rsid w:val="00ED16CB"/>
    <w:rsid w:val="00ED1E6A"/>
    <w:rsid w:val="00ED3579"/>
    <w:rsid w:val="00ED39C4"/>
    <w:rsid w:val="00ED3C13"/>
    <w:rsid w:val="00ED4266"/>
    <w:rsid w:val="00ED43E9"/>
    <w:rsid w:val="00ED4FBA"/>
    <w:rsid w:val="00ED6520"/>
    <w:rsid w:val="00ED6DB6"/>
    <w:rsid w:val="00EE0181"/>
    <w:rsid w:val="00EE0470"/>
    <w:rsid w:val="00EE0C4B"/>
    <w:rsid w:val="00EE0ECB"/>
    <w:rsid w:val="00EE0EF5"/>
    <w:rsid w:val="00EE116E"/>
    <w:rsid w:val="00EE18C0"/>
    <w:rsid w:val="00EE19F1"/>
    <w:rsid w:val="00EE208A"/>
    <w:rsid w:val="00EE20A2"/>
    <w:rsid w:val="00EE2122"/>
    <w:rsid w:val="00EE2516"/>
    <w:rsid w:val="00EE28D7"/>
    <w:rsid w:val="00EE3122"/>
    <w:rsid w:val="00EE33F6"/>
    <w:rsid w:val="00EE3828"/>
    <w:rsid w:val="00EE3F7A"/>
    <w:rsid w:val="00EE43F5"/>
    <w:rsid w:val="00EE456E"/>
    <w:rsid w:val="00EE45AA"/>
    <w:rsid w:val="00EE47FD"/>
    <w:rsid w:val="00EE50CB"/>
    <w:rsid w:val="00EE6554"/>
    <w:rsid w:val="00EE7BB2"/>
    <w:rsid w:val="00EF0127"/>
    <w:rsid w:val="00EF04D1"/>
    <w:rsid w:val="00EF0780"/>
    <w:rsid w:val="00EF12D0"/>
    <w:rsid w:val="00EF1A39"/>
    <w:rsid w:val="00EF1AA2"/>
    <w:rsid w:val="00EF1CF6"/>
    <w:rsid w:val="00EF2C81"/>
    <w:rsid w:val="00EF2CD4"/>
    <w:rsid w:val="00EF2F1D"/>
    <w:rsid w:val="00EF3B7A"/>
    <w:rsid w:val="00EF3F82"/>
    <w:rsid w:val="00EF4493"/>
    <w:rsid w:val="00EF4A6C"/>
    <w:rsid w:val="00EF4A85"/>
    <w:rsid w:val="00EF4F6E"/>
    <w:rsid w:val="00EF508F"/>
    <w:rsid w:val="00EF5A93"/>
    <w:rsid w:val="00EF5EA7"/>
    <w:rsid w:val="00EF6814"/>
    <w:rsid w:val="00EF6BCF"/>
    <w:rsid w:val="00EF7E63"/>
    <w:rsid w:val="00EF7F18"/>
    <w:rsid w:val="00EF7F98"/>
    <w:rsid w:val="00F0071A"/>
    <w:rsid w:val="00F00D9B"/>
    <w:rsid w:val="00F0118C"/>
    <w:rsid w:val="00F016A0"/>
    <w:rsid w:val="00F01963"/>
    <w:rsid w:val="00F0241D"/>
    <w:rsid w:val="00F024D6"/>
    <w:rsid w:val="00F028C3"/>
    <w:rsid w:val="00F02B50"/>
    <w:rsid w:val="00F02C30"/>
    <w:rsid w:val="00F03417"/>
    <w:rsid w:val="00F0360B"/>
    <w:rsid w:val="00F037D2"/>
    <w:rsid w:val="00F03FED"/>
    <w:rsid w:val="00F05755"/>
    <w:rsid w:val="00F059A4"/>
    <w:rsid w:val="00F05EAE"/>
    <w:rsid w:val="00F05FFB"/>
    <w:rsid w:val="00F06BDD"/>
    <w:rsid w:val="00F06E4F"/>
    <w:rsid w:val="00F06ED9"/>
    <w:rsid w:val="00F071B8"/>
    <w:rsid w:val="00F0726A"/>
    <w:rsid w:val="00F07F95"/>
    <w:rsid w:val="00F07FA6"/>
    <w:rsid w:val="00F1014F"/>
    <w:rsid w:val="00F1039B"/>
    <w:rsid w:val="00F107CE"/>
    <w:rsid w:val="00F10CED"/>
    <w:rsid w:val="00F10F2B"/>
    <w:rsid w:val="00F117BE"/>
    <w:rsid w:val="00F117D4"/>
    <w:rsid w:val="00F121D4"/>
    <w:rsid w:val="00F12774"/>
    <w:rsid w:val="00F12E6D"/>
    <w:rsid w:val="00F12F9D"/>
    <w:rsid w:val="00F12FD4"/>
    <w:rsid w:val="00F13370"/>
    <w:rsid w:val="00F1339D"/>
    <w:rsid w:val="00F133AF"/>
    <w:rsid w:val="00F1365F"/>
    <w:rsid w:val="00F13E31"/>
    <w:rsid w:val="00F13F01"/>
    <w:rsid w:val="00F144CE"/>
    <w:rsid w:val="00F14755"/>
    <w:rsid w:val="00F14A48"/>
    <w:rsid w:val="00F15E42"/>
    <w:rsid w:val="00F161F8"/>
    <w:rsid w:val="00F162BE"/>
    <w:rsid w:val="00F16C39"/>
    <w:rsid w:val="00F16CF6"/>
    <w:rsid w:val="00F16E45"/>
    <w:rsid w:val="00F1725E"/>
    <w:rsid w:val="00F17377"/>
    <w:rsid w:val="00F2015E"/>
    <w:rsid w:val="00F20EF1"/>
    <w:rsid w:val="00F212A4"/>
    <w:rsid w:val="00F212B5"/>
    <w:rsid w:val="00F216C3"/>
    <w:rsid w:val="00F21732"/>
    <w:rsid w:val="00F21F28"/>
    <w:rsid w:val="00F22B7E"/>
    <w:rsid w:val="00F23230"/>
    <w:rsid w:val="00F23B6B"/>
    <w:rsid w:val="00F23CC6"/>
    <w:rsid w:val="00F23D66"/>
    <w:rsid w:val="00F23DD5"/>
    <w:rsid w:val="00F240DF"/>
    <w:rsid w:val="00F24849"/>
    <w:rsid w:val="00F248EC"/>
    <w:rsid w:val="00F24B54"/>
    <w:rsid w:val="00F24C99"/>
    <w:rsid w:val="00F24EE8"/>
    <w:rsid w:val="00F251F5"/>
    <w:rsid w:val="00F25229"/>
    <w:rsid w:val="00F258C2"/>
    <w:rsid w:val="00F25BDD"/>
    <w:rsid w:val="00F25C44"/>
    <w:rsid w:val="00F25CFF"/>
    <w:rsid w:val="00F260F7"/>
    <w:rsid w:val="00F262F1"/>
    <w:rsid w:val="00F26377"/>
    <w:rsid w:val="00F263BA"/>
    <w:rsid w:val="00F266EF"/>
    <w:rsid w:val="00F26FB9"/>
    <w:rsid w:val="00F272F4"/>
    <w:rsid w:val="00F277B0"/>
    <w:rsid w:val="00F303C7"/>
    <w:rsid w:val="00F309AF"/>
    <w:rsid w:val="00F30AE6"/>
    <w:rsid w:val="00F30D85"/>
    <w:rsid w:val="00F31598"/>
    <w:rsid w:val="00F31D40"/>
    <w:rsid w:val="00F31E8D"/>
    <w:rsid w:val="00F31F8E"/>
    <w:rsid w:val="00F3275C"/>
    <w:rsid w:val="00F32AA3"/>
    <w:rsid w:val="00F33063"/>
    <w:rsid w:val="00F33295"/>
    <w:rsid w:val="00F33805"/>
    <w:rsid w:val="00F33FBA"/>
    <w:rsid w:val="00F3480E"/>
    <w:rsid w:val="00F34E0F"/>
    <w:rsid w:val="00F34EED"/>
    <w:rsid w:val="00F35933"/>
    <w:rsid w:val="00F361FE"/>
    <w:rsid w:val="00F371AA"/>
    <w:rsid w:val="00F37AB6"/>
    <w:rsid w:val="00F37B95"/>
    <w:rsid w:val="00F37FBF"/>
    <w:rsid w:val="00F4017B"/>
    <w:rsid w:val="00F403E4"/>
    <w:rsid w:val="00F40A7B"/>
    <w:rsid w:val="00F40D44"/>
    <w:rsid w:val="00F415F2"/>
    <w:rsid w:val="00F41638"/>
    <w:rsid w:val="00F42539"/>
    <w:rsid w:val="00F42D6C"/>
    <w:rsid w:val="00F431B6"/>
    <w:rsid w:val="00F432AD"/>
    <w:rsid w:val="00F4356E"/>
    <w:rsid w:val="00F43711"/>
    <w:rsid w:val="00F43BC1"/>
    <w:rsid w:val="00F43E59"/>
    <w:rsid w:val="00F44192"/>
    <w:rsid w:val="00F443D5"/>
    <w:rsid w:val="00F447F8"/>
    <w:rsid w:val="00F44AA5"/>
    <w:rsid w:val="00F44E67"/>
    <w:rsid w:val="00F45149"/>
    <w:rsid w:val="00F45508"/>
    <w:rsid w:val="00F45679"/>
    <w:rsid w:val="00F45D77"/>
    <w:rsid w:val="00F45D81"/>
    <w:rsid w:val="00F46584"/>
    <w:rsid w:val="00F502F6"/>
    <w:rsid w:val="00F508F6"/>
    <w:rsid w:val="00F50E27"/>
    <w:rsid w:val="00F51745"/>
    <w:rsid w:val="00F51EE7"/>
    <w:rsid w:val="00F52394"/>
    <w:rsid w:val="00F527A6"/>
    <w:rsid w:val="00F530D1"/>
    <w:rsid w:val="00F535A5"/>
    <w:rsid w:val="00F538C1"/>
    <w:rsid w:val="00F53B70"/>
    <w:rsid w:val="00F53F26"/>
    <w:rsid w:val="00F5428E"/>
    <w:rsid w:val="00F54730"/>
    <w:rsid w:val="00F54BB9"/>
    <w:rsid w:val="00F54D69"/>
    <w:rsid w:val="00F5554C"/>
    <w:rsid w:val="00F5562D"/>
    <w:rsid w:val="00F56053"/>
    <w:rsid w:val="00F56290"/>
    <w:rsid w:val="00F56588"/>
    <w:rsid w:val="00F57141"/>
    <w:rsid w:val="00F57BD1"/>
    <w:rsid w:val="00F57E14"/>
    <w:rsid w:val="00F57FC0"/>
    <w:rsid w:val="00F608DD"/>
    <w:rsid w:val="00F60A1A"/>
    <w:rsid w:val="00F61297"/>
    <w:rsid w:val="00F6133B"/>
    <w:rsid w:val="00F6171E"/>
    <w:rsid w:val="00F61C66"/>
    <w:rsid w:val="00F62373"/>
    <w:rsid w:val="00F62B55"/>
    <w:rsid w:val="00F62C5C"/>
    <w:rsid w:val="00F6347D"/>
    <w:rsid w:val="00F65255"/>
    <w:rsid w:val="00F65A9F"/>
    <w:rsid w:val="00F65B8A"/>
    <w:rsid w:val="00F6612E"/>
    <w:rsid w:val="00F6652E"/>
    <w:rsid w:val="00F66B7B"/>
    <w:rsid w:val="00F66B84"/>
    <w:rsid w:val="00F66BD9"/>
    <w:rsid w:val="00F66D24"/>
    <w:rsid w:val="00F67473"/>
    <w:rsid w:val="00F675A6"/>
    <w:rsid w:val="00F67EDD"/>
    <w:rsid w:val="00F67F00"/>
    <w:rsid w:val="00F70834"/>
    <w:rsid w:val="00F70A72"/>
    <w:rsid w:val="00F71BCB"/>
    <w:rsid w:val="00F72501"/>
    <w:rsid w:val="00F7251F"/>
    <w:rsid w:val="00F72B3D"/>
    <w:rsid w:val="00F72C40"/>
    <w:rsid w:val="00F734CB"/>
    <w:rsid w:val="00F739CA"/>
    <w:rsid w:val="00F73BBF"/>
    <w:rsid w:val="00F7406C"/>
    <w:rsid w:val="00F74A3F"/>
    <w:rsid w:val="00F74D33"/>
    <w:rsid w:val="00F752DE"/>
    <w:rsid w:val="00F75558"/>
    <w:rsid w:val="00F75669"/>
    <w:rsid w:val="00F75AF4"/>
    <w:rsid w:val="00F76EEC"/>
    <w:rsid w:val="00F77872"/>
    <w:rsid w:val="00F77C19"/>
    <w:rsid w:val="00F77EA9"/>
    <w:rsid w:val="00F800BC"/>
    <w:rsid w:val="00F80EAC"/>
    <w:rsid w:val="00F81774"/>
    <w:rsid w:val="00F81C87"/>
    <w:rsid w:val="00F824E6"/>
    <w:rsid w:val="00F82FA8"/>
    <w:rsid w:val="00F839CC"/>
    <w:rsid w:val="00F83FA9"/>
    <w:rsid w:val="00F8422A"/>
    <w:rsid w:val="00F842B6"/>
    <w:rsid w:val="00F8492D"/>
    <w:rsid w:val="00F851E9"/>
    <w:rsid w:val="00F85752"/>
    <w:rsid w:val="00F8631F"/>
    <w:rsid w:val="00F86DF3"/>
    <w:rsid w:val="00F876B6"/>
    <w:rsid w:val="00F8784B"/>
    <w:rsid w:val="00F87A0D"/>
    <w:rsid w:val="00F9040A"/>
    <w:rsid w:val="00F90693"/>
    <w:rsid w:val="00F906BB"/>
    <w:rsid w:val="00F90E0B"/>
    <w:rsid w:val="00F9215F"/>
    <w:rsid w:val="00F927B4"/>
    <w:rsid w:val="00F934CF"/>
    <w:rsid w:val="00F93A6E"/>
    <w:rsid w:val="00F93AD9"/>
    <w:rsid w:val="00F95FBE"/>
    <w:rsid w:val="00F96AE6"/>
    <w:rsid w:val="00F96AF6"/>
    <w:rsid w:val="00F96F3C"/>
    <w:rsid w:val="00F97502"/>
    <w:rsid w:val="00F97B78"/>
    <w:rsid w:val="00F97DFC"/>
    <w:rsid w:val="00F97F91"/>
    <w:rsid w:val="00FA0F3A"/>
    <w:rsid w:val="00FA1CBB"/>
    <w:rsid w:val="00FA2471"/>
    <w:rsid w:val="00FA29F7"/>
    <w:rsid w:val="00FA2C51"/>
    <w:rsid w:val="00FA2DB5"/>
    <w:rsid w:val="00FA2EC6"/>
    <w:rsid w:val="00FA3622"/>
    <w:rsid w:val="00FA3EB6"/>
    <w:rsid w:val="00FA437B"/>
    <w:rsid w:val="00FA5329"/>
    <w:rsid w:val="00FA5938"/>
    <w:rsid w:val="00FA5E98"/>
    <w:rsid w:val="00FA671F"/>
    <w:rsid w:val="00FA6F3B"/>
    <w:rsid w:val="00FA747E"/>
    <w:rsid w:val="00FA752D"/>
    <w:rsid w:val="00FA7BC7"/>
    <w:rsid w:val="00FA7C09"/>
    <w:rsid w:val="00FA7C9E"/>
    <w:rsid w:val="00FB004E"/>
    <w:rsid w:val="00FB03CC"/>
    <w:rsid w:val="00FB0835"/>
    <w:rsid w:val="00FB1700"/>
    <w:rsid w:val="00FB19BC"/>
    <w:rsid w:val="00FB2061"/>
    <w:rsid w:val="00FB2182"/>
    <w:rsid w:val="00FB2344"/>
    <w:rsid w:val="00FB2522"/>
    <w:rsid w:val="00FB2CB1"/>
    <w:rsid w:val="00FB32EB"/>
    <w:rsid w:val="00FB3894"/>
    <w:rsid w:val="00FB3A8B"/>
    <w:rsid w:val="00FB3A93"/>
    <w:rsid w:val="00FB3DAF"/>
    <w:rsid w:val="00FB3F1C"/>
    <w:rsid w:val="00FB439B"/>
    <w:rsid w:val="00FB460D"/>
    <w:rsid w:val="00FB52CA"/>
    <w:rsid w:val="00FB5F0D"/>
    <w:rsid w:val="00FB6475"/>
    <w:rsid w:val="00FB687C"/>
    <w:rsid w:val="00FB6AC6"/>
    <w:rsid w:val="00FB6BF4"/>
    <w:rsid w:val="00FB6C77"/>
    <w:rsid w:val="00FB730E"/>
    <w:rsid w:val="00FB7444"/>
    <w:rsid w:val="00FB7916"/>
    <w:rsid w:val="00FB7A3A"/>
    <w:rsid w:val="00FB7DAC"/>
    <w:rsid w:val="00FC021A"/>
    <w:rsid w:val="00FC0CE2"/>
    <w:rsid w:val="00FC10C7"/>
    <w:rsid w:val="00FC153B"/>
    <w:rsid w:val="00FC1F34"/>
    <w:rsid w:val="00FC257F"/>
    <w:rsid w:val="00FC27B4"/>
    <w:rsid w:val="00FC3CEE"/>
    <w:rsid w:val="00FC4112"/>
    <w:rsid w:val="00FC4484"/>
    <w:rsid w:val="00FC51C1"/>
    <w:rsid w:val="00FC5733"/>
    <w:rsid w:val="00FC6546"/>
    <w:rsid w:val="00FC6779"/>
    <w:rsid w:val="00FC6A6B"/>
    <w:rsid w:val="00FC6BBC"/>
    <w:rsid w:val="00FC6F0C"/>
    <w:rsid w:val="00FC7027"/>
    <w:rsid w:val="00FD05B1"/>
    <w:rsid w:val="00FD1452"/>
    <w:rsid w:val="00FD1E3E"/>
    <w:rsid w:val="00FD2EB7"/>
    <w:rsid w:val="00FD378C"/>
    <w:rsid w:val="00FD3B19"/>
    <w:rsid w:val="00FD3C0F"/>
    <w:rsid w:val="00FD3ECB"/>
    <w:rsid w:val="00FD3F99"/>
    <w:rsid w:val="00FD4370"/>
    <w:rsid w:val="00FD444C"/>
    <w:rsid w:val="00FD4831"/>
    <w:rsid w:val="00FD628E"/>
    <w:rsid w:val="00FD6AB7"/>
    <w:rsid w:val="00FD77CF"/>
    <w:rsid w:val="00FD7DA6"/>
    <w:rsid w:val="00FD7ECA"/>
    <w:rsid w:val="00FE01D0"/>
    <w:rsid w:val="00FE03D4"/>
    <w:rsid w:val="00FE15A9"/>
    <w:rsid w:val="00FE1A1A"/>
    <w:rsid w:val="00FE1AC8"/>
    <w:rsid w:val="00FE1C0A"/>
    <w:rsid w:val="00FE23BF"/>
    <w:rsid w:val="00FE3C3E"/>
    <w:rsid w:val="00FE48D8"/>
    <w:rsid w:val="00FE4905"/>
    <w:rsid w:val="00FE4AE3"/>
    <w:rsid w:val="00FE4E12"/>
    <w:rsid w:val="00FE5140"/>
    <w:rsid w:val="00FE53D8"/>
    <w:rsid w:val="00FE5465"/>
    <w:rsid w:val="00FE5D04"/>
    <w:rsid w:val="00FE5EAD"/>
    <w:rsid w:val="00FE5F7C"/>
    <w:rsid w:val="00FE6172"/>
    <w:rsid w:val="00FE632C"/>
    <w:rsid w:val="00FE6836"/>
    <w:rsid w:val="00FE6B2F"/>
    <w:rsid w:val="00FE764D"/>
    <w:rsid w:val="00FE76AB"/>
    <w:rsid w:val="00FF0437"/>
    <w:rsid w:val="00FF0505"/>
    <w:rsid w:val="00FF0D7C"/>
    <w:rsid w:val="00FF13B4"/>
    <w:rsid w:val="00FF15DB"/>
    <w:rsid w:val="00FF197D"/>
    <w:rsid w:val="00FF1A24"/>
    <w:rsid w:val="00FF1A7A"/>
    <w:rsid w:val="00FF2096"/>
    <w:rsid w:val="00FF235F"/>
    <w:rsid w:val="00FF2699"/>
    <w:rsid w:val="00FF2841"/>
    <w:rsid w:val="00FF2FAC"/>
    <w:rsid w:val="00FF327F"/>
    <w:rsid w:val="00FF4231"/>
    <w:rsid w:val="00FF4604"/>
    <w:rsid w:val="00FF4764"/>
    <w:rsid w:val="00FF6062"/>
    <w:rsid w:val="00FF60A3"/>
    <w:rsid w:val="00FF65FE"/>
    <w:rsid w:val="00FF685E"/>
    <w:rsid w:val="00FF69C4"/>
    <w:rsid w:val="00FF6BAC"/>
    <w:rsid w:val="00FF7111"/>
    <w:rsid w:val="05938928"/>
    <w:rsid w:val="08D72CCC"/>
    <w:rsid w:val="0E0AC444"/>
    <w:rsid w:val="2382C158"/>
    <w:rsid w:val="2975F0E7"/>
    <w:rsid w:val="2E4ED09F"/>
    <w:rsid w:val="316E089C"/>
    <w:rsid w:val="342AF6BC"/>
    <w:rsid w:val="3645CCE0"/>
    <w:rsid w:val="3E5BB21A"/>
    <w:rsid w:val="41C5C5A6"/>
    <w:rsid w:val="488500BF"/>
    <w:rsid w:val="492D8892"/>
    <w:rsid w:val="4C84E30F"/>
    <w:rsid w:val="61727C5B"/>
    <w:rsid w:val="617D5C69"/>
    <w:rsid w:val="68609FFB"/>
    <w:rsid w:val="6F4034C4"/>
    <w:rsid w:val="7C16D02A"/>
    <w:rsid w:val="7C1AA6FD"/>
    <w:rsid w:val="7D2388A9"/>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E010B9"/>
  <w15:chartTrackingRefBased/>
  <w15:docId w15:val="{B6E7F7ED-8D25-4586-8DAA-084B40EFB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DB0"/>
    <w:pPr>
      <w:spacing w:after="0" w:line="240" w:lineRule="auto"/>
    </w:pPr>
    <w:rPr>
      <w:rFonts w:ascii="Times New Roman" w:eastAsia="Times New Roman" w:hAnsi="Times New Roman" w:cs="Times New Roman"/>
      <w:sz w:val="24"/>
      <w:szCs w:val="24"/>
      <w:lang w:val="en-US" w:eastAsia="es-ES_tradnl"/>
    </w:rPr>
  </w:style>
  <w:style w:type="paragraph" w:styleId="Heading1">
    <w:name w:val="heading 1"/>
    <w:basedOn w:val="Normal"/>
    <w:next w:val="Normal"/>
    <w:link w:val="Heading1Char"/>
    <w:uiPriority w:val="9"/>
    <w:qFormat/>
    <w:rsid w:val="00183B0D"/>
    <w:pPr>
      <w:keepNext/>
      <w:keepLines/>
      <w:spacing w:before="240" w:line="259" w:lineRule="auto"/>
      <w:outlineLvl w:val="0"/>
    </w:pPr>
    <w:rPr>
      <w:rFonts w:asciiTheme="majorHAnsi" w:eastAsiaTheme="majorEastAsia" w:hAnsiTheme="majorHAnsi" w:cstheme="majorBidi"/>
      <w:sz w:val="40"/>
      <w:szCs w:val="32"/>
      <w:lang w:eastAsia="en-US"/>
    </w:rPr>
  </w:style>
  <w:style w:type="paragraph" w:styleId="Heading2">
    <w:name w:val="heading 2"/>
    <w:basedOn w:val="Normal"/>
    <w:next w:val="Normal"/>
    <w:link w:val="Heading2Char"/>
    <w:uiPriority w:val="9"/>
    <w:unhideWhenUsed/>
    <w:qFormat/>
    <w:rsid w:val="00183B0D"/>
    <w:pPr>
      <w:keepNext/>
      <w:keepLines/>
      <w:spacing w:before="40" w:line="259" w:lineRule="auto"/>
      <w:outlineLvl w:val="1"/>
    </w:pPr>
    <w:rPr>
      <w:rFonts w:asciiTheme="majorHAnsi" w:eastAsiaTheme="majorEastAsia" w:hAnsiTheme="majorHAnsi" w:cstheme="majorBidi"/>
      <w:sz w:val="32"/>
      <w:szCs w:val="26"/>
      <w:lang w:eastAsia="en-US"/>
    </w:rPr>
  </w:style>
  <w:style w:type="paragraph" w:styleId="Heading3">
    <w:name w:val="heading 3"/>
    <w:basedOn w:val="Normal"/>
    <w:next w:val="Normal"/>
    <w:link w:val="Heading3Char"/>
    <w:uiPriority w:val="9"/>
    <w:unhideWhenUsed/>
    <w:qFormat/>
    <w:rsid w:val="00183B0D"/>
    <w:pPr>
      <w:keepNext/>
      <w:keepLines/>
      <w:spacing w:before="40" w:line="259" w:lineRule="auto"/>
      <w:outlineLvl w:val="2"/>
    </w:pPr>
    <w:rPr>
      <w:rFonts w:asciiTheme="majorHAnsi" w:eastAsiaTheme="majorEastAsia" w:hAnsiTheme="majorHAnsi" w:cstheme="majorBidi"/>
      <w:sz w:val="28"/>
      <w:lang w:eastAsia="en-US"/>
    </w:rPr>
  </w:style>
  <w:style w:type="paragraph" w:styleId="Heading4">
    <w:name w:val="heading 4"/>
    <w:basedOn w:val="Normal"/>
    <w:next w:val="Normal"/>
    <w:link w:val="Heading4Char"/>
    <w:uiPriority w:val="9"/>
    <w:unhideWhenUsed/>
    <w:qFormat/>
    <w:rsid w:val="00183B0D"/>
    <w:pPr>
      <w:keepNext/>
      <w:keepLines/>
      <w:spacing w:before="40" w:line="259" w:lineRule="auto"/>
      <w:outlineLvl w:val="3"/>
    </w:pPr>
    <w:rPr>
      <w:rFonts w:asciiTheme="majorHAnsi" w:eastAsiaTheme="majorEastAsia" w:hAnsiTheme="majorHAnsi" w:cstheme="majorBidi"/>
      <w:i/>
      <w:iCs/>
      <w:szCs w:val="22"/>
      <w:lang w:eastAsia="en-US"/>
    </w:rPr>
  </w:style>
  <w:style w:type="paragraph" w:styleId="Heading5">
    <w:name w:val="heading 5"/>
    <w:basedOn w:val="Normal"/>
    <w:next w:val="Normal"/>
    <w:link w:val="Heading5Char"/>
    <w:uiPriority w:val="9"/>
    <w:unhideWhenUsed/>
    <w:qFormat/>
    <w:rsid w:val="005B5953"/>
    <w:pPr>
      <w:keepNext/>
      <w:keepLines/>
      <w:spacing w:before="40" w:line="259" w:lineRule="auto"/>
      <w:outlineLvl w:val="4"/>
    </w:pPr>
    <w:rPr>
      <w:rFonts w:asciiTheme="majorHAnsi" w:eastAsiaTheme="majorEastAsia" w:hAnsiTheme="majorHAnsi" w:cstheme="majorBidi"/>
      <w:color w:val="EC251A" w:themeColor="accent1" w:themeShade="BF"/>
      <w:sz w:val="20"/>
      <w:szCs w:val="22"/>
      <w:lang w:eastAsia="en-US"/>
    </w:rPr>
  </w:style>
  <w:style w:type="paragraph" w:styleId="Heading6">
    <w:name w:val="heading 6"/>
    <w:basedOn w:val="Normal"/>
    <w:next w:val="Normal"/>
    <w:link w:val="Heading6Char"/>
    <w:uiPriority w:val="9"/>
    <w:semiHidden/>
    <w:unhideWhenUsed/>
    <w:qFormat/>
    <w:rsid w:val="003B13B2"/>
    <w:pPr>
      <w:keepNext/>
      <w:keepLines/>
      <w:spacing w:before="40" w:line="259" w:lineRule="auto"/>
      <w:outlineLvl w:val="5"/>
    </w:pPr>
    <w:rPr>
      <w:rFonts w:asciiTheme="majorHAnsi" w:eastAsiaTheme="majorEastAsia" w:hAnsiTheme="majorHAnsi" w:cstheme="majorBidi"/>
      <w:color w:val="A1140D" w:themeColor="accent1" w:themeShade="7F"/>
      <w:sz w:val="20"/>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C153B"/>
    <w:pPr>
      <w:spacing w:before="100" w:beforeAutospacing="1" w:after="100" w:afterAutospacing="1"/>
    </w:pPr>
    <w:rPr>
      <w:lang w:eastAsia="fr-FR"/>
    </w:rPr>
  </w:style>
  <w:style w:type="character" w:customStyle="1" w:styleId="normaltextrun">
    <w:name w:val="normaltextrun"/>
    <w:basedOn w:val="DefaultParagraphFont"/>
    <w:rsid w:val="00FC153B"/>
  </w:style>
  <w:style w:type="character" w:customStyle="1" w:styleId="eop">
    <w:name w:val="eop"/>
    <w:basedOn w:val="DefaultParagraphFont"/>
    <w:rsid w:val="00FC153B"/>
  </w:style>
  <w:style w:type="paragraph" w:styleId="NormalWeb">
    <w:name w:val="Normal (Web)"/>
    <w:basedOn w:val="Normal"/>
    <w:uiPriority w:val="99"/>
    <w:unhideWhenUsed/>
    <w:rsid w:val="00FC153B"/>
    <w:pPr>
      <w:spacing w:before="100" w:beforeAutospacing="1" w:after="100" w:afterAutospacing="1"/>
    </w:pPr>
    <w:rPr>
      <w:lang w:eastAsia="fr-FR"/>
    </w:rPr>
  </w:style>
  <w:style w:type="character" w:styleId="Hyperlink">
    <w:name w:val="Hyperlink"/>
    <w:basedOn w:val="DefaultParagraphFont"/>
    <w:uiPriority w:val="99"/>
    <w:unhideWhenUsed/>
    <w:rsid w:val="00FC153B"/>
    <w:rPr>
      <w:color w:val="0000FF"/>
      <w:u w:val="single"/>
    </w:rPr>
  </w:style>
  <w:style w:type="paragraph" w:styleId="NoSpacing">
    <w:name w:val="No Spacing"/>
    <w:link w:val="NoSpacingChar"/>
    <w:uiPriority w:val="1"/>
    <w:qFormat/>
    <w:rsid w:val="00FC153B"/>
    <w:pPr>
      <w:spacing w:after="0" w:line="240" w:lineRule="auto"/>
    </w:pPr>
    <w:rPr>
      <w:rFonts w:eastAsiaTheme="minorEastAsia"/>
      <w:lang w:eastAsia="fr-FR"/>
    </w:rPr>
  </w:style>
  <w:style w:type="character" w:customStyle="1" w:styleId="NoSpacingChar">
    <w:name w:val="No Spacing Char"/>
    <w:basedOn w:val="DefaultParagraphFont"/>
    <w:link w:val="NoSpacing"/>
    <w:uiPriority w:val="1"/>
    <w:rsid w:val="00FC153B"/>
    <w:rPr>
      <w:rFonts w:eastAsiaTheme="minorEastAsia"/>
      <w:lang w:eastAsia="fr-FR"/>
    </w:rPr>
  </w:style>
  <w:style w:type="character" w:customStyle="1" w:styleId="Heading1Char">
    <w:name w:val="Heading 1 Char"/>
    <w:basedOn w:val="DefaultParagraphFont"/>
    <w:link w:val="Heading1"/>
    <w:uiPriority w:val="9"/>
    <w:rsid w:val="00183B0D"/>
    <w:rPr>
      <w:rFonts w:asciiTheme="majorHAnsi" w:eastAsiaTheme="majorEastAsia" w:hAnsiTheme="majorHAnsi" w:cstheme="majorBidi"/>
      <w:sz w:val="40"/>
      <w:szCs w:val="32"/>
    </w:rPr>
  </w:style>
  <w:style w:type="paragraph" w:styleId="TOCHeading">
    <w:name w:val="TOC Heading"/>
    <w:basedOn w:val="Heading1"/>
    <w:next w:val="Normal"/>
    <w:uiPriority w:val="39"/>
    <w:unhideWhenUsed/>
    <w:qFormat/>
    <w:rsid w:val="00470461"/>
    <w:pPr>
      <w:outlineLvl w:val="9"/>
    </w:pPr>
    <w:rPr>
      <w:lang w:eastAsia="fr-FR"/>
    </w:rPr>
  </w:style>
  <w:style w:type="paragraph" w:styleId="TOC1">
    <w:name w:val="toc 1"/>
    <w:basedOn w:val="Normal"/>
    <w:next w:val="Normal"/>
    <w:autoRedefine/>
    <w:uiPriority w:val="39"/>
    <w:unhideWhenUsed/>
    <w:rsid w:val="009D5026"/>
    <w:pPr>
      <w:tabs>
        <w:tab w:val="right" w:leader="dot" w:pos="9062"/>
      </w:tabs>
      <w:spacing w:after="100" w:line="259" w:lineRule="auto"/>
    </w:pPr>
    <w:rPr>
      <w:rFonts w:eastAsiaTheme="minorHAnsi" w:cstheme="minorBidi"/>
      <w:sz w:val="20"/>
      <w:szCs w:val="22"/>
      <w:lang w:eastAsia="en-US"/>
    </w:rPr>
  </w:style>
  <w:style w:type="character" w:customStyle="1" w:styleId="Heading2Char">
    <w:name w:val="Heading 2 Char"/>
    <w:basedOn w:val="DefaultParagraphFont"/>
    <w:link w:val="Heading2"/>
    <w:uiPriority w:val="9"/>
    <w:rsid w:val="00183B0D"/>
    <w:rPr>
      <w:rFonts w:asciiTheme="majorHAnsi" w:eastAsiaTheme="majorEastAsia" w:hAnsiTheme="majorHAnsi" w:cstheme="majorBidi"/>
      <w:sz w:val="32"/>
      <w:szCs w:val="26"/>
    </w:rPr>
  </w:style>
  <w:style w:type="paragraph" w:styleId="TOC2">
    <w:name w:val="toc 2"/>
    <w:basedOn w:val="Normal"/>
    <w:next w:val="Normal"/>
    <w:autoRedefine/>
    <w:uiPriority w:val="39"/>
    <w:unhideWhenUsed/>
    <w:rsid w:val="00A61AB9"/>
    <w:pPr>
      <w:spacing w:after="100" w:line="259" w:lineRule="auto"/>
      <w:ind w:left="220"/>
    </w:pPr>
    <w:rPr>
      <w:rFonts w:eastAsiaTheme="minorHAnsi" w:cstheme="minorBidi"/>
      <w:sz w:val="20"/>
      <w:szCs w:val="22"/>
      <w:lang w:eastAsia="en-US"/>
    </w:rPr>
  </w:style>
  <w:style w:type="paragraph" w:styleId="Title">
    <w:name w:val="Title"/>
    <w:basedOn w:val="Normal"/>
    <w:next w:val="Normal"/>
    <w:link w:val="TitleChar"/>
    <w:uiPriority w:val="10"/>
    <w:qFormat/>
    <w:rsid w:val="00D379C7"/>
    <w:pPr>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D379C7"/>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183B0D"/>
    <w:rPr>
      <w:rFonts w:asciiTheme="majorHAnsi" w:eastAsiaTheme="majorEastAsia" w:hAnsiTheme="majorHAnsi" w:cstheme="majorBidi"/>
      <w:sz w:val="28"/>
      <w:szCs w:val="24"/>
    </w:rPr>
  </w:style>
  <w:style w:type="character" w:customStyle="1" w:styleId="Heading4Char">
    <w:name w:val="Heading 4 Char"/>
    <w:basedOn w:val="DefaultParagraphFont"/>
    <w:link w:val="Heading4"/>
    <w:uiPriority w:val="9"/>
    <w:rsid w:val="00183B0D"/>
    <w:rPr>
      <w:rFonts w:asciiTheme="majorHAnsi" w:eastAsiaTheme="majorEastAsia" w:hAnsiTheme="majorHAnsi" w:cstheme="majorBidi"/>
      <w:i/>
      <w:iCs/>
      <w:sz w:val="24"/>
    </w:rPr>
  </w:style>
  <w:style w:type="paragraph" w:styleId="Header">
    <w:name w:val="header"/>
    <w:basedOn w:val="Normal"/>
    <w:link w:val="HeaderChar"/>
    <w:uiPriority w:val="99"/>
    <w:unhideWhenUsed/>
    <w:rsid w:val="00A4589A"/>
    <w:pPr>
      <w:tabs>
        <w:tab w:val="center" w:pos="4536"/>
        <w:tab w:val="right" w:pos="9072"/>
      </w:tabs>
    </w:pPr>
    <w:rPr>
      <w:rFonts w:eastAsiaTheme="minorHAnsi" w:cstheme="minorBidi"/>
      <w:sz w:val="20"/>
      <w:szCs w:val="22"/>
      <w:lang w:eastAsia="en-US"/>
    </w:rPr>
  </w:style>
  <w:style w:type="character" w:customStyle="1" w:styleId="HeaderChar">
    <w:name w:val="Header Char"/>
    <w:basedOn w:val="DefaultParagraphFont"/>
    <w:link w:val="Header"/>
    <w:uiPriority w:val="99"/>
    <w:rsid w:val="00A4589A"/>
  </w:style>
  <w:style w:type="paragraph" w:styleId="Footer">
    <w:name w:val="footer"/>
    <w:basedOn w:val="Normal"/>
    <w:link w:val="FooterChar"/>
    <w:uiPriority w:val="99"/>
    <w:unhideWhenUsed/>
    <w:rsid w:val="00A4589A"/>
    <w:pPr>
      <w:tabs>
        <w:tab w:val="center" w:pos="4536"/>
        <w:tab w:val="right" w:pos="9072"/>
      </w:tabs>
    </w:pPr>
    <w:rPr>
      <w:rFonts w:eastAsiaTheme="minorHAnsi" w:cstheme="minorBidi"/>
      <w:sz w:val="20"/>
      <w:szCs w:val="22"/>
      <w:lang w:eastAsia="en-US"/>
    </w:rPr>
  </w:style>
  <w:style w:type="character" w:customStyle="1" w:styleId="FooterChar">
    <w:name w:val="Footer Char"/>
    <w:basedOn w:val="DefaultParagraphFont"/>
    <w:link w:val="Footer"/>
    <w:uiPriority w:val="99"/>
    <w:rsid w:val="00A4589A"/>
  </w:style>
  <w:style w:type="character" w:customStyle="1" w:styleId="scxw177587525">
    <w:name w:val="scxw177587525"/>
    <w:basedOn w:val="DefaultParagraphFont"/>
    <w:rsid w:val="00F44AA5"/>
  </w:style>
  <w:style w:type="character" w:customStyle="1" w:styleId="Heading5Char">
    <w:name w:val="Heading 5 Char"/>
    <w:basedOn w:val="DefaultParagraphFont"/>
    <w:link w:val="Heading5"/>
    <w:uiPriority w:val="9"/>
    <w:rsid w:val="005B5953"/>
    <w:rPr>
      <w:rFonts w:asciiTheme="majorHAnsi" w:eastAsiaTheme="majorEastAsia" w:hAnsiTheme="majorHAnsi" w:cstheme="majorBidi"/>
      <w:color w:val="EC251A" w:themeColor="accent1" w:themeShade="BF"/>
    </w:rPr>
  </w:style>
  <w:style w:type="paragraph" w:styleId="ListParagraph">
    <w:name w:val="List Paragraph"/>
    <w:basedOn w:val="Normal"/>
    <w:uiPriority w:val="34"/>
    <w:qFormat/>
    <w:rsid w:val="00AD605D"/>
    <w:pPr>
      <w:spacing w:after="160" w:line="259" w:lineRule="auto"/>
      <w:ind w:left="720"/>
      <w:contextualSpacing/>
    </w:pPr>
    <w:rPr>
      <w:rFonts w:eastAsiaTheme="minorHAnsi" w:cstheme="minorBidi"/>
      <w:sz w:val="20"/>
      <w:szCs w:val="22"/>
      <w:lang w:eastAsia="en-US"/>
    </w:rPr>
  </w:style>
  <w:style w:type="character" w:customStyle="1" w:styleId="tabchar">
    <w:name w:val="tabchar"/>
    <w:basedOn w:val="DefaultParagraphFont"/>
    <w:rsid w:val="00497671"/>
  </w:style>
  <w:style w:type="character" w:customStyle="1" w:styleId="pagebreaktextspan">
    <w:name w:val="pagebreaktextspan"/>
    <w:basedOn w:val="DefaultParagraphFont"/>
    <w:rsid w:val="00E90D16"/>
  </w:style>
  <w:style w:type="character" w:customStyle="1" w:styleId="text-primary">
    <w:name w:val="text-primary"/>
    <w:basedOn w:val="DefaultParagraphFont"/>
    <w:rsid w:val="00004C76"/>
  </w:style>
  <w:style w:type="character" w:styleId="Strong">
    <w:name w:val="Strong"/>
    <w:basedOn w:val="DefaultParagraphFont"/>
    <w:uiPriority w:val="22"/>
    <w:qFormat/>
    <w:rsid w:val="00004C76"/>
    <w:rPr>
      <w:b/>
      <w:bCs/>
    </w:rPr>
  </w:style>
  <w:style w:type="character" w:styleId="FollowedHyperlink">
    <w:name w:val="FollowedHyperlink"/>
    <w:basedOn w:val="DefaultParagraphFont"/>
    <w:uiPriority w:val="99"/>
    <w:semiHidden/>
    <w:unhideWhenUsed/>
    <w:rsid w:val="006D47C2"/>
    <w:rPr>
      <w:color w:val="2EA092" w:themeColor="followedHyperlink"/>
      <w:u w:val="single"/>
    </w:rPr>
  </w:style>
  <w:style w:type="paragraph" w:customStyle="1" w:styleId="text-start">
    <w:name w:val="text-start"/>
    <w:basedOn w:val="Normal"/>
    <w:rsid w:val="003C40FB"/>
    <w:pPr>
      <w:spacing w:before="100" w:beforeAutospacing="1" w:after="100" w:afterAutospacing="1"/>
    </w:pPr>
    <w:rPr>
      <w:lang w:eastAsia="fr-FR"/>
    </w:rPr>
  </w:style>
  <w:style w:type="character" w:customStyle="1" w:styleId="textrun">
    <w:name w:val="textrun"/>
    <w:basedOn w:val="DefaultParagraphFont"/>
    <w:rsid w:val="005A4155"/>
  </w:style>
  <w:style w:type="character" w:customStyle="1" w:styleId="Heading6Char">
    <w:name w:val="Heading 6 Char"/>
    <w:basedOn w:val="DefaultParagraphFont"/>
    <w:link w:val="Heading6"/>
    <w:uiPriority w:val="9"/>
    <w:semiHidden/>
    <w:rsid w:val="003B13B2"/>
    <w:rPr>
      <w:rFonts w:asciiTheme="majorHAnsi" w:eastAsiaTheme="majorEastAsia" w:hAnsiTheme="majorHAnsi" w:cstheme="majorBidi"/>
      <w:color w:val="A1140D" w:themeColor="accent1" w:themeShade="7F"/>
      <w:sz w:val="20"/>
    </w:rPr>
  </w:style>
  <w:style w:type="character" w:styleId="Emphasis">
    <w:name w:val="Emphasis"/>
    <w:basedOn w:val="DefaultParagraphFont"/>
    <w:uiPriority w:val="20"/>
    <w:qFormat/>
    <w:rsid w:val="00713B24"/>
    <w:rPr>
      <w:i/>
      <w:iCs/>
    </w:rPr>
  </w:style>
  <w:style w:type="table" w:styleId="TableGrid">
    <w:name w:val="Table Grid"/>
    <w:basedOn w:val="TableNormal"/>
    <w:uiPriority w:val="39"/>
    <w:rsid w:val="00B64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F05755"/>
    <w:pPr>
      <w:spacing w:after="100" w:line="259" w:lineRule="auto"/>
      <w:ind w:left="400"/>
    </w:pPr>
    <w:rPr>
      <w:rFonts w:eastAsiaTheme="minorHAnsi" w:cstheme="minorBidi"/>
      <w:sz w:val="20"/>
      <w:szCs w:val="22"/>
      <w:lang w:eastAsia="en-US"/>
    </w:rPr>
  </w:style>
  <w:style w:type="character" w:styleId="UnresolvedMention">
    <w:name w:val="Unresolved Mention"/>
    <w:basedOn w:val="DefaultParagraphFont"/>
    <w:uiPriority w:val="99"/>
    <w:semiHidden/>
    <w:unhideWhenUsed/>
    <w:rsid w:val="00704795"/>
    <w:rPr>
      <w:color w:val="605E5C"/>
      <w:shd w:val="clear" w:color="auto" w:fill="E1DFDD"/>
    </w:rPr>
  </w:style>
  <w:style w:type="character" w:styleId="CommentReference">
    <w:name w:val="annotation reference"/>
    <w:basedOn w:val="DefaultParagraphFont"/>
    <w:uiPriority w:val="99"/>
    <w:semiHidden/>
    <w:unhideWhenUsed/>
    <w:rsid w:val="006237DB"/>
    <w:rPr>
      <w:sz w:val="16"/>
      <w:szCs w:val="16"/>
    </w:rPr>
  </w:style>
  <w:style w:type="paragraph" w:styleId="CommentText">
    <w:name w:val="annotation text"/>
    <w:basedOn w:val="Normal"/>
    <w:link w:val="CommentTextChar"/>
    <w:uiPriority w:val="99"/>
    <w:unhideWhenUsed/>
    <w:rsid w:val="006237DB"/>
    <w:pPr>
      <w:spacing w:after="160"/>
    </w:pPr>
    <w:rPr>
      <w:rFonts w:eastAsiaTheme="minorHAnsi" w:cstheme="minorBidi"/>
      <w:sz w:val="20"/>
      <w:szCs w:val="20"/>
      <w:lang w:eastAsia="en-US"/>
    </w:rPr>
  </w:style>
  <w:style w:type="character" w:customStyle="1" w:styleId="CommentTextChar">
    <w:name w:val="Comment Text Char"/>
    <w:basedOn w:val="DefaultParagraphFont"/>
    <w:link w:val="CommentText"/>
    <w:uiPriority w:val="99"/>
    <w:rsid w:val="006237D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237DB"/>
    <w:rPr>
      <w:b/>
      <w:bCs/>
    </w:rPr>
  </w:style>
  <w:style w:type="character" w:customStyle="1" w:styleId="CommentSubjectChar">
    <w:name w:val="Comment Subject Char"/>
    <w:basedOn w:val="CommentTextChar"/>
    <w:link w:val="CommentSubject"/>
    <w:uiPriority w:val="99"/>
    <w:semiHidden/>
    <w:rsid w:val="006237DB"/>
    <w:rPr>
      <w:rFonts w:ascii="Times New Roman" w:hAnsi="Times New Roman"/>
      <w:b/>
      <w:bCs/>
      <w:sz w:val="20"/>
      <w:szCs w:val="20"/>
    </w:rPr>
  </w:style>
  <w:style w:type="paragraph" w:styleId="Revision">
    <w:name w:val="Revision"/>
    <w:hidden/>
    <w:uiPriority w:val="99"/>
    <w:semiHidden/>
    <w:rsid w:val="00C75FDD"/>
    <w:pPr>
      <w:spacing w:after="0" w:line="240" w:lineRule="auto"/>
    </w:pPr>
    <w:rPr>
      <w:rFonts w:ascii="Times New Roman" w:hAnsi="Times New Roman"/>
      <w:sz w:val="20"/>
    </w:rPr>
  </w:style>
  <w:style w:type="paragraph" w:customStyle="1" w:styleId="Default">
    <w:name w:val="Default"/>
    <w:rsid w:val="00B45CE3"/>
    <w:pPr>
      <w:autoSpaceDE w:val="0"/>
      <w:autoSpaceDN w:val="0"/>
      <w:adjustRightInd w:val="0"/>
      <w:spacing w:after="0" w:line="240" w:lineRule="auto"/>
    </w:pPr>
    <w:rPr>
      <w:rFonts w:ascii="Work Sans" w:hAnsi="Work Sans" w:cs="Work Sans"/>
      <w:color w:val="000000"/>
      <w:sz w:val="24"/>
      <w:szCs w:val="24"/>
    </w:rPr>
  </w:style>
  <w:style w:type="character" w:customStyle="1" w:styleId="hwtze">
    <w:name w:val="hwtze"/>
    <w:basedOn w:val="DefaultParagraphFont"/>
    <w:rsid w:val="003A0E8B"/>
  </w:style>
  <w:style w:type="character" w:customStyle="1" w:styleId="rynqvb">
    <w:name w:val="rynqvb"/>
    <w:basedOn w:val="DefaultParagraphFont"/>
    <w:rsid w:val="003A0E8B"/>
  </w:style>
  <w:style w:type="paragraph" w:styleId="TOC4">
    <w:name w:val="toc 4"/>
    <w:basedOn w:val="Normal"/>
    <w:next w:val="Normal"/>
    <w:autoRedefine/>
    <w:uiPriority w:val="39"/>
    <w:unhideWhenUsed/>
    <w:rsid w:val="001F5753"/>
    <w:pPr>
      <w:spacing w:after="100" w:line="278" w:lineRule="auto"/>
      <w:ind w:left="720"/>
    </w:pPr>
    <w:rPr>
      <w:rFonts w:asciiTheme="minorHAnsi" w:eastAsiaTheme="minorEastAsia" w:hAnsiTheme="minorHAnsi" w:cstheme="minorBidi"/>
      <w:kern w:val="2"/>
      <w:lang w:eastAsia="fr-FR"/>
      <w14:ligatures w14:val="standardContextual"/>
    </w:rPr>
  </w:style>
  <w:style w:type="paragraph" w:styleId="TOC5">
    <w:name w:val="toc 5"/>
    <w:basedOn w:val="Normal"/>
    <w:next w:val="Normal"/>
    <w:autoRedefine/>
    <w:uiPriority w:val="39"/>
    <w:unhideWhenUsed/>
    <w:rsid w:val="001F5753"/>
    <w:pPr>
      <w:spacing w:after="100" w:line="278" w:lineRule="auto"/>
      <w:ind w:left="960"/>
    </w:pPr>
    <w:rPr>
      <w:rFonts w:asciiTheme="minorHAnsi" w:eastAsiaTheme="minorEastAsia" w:hAnsiTheme="minorHAnsi" w:cstheme="minorBidi"/>
      <w:kern w:val="2"/>
      <w:lang w:eastAsia="fr-FR"/>
      <w14:ligatures w14:val="standardContextual"/>
    </w:rPr>
  </w:style>
  <w:style w:type="paragraph" w:styleId="TOC6">
    <w:name w:val="toc 6"/>
    <w:basedOn w:val="Normal"/>
    <w:next w:val="Normal"/>
    <w:autoRedefine/>
    <w:uiPriority w:val="39"/>
    <w:unhideWhenUsed/>
    <w:rsid w:val="001F5753"/>
    <w:pPr>
      <w:spacing w:after="100" w:line="278" w:lineRule="auto"/>
      <w:ind w:left="1200"/>
    </w:pPr>
    <w:rPr>
      <w:rFonts w:asciiTheme="minorHAnsi" w:eastAsiaTheme="minorEastAsia" w:hAnsiTheme="minorHAnsi" w:cstheme="minorBidi"/>
      <w:kern w:val="2"/>
      <w:lang w:eastAsia="fr-FR"/>
      <w14:ligatures w14:val="standardContextual"/>
    </w:rPr>
  </w:style>
  <w:style w:type="paragraph" w:styleId="TOC7">
    <w:name w:val="toc 7"/>
    <w:basedOn w:val="Normal"/>
    <w:next w:val="Normal"/>
    <w:autoRedefine/>
    <w:uiPriority w:val="39"/>
    <w:unhideWhenUsed/>
    <w:rsid w:val="001F5753"/>
    <w:pPr>
      <w:spacing w:after="100" w:line="278" w:lineRule="auto"/>
      <w:ind w:left="1440"/>
    </w:pPr>
    <w:rPr>
      <w:rFonts w:asciiTheme="minorHAnsi" w:eastAsiaTheme="minorEastAsia" w:hAnsiTheme="minorHAnsi" w:cstheme="minorBidi"/>
      <w:kern w:val="2"/>
      <w:lang w:eastAsia="fr-FR"/>
      <w14:ligatures w14:val="standardContextual"/>
    </w:rPr>
  </w:style>
  <w:style w:type="paragraph" w:styleId="TOC8">
    <w:name w:val="toc 8"/>
    <w:basedOn w:val="Normal"/>
    <w:next w:val="Normal"/>
    <w:autoRedefine/>
    <w:uiPriority w:val="39"/>
    <w:unhideWhenUsed/>
    <w:rsid w:val="001F5753"/>
    <w:pPr>
      <w:spacing w:after="100" w:line="278" w:lineRule="auto"/>
      <w:ind w:left="1680"/>
    </w:pPr>
    <w:rPr>
      <w:rFonts w:asciiTheme="minorHAnsi" w:eastAsiaTheme="minorEastAsia" w:hAnsiTheme="minorHAnsi" w:cstheme="minorBidi"/>
      <w:kern w:val="2"/>
      <w:lang w:eastAsia="fr-FR"/>
      <w14:ligatures w14:val="standardContextual"/>
    </w:rPr>
  </w:style>
  <w:style w:type="paragraph" w:styleId="TOC9">
    <w:name w:val="toc 9"/>
    <w:basedOn w:val="Normal"/>
    <w:next w:val="Normal"/>
    <w:autoRedefine/>
    <w:uiPriority w:val="39"/>
    <w:unhideWhenUsed/>
    <w:rsid w:val="001F5753"/>
    <w:pPr>
      <w:spacing w:after="100" w:line="278" w:lineRule="auto"/>
      <w:ind w:left="1920"/>
    </w:pPr>
    <w:rPr>
      <w:rFonts w:asciiTheme="minorHAnsi" w:eastAsiaTheme="minorEastAsia" w:hAnsiTheme="minorHAnsi" w:cstheme="minorBidi"/>
      <w:kern w:val="2"/>
      <w:lang w:eastAsia="fr-FR"/>
      <w14:ligatures w14:val="standardContextual"/>
    </w:rPr>
  </w:style>
  <w:style w:type="table" w:customStyle="1" w:styleId="TableGrid1">
    <w:name w:val="Table Grid1"/>
    <w:basedOn w:val="TableNormal"/>
    <w:next w:val="TableGrid"/>
    <w:uiPriority w:val="39"/>
    <w:rsid w:val="00373807"/>
    <w:pPr>
      <w:spacing w:after="0" w:line="240" w:lineRule="auto"/>
    </w:pPr>
    <w:rPr>
      <w:kern w:val="2"/>
      <w:lang w:val="en-AU"/>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73807"/>
    <w:pPr>
      <w:spacing w:after="0" w:line="240" w:lineRule="auto"/>
    </w:pPr>
    <w:rPr>
      <w:kern w:val="2"/>
      <w:lang w:val="en-AU"/>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858457">
      <w:bodyDiv w:val="1"/>
      <w:marLeft w:val="0"/>
      <w:marRight w:val="0"/>
      <w:marTop w:val="0"/>
      <w:marBottom w:val="0"/>
      <w:divBdr>
        <w:top w:val="none" w:sz="0" w:space="0" w:color="auto"/>
        <w:left w:val="none" w:sz="0" w:space="0" w:color="auto"/>
        <w:bottom w:val="none" w:sz="0" w:space="0" w:color="auto"/>
        <w:right w:val="none" w:sz="0" w:space="0" w:color="auto"/>
      </w:divBdr>
      <w:divsChild>
        <w:div w:id="639193271">
          <w:marLeft w:val="0"/>
          <w:marRight w:val="0"/>
          <w:marTop w:val="0"/>
          <w:marBottom w:val="0"/>
          <w:divBdr>
            <w:top w:val="none" w:sz="0" w:space="0" w:color="auto"/>
            <w:left w:val="none" w:sz="0" w:space="0" w:color="auto"/>
            <w:bottom w:val="none" w:sz="0" w:space="0" w:color="auto"/>
            <w:right w:val="none" w:sz="0" w:space="0" w:color="auto"/>
          </w:divBdr>
        </w:div>
        <w:div w:id="313460854">
          <w:marLeft w:val="0"/>
          <w:marRight w:val="0"/>
          <w:marTop w:val="0"/>
          <w:marBottom w:val="0"/>
          <w:divBdr>
            <w:top w:val="none" w:sz="0" w:space="0" w:color="auto"/>
            <w:left w:val="none" w:sz="0" w:space="0" w:color="auto"/>
            <w:bottom w:val="none" w:sz="0" w:space="0" w:color="auto"/>
            <w:right w:val="none" w:sz="0" w:space="0" w:color="auto"/>
          </w:divBdr>
        </w:div>
        <w:div w:id="477648761">
          <w:marLeft w:val="0"/>
          <w:marRight w:val="0"/>
          <w:marTop w:val="0"/>
          <w:marBottom w:val="0"/>
          <w:divBdr>
            <w:top w:val="none" w:sz="0" w:space="0" w:color="auto"/>
            <w:left w:val="none" w:sz="0" w:space="0" w:color="auto"/>
            <w:bottom w:val="none" w:sz="0" w:space="0" w:color="auto"/>
            <w:right w:val="none" w:sz="0" w:space="0" w:color="auto"/>
          </w:divBdr>
        </w:div>
        <w:div w:id="1872917729">
          <w:marLeft w:val="0"/>
          <w:marRight w:val="0"/>
          <w:marTop w:val="0"/>
          <w:marBottom w:val="0"/>
          <w:divBdr>
            <w:top w:val="none" w:sz="0" w:space="0" w:color="auto"/>
            <w:left w:val="none" w:sz="0" w:space="0" w:color="auto"/>
            <w:bottom w:val="none" w:sz="0" w:space="0" w:color="auto"/>
            <w:right w:val="none" w:sz="0" w:space="0" w:color="auto"/>
          </w:divBdr>
        </w:div>
        <w:div w:id="2098943721">
          <w:marLeft w:val="0"/>
          <w:marRight w:val="0"/>
          <w:marTop w:val="0"/>
          <w:marBottom w:val="0"/>
          <w:divBdr>
            <w:top w:val="none" w:sz="0" w:space="0" w:color="auto"/>
            <w:left w:val="none" w:sz="0" w:space="0" w:color="auto"/>
            <w:bottom w:val="none" w:sz="0" w:space="0" w:color="auto"/>
            <w:right w:val="none" w:sz="0" w:space="0" w:color="auto"/>
          </w:divBdr>
        </w:div>
        <w:div w:id="622158513">
          <w:marLeft w:val="0"/>
          <w:marRight w:val="0"/>
          <w:marTop w:val="0"/>
          <w:marBottom w:val="0"/>
          <w:divBdr>
            <w:top w:val="none" w:sz="0" w:space="0" w:color="auto"/>
            <w:left w:val="none" w:sz="0" w:space="0" w:color="auto"/>
            <w:bottom w:val="none" w:sz="0" w:space="0" w:color="auto"/>
            <w:right w:val="none" w:sz="0" w:space="0" w:color="auto"/>
          </w:divBdr>
        </w:div>
        <w:div w:id="926379410">
          <w:marLeft w:val="0"/>
          <w:marRight w:val="0"/>
          <w:marTop w:val="0"/>
          <w:marBottom w:val="0"/>
          <w:divBdr>
            <w:top w:val="none" w:sz="0" w:space="0" w:color="auto"/>
            <w:left w:val="none" w:sz="0" w:space="0" w:color="auto"/>
            <w:bottom w:val="none" w:sz="0" w:space="0" w:color="auto"/>
            <w:right w:val="none" w:sz="0" w:space="0" w:color="auto"/>
          </w:divBdr>
        </w:div>
        <w:div w:id="763842400">
          <w:marLeft w:val="0"/>
          <w:marRight w:val="0"/>
          <w:marTop w:val="0"/>
          <w:marBottom w:val="0"/>
          <w:divBdr>
            <w:top w:val="none" w:sz="0" w:space="0" w:color="auto"/>
            <w:left w:val="none" w:sz="0" w:space="0" w:color="auto"/>
            <w:bottom w:val="none" w:sz="0" w:space="0" w:color="auto"/>
            <w:right w:val="none" w:sz="0" w:space="0" w:color="auto"/>
          </w:divBdr>
        </w:div>
        <w:div w:id="831796679">
          <w:marLeft w:val="0"/>
          <w:marRight w:val="0"/>
          <w:marTop w:val="0"/>
          <w:marBottom w:val="0"/>
          <w:divBdr>
            <w:top w:val="none" w:sz="0" w:space="0" w:color="auto"/>
            <w:left w:val="none" w:sz="0" w:space="0" w:color="auto"/>
            <w:bottom w:val="none" w:sz="0" w:space="0" w:color="auto"/>
            <w:right w:val="none" w:sz="0" w:space="0" w:color="auto"/>
          </w:divBdr>
        </w:div>
        <w:div w:id="734821489">
          <w:marLeft w:val="0"/>
          <w:marRight w:val="0"/>
          <w:marTop w:val="0"/>
          <w:marBottom w:val="0"/>
          <w:divBdr>
            <w:top w:val="none" w:sz="0" w:space="0" w:color="auto"/>
            <w:left w:val="none" w:sz="0" w:space="0" w:color="auto"/>
            <w:bottom w:val="none" w:sz="0" w:space="0" w:color="auto"/>
            <w:right w:val="none" w:sz="0" w:space="0" w:color="auto"/>
          </w:divBdr>
        </w:div>
        <w:div w:id="374158010">
          <w:marLeft w:val="0"/>
          <w:marRight w:val="0"/>
          <w:marTop w:val="0"/>
          <w:marBottom w:val="0"/>
          <w:divBdr>
            <w:top w:val="none" w:sz="0" w:space="0" w:color="auto"/>
            <w:left w:val="none" w:sz="0" w:space="0" w:color="auto"/>
            <w:bottom w:val="none" w:sz="0" w:space="0" w:color="auto"/>
            <w:right w:val="none" w:sz="0" w:space="0" w:color="auto"/>
          </w:divBdr>
        </w:div>
        <w:div w:id="1014309149">
          <w:marLeft w:val="0"/>
          <w:marRight w:val="0"/>
          <w:marTop w:val="0"/>
          <w:marBottom w:val="0"/>
          <w:divBdr>
            <w:top w:val="none" w:sz="0" w:space="0" w:color="auto"/>
            <w:left w:val="none" w:sz="0" w:space="0" w:color="auto"/>
            <w:bottom w:val="none" w:sz="0" w:space="0" w:color="auto"/>
            <w:right w:val="none" w:sz="0" w:space="0" w:color="auto"/>
          </w:divBdr>
        </w:div>
        <w:div w:id="547840947">
          <w:marLeft w:val="0"/>
          <w:marRight w:val="0"/>
          <w:marTop w:val="0"/>
          <w:marBottom w:val="0"/>
          <w:divBdr>
            <w:top w:val="none" w:sz="0" w:space="0" w:color="auto"/>
            <w:left w:val="none" w:sz="0" w:space="0" w:color="auto"/>
            <w:bottom w:val="none" w:sz="0" w:space="0" w:color="auto"/>
            <w:right w:val="none" w:sz="0" w:space="0" w:color="auto"/>
          </w:divBdr>
        </w:div>
        <w:div w:id="299698431">
          <w:marLeft w:val="0"/>
          <w:marRight w:val="0"/>
          <w:marTop w:val="0"/>
          <w:marBottom w:val="0"/>
          <w:divBdr>
            <w:top w:val="none" w:sz="0" w:space="0" w:color="auto"/>
            <w:left w:val="none" w:sz="0" w:space="0" w:color="auto"/>
            <w:bottom w:val="none" w:sz="0" w:space="0" w:color="auto"/>
            <w:right w:val="none" w:sz="0" w:space="0" w:color="auto"/>
          </w:divBdr>
        </w:div>
        <w:div w:id="530148955">
          <w:marLeft w:val="0"/>
          <w:marRight w:val="0"/>
          <w:marTop w:val="0"/>
          <w:marBottom w:val="0"/>
          <w:divBdr>
            <w:top w:val="none" w:sz="0" w:space="0" w:color="auto"/>
            <w:left w:val="none" w:sz="0" w:space="0" w:color="auto"/>
            <w:bottom w:val="none" w:sz="0" w:space="0" w:color="auto"/>
            <w:right w:val="none" w:sz="0" w:space="0" w:color="auto"/>
          </w:divBdr>
        </w:div>
        <w:div w:id="857084162">
          <w:marLeft w:val="0"/>
          <w:marRight w:val="0"/>
          <w:marTop w:val="0"/>
          <w:marBottom w:val="0"/>
          <w:divBdr>
            <w:top w:val="none" w:sz="0" w:space="0" w:color="auto"/>
            <w:left w:val="none" w:sz="0" w:space="0" w:color="auto"/>
            <w:bottom w:val="none" w:sz="0" w:space="0" w:color="auto"/>
            <w:right w:val="none" w:sz="0" w:space="0" w:color="auto"/>
          </w:divBdr>
        </w:div>
        <w:div w:id="349140623">
          <w:marLeft w:val="0"/>
          <w:marRight w:val="0"/>
          <w:marTop w:val="0"/>
          <w:marBottom w:val="0"/>
          <w:divBdr>
            <w:top w:val="none" w:sz="0" w:space="0" w:color="auto"/>
            <w:left w:val="none" w:sz="0" w:space="0" w:color="auto"/>
            <w:bottom w:val="none" w:sz="0" w:space="0" w:color="auto"/>
            <w:right w:val="none" w:sz="0" w:space="0" w:color="auto"/>
          </w:divBdr>
        </w:div>
        <w:div w:id="131558738">
          <w:marLeft w:val="0"/>
          <w:marRight w:val="0"/>
          <w:marTop w:val="0"/>
          <w:marBottom w:val="0"/>
          <w:divBdr>
            <w:top w:val="none" w:sz="0" w:space="0" w:color="auto"/>
            <w:left w:val="none" w:sz="0" w:space="0" w:color="auto"/>
            <w:bottom w:val="none" w:sz="0" w:space="0" w:color="auto"/>
            <w:right w:val="none" w:sz="0" w:space="0" w:color="auto"/>
          </w:divBdr>
        </w:div>
      </w:divsChild>
    </w:div>
    <w:div w:id="36972131">
      <w:bodyDiv w:val="1"/>
      <w:marLeft w:val="0"/>
      <w:marRight w:val="0"/>
      <w:marTop w:val="0"/>
      <w:marBottom w:val="0"/>
      <w:divBdr>
        <w:top w:val="none" w:sz="0" w:space="0" w:color="auto"/>
        <w:left w:val="none" w:sz="0" w:space="0" w:color="auto"/>
        <w:bottom w:val="none" w:sz="0" w:space="0" w:color="auto"/>
        <w:right w:val="none" w:sz="0" w:space="0" w:color="auto"/>
      </w:divBdr>
      <w:divsChild>
        <w:div w:id="1093238585">
          <w:marLeft w:val="0"/>
          <w:marRight w:val="0"/>
          <w:marTop w:val="0"/>
          <w:marBottom w:val="0"/>
          <w:divBdr>
            <w:top w:val="none" w:sz="0" w:space="0" w:color="auto"/>
            <w:left w:val="none" w:sz="0" w:space="0" w:color="auto"/>
            <w:bottom w:val="none" w:sz="0" w:space="0" w:color="auto"/>
            <w:right w:val="none" w:sz="0" w:space="0" w:color="auto"/>
          </w:divBdr>
        </w:div>
        <w:div w:id="1850675350">
          <w:marLeft w:val="0"/>
          <w:marRight w:val="0"/>
          <w:marTop w:val="0"/>
          <w:marBottom w:val="0"/>
          <w:divBdr>
            <w:top w:val="none" w:sz="0" w:space="0" w:color="auto"/>
            <w:left w:val="none" w:sz="0" w:space="0" w:color="auto"/>
            <w:bottom w:val="none" w:sz="0" w:space="0" w:color="auto"/>
            <w:right w:val="none" w:sz="0" w:space="0" w:color="auto"/>
          </w:divBdr>
        </w:div>
        <w:div w:id="1161505356">
          <w:marLeft w:val="0"/>
          <w:marRight w:val="0"/>
          <w:marTop w:val="0"/>
          <w:marBottom w:val="0"/>
          <w:divBdr>
            <w:top w:val="none" w:sz="0" w:space="0" w:color="auto"/>
            <w:left w:val="none" w:sz="0" w:space="0" w:color="auto"/>
            <w:bottom w:val="none" w:sz="0" w:space="0" w:color="auto"/>
            <w:right w:val="none" w:sz="0" w:space="0" w:color="auto"/>
          </w:divBdr>
        </w:div>
        <w:div w:id="1277758250">
          <w:marLeft w:val="0"/>
          <w:marRight w:val="0"/>
          <w:marTop w:val="0"/>
          <w:marBottom w:val="0"/>
          <w:divBdr>
            <w:top w:val="none" w:sz="0" w:space="0" w:color="auto"/>
            <w:left w:val="none" w:sz="0" w:space="0" w:color="auto"/>
            <w:bottom w:val="none" w:sz="0" w:space="0" w:color="auto"/>
            <w:right w:val="none" w:sz="0" w:space="0" w:color="auto"/>
          </w:divBdr>
        </w:div>
        <w:div w:id="1640573315">
          <w:marLeft w:val="0"/>
          <w:marRight w:val="0"/>
          <w:marTop w:val="0"/>
          <w:marBottom w:val="0"/>
          <w:divBdr>
            <w:top w:val="none" w:sz="0" w:space="0" w:color="auto"/>
            <w:left w:val="none" w:sz="0" w:space="0" w:color="auto"/>
            <w:bottom w:val="none" w:sz="0" w:space="0" w:color="auto"/>
            <w:right w:val="none" w:sz="0" w:space="0" w:color="auto"/>
          </w:divBdr>
        </w:div>
        <w:div w:id="968627579">
          <w:marLeft w:val="0"/>
          <w:marRight w:val="0"/>
          <w:marTop w:val="0"/>
          <w:marBottom w:val="0"/>
          <w:divBdr>
            <w:top w:val="none" w:sz="0" w:space="0" w:color="auto"/>
            <w:left w:val="none" w:sz="0" w:space="0" w:color="auto"/>
            <w:bottom w:val="none" w:sz="0" w:space="0" w:color="auto"/>
            <w:right w:val="none" w:sz="0" w:space="0" w:color="auto"/>
          </w:divBdr>
        </w:div>
        <w:div w:id="942954685">
          <w:marLeft w:val="0"/>
          <w:marRight w:val="0"/>
          <w:marTop w:val="0"/>
          <w:marBottom w:val="0"/>
          <w:divBdr>
            <w:top w:val="none" w:sz="0" w:space="0" w:color="auto"/>
            <w:left w:val="none" w:sz="0" w:space="0" w:color="auto"/>
            <w:bottom w:val="none" w:sz="0" w:space="0" w:color="auto"/>
            <w:right w:val="none" w:sz="0" w:space="0" w:color="auto"/>
          </w:divBdr>
        </w:div>
        <w:div w:id="53159958">
          <w:marLeft w:val="0"/>
          <w:marRight w:val="0"/>
          <w:marTop w:val="0"/>
          <w:marBottom w:val="0"/>
          <w:divBdr>
            <w:top w:val="none" w:sz="0" w:space="0" w:color="auto"/>
            <w:left w:val="none" w:sz="0" w:space="0" w:color="auto"/>
            <w:bottom w:val="none" w:sz="0" w:space="0" w:color="auto"/>
            <w:right w:val="none" w:sz="0" w:space="0" w:color="auto"/>
          </w:divBdr>
        </w:div>
        <w:div w:id="1463965132">
          <w:marLeft w:val="0"/>
          <w:marRight w:val="0"/>
          <w:marTop w:val="0"/>
          <w:marBottom w:val="0"/>
          <w:divBdr>
            <w:top w:val="none" w:sz="0" w:space="0" w:color="auto"/>
            <w:left w:val="none" w:sz="0" w:space="0" w:color="auto"/>
            <w:bottom w:val="none" w:sz="0" w:space="0" w:color="auto"/>
            <w:right w:val="none" w:sz="0" w:space="0" w:color="auto"/>
          </w:divBdr>
        </w:div>
        <w:div w:id="542642190">
          <w:marLeft w:val="0"/>
          <w:marRight w:val="0"/>
          <w:marTop w:val="0"/>
          <w:marBottom w:val="0"/>
          <w:divBdr>
            <w:top w:val="none" w:sz="0" w:space="0" w:color="auto"/>
            <w:left w:val="none" w:sz="0" w:space="0" w:color="auto"/>
            <w:bottom w:val="none" w:sz="0" w:space="0" w:color="auto"/>
            <w:right w:val="none" w:sz="0" w:space="0" w:color="auto"/>
          </w:divBdr>
        </w:div>
        <w:div w:id="233705705">
          <w:marLeft w:val="0"/>
          <w:marRight w:val="0"/>
          <w:marTop w:val="0"/>
          <w:marBottom w:val="0"/>
          <w:divBdr>
            <w:top w:val="none" w:sz="0" w:space="0" w:color="auto"/>
            <w:left w:val="none" w:sz="0" w:space="0" w:color="auto"/>
            <w:bottom w:val="none" w:sz="0" w:space="0" w:color="auto"/>
            <w:right w:val="none" w:sz="0" w:space="0" w:color="auto"/>
          </w:divBdr>
        </w:div>
        <w:div w:id="1073355049">
          <w:marLeft w:val="0"/>
          <w:marRight w:val="0"/>
          <w:marTop w:val="0"/>
          <w:marBottom w:val="0"/>
          <w:divBdr>
            <w:top w:val="none" w:sz="0" w:space="0" w:color="auto"/>
            <w:left w:val="none" w:sz="0" w:space="0" w:color="auto"/>
            <w:bottom w:val="none" w:sz="0" w:space="0" w:color="auto"/>
            <w:right w:val="none" w:sz="0" w:space="0" w:color="auto"/>
          </w:divBdr>
        </w:div>
        <w:div w:id="2114126099">
          <w:marLeft w:val="0"/>
          <w:marRight w:val="0"/>
          <w:marTop w:val="0"/>
          <w:marBottom w:val="0"/>
          <w:divBdr>
            <w:top w:val="none" w:sz="0" w:space="0" w:color="auto"/>
            <w:left w:val="none" w:sz="0" w:space="0" w:color="auto"/>
            <w:bottom w:val="none" w:sz="0" w:space="0" w:color="auto"/>
            <w:right w:val="none" w:sz="0" w:space="0" w:color="auto"/>
          </w:divBdr>
        </w:div>
        <w:div w:id="909192048">
          <w:marLeft w:val="0"/>
          <w:marRight w:val="0"/>
          <w:marTop w:val="0"/>
          <w:marBottom w:val="0"/>
          <w:divBdr>
            <w:top w:val="none" w:sz="0" w:space="0" w:color="auto"/>
            <w:left w:val="none" w:sz="0" w:space="0" w:color="auto"/>
            <w:bottom w:val="none" w:sz="0" w:space="0" w:color="auto"/>
            <w:right w:val="none" w:sz="0" w:space="0" w:color="auto"/>
          </w:divBdr>
        </w:div>
        <w:div w:id="2007199663">
          <w:marLeft w:val="0"/>
          <w:marRight w:val="0"/>
          <w:marTop w:val="0"/>
          <w:marBottom w:val="0"/>
          <w:divBdr>
            <w:top w:val="none" w:sz="0" w:space="0" w:color="auto"/>
            <w:left w:val="none" w:sz="0" w:space="0" w:color="auto"/>
            <w:bottom w:val="none" w:sz="0" w:space="0" w:color="auto"/>
            <w:right w:val="none" w:sz="0" w:space="0" w:color="auto"/>
          </w:divBdr>
        </w:div>
        <w:div w:id="676462982">
          <w:marLeft w:val="0"/>
          <w:marRight w:val="0"/>
          <w:marTop w:val="0"/>
          <w:marBottom w:val="0"/>
          <w:divBdr>
            <w:top w:val="none" w:sz="0" w:space="0" w:color="auto"/>
            <w:left w:val="none" w:sz="0" w:space="0" w:color="auto"/>
            <w:bottom w:val="none" w:sz="0" w:space="0" w:color="auto"/>
            <w:right w:val="none" w:sz="0" w:space="0" w:color="auto"/>
          </w:divBdr>
        </w:div>
        <w:div w:id="1849709074">
          <w:marLeft w:val="0"/>
          <w:marRight w:val="0"/>
          <w:marTop w:val="0"/>
          <w:marBottom w:val="0"/>
          <w:divBdr>
            <w:top w:val="none" w:sz="0" w:space="0" w:color="auto"/>
            <w:left w:val="none" w:sz="0" w:space="0" w:color="auto"/>
            <w:bottom w:val="none" w:sz="0" w:space="0" w:color="auto"/>
            <w:right w:val="none" w:sz="0" w:space="0" w:color="auto"/>
          </w:divBdr>
        </w:div>
        <w:div w:id="749735829">
          <w:marLeft w:val="0"/>
          <w:marRight w:val="0"/>
          <w:marTop w:val="0"/>
          <w:marBottom w:val="0"/>
          <w:divBdr>
            <w:top w:val="none" w:sz="0" w:space="0" w:color="auto"/>
            <w:left w:val="none" w:sz="0" w:space="0" w:color="auto"/>
            <w:bottom w:val="none" w:sz="0" w:space="0" w:color="auto"/>
            <w:right w:val="none" w:sz="0" w:space="0" w:color="auto"/>
          </w:divBdr>
        </w:div>
        <w:div w:id="1425569734">
          <w:marLeft w:val="0"/>
          <w:marRight w:val="0"/>
          <w:marTop w:val="0"/>
          <w:marBottom w:val="0"/>
          <w:divBdr>
            <w:top w:val="none" w:sz="0" w:space="0" w:color="auto"/>
            <w:left w:val="none" w:sz="0" w:space="0" w:color="auto"/>
            <w:bottom w:val="none" w:sz="0" w:space="0" w:color="auto"/>
            <w:right w:val="none" w:sz="0" w:space="0" w:color="auto"/>
          </w:divBdr>
        </w:div>
        <w:div w:id="568076005">
          <w:marLeft w:val="0"/>
          <w:marRight w:val="0"/>
          <w:marTop w:val="0"/>
          <w:marBottom w:val="0"/>
          <w:divBdr>
            <w:top w:val="none" w:sz="0" w:space="0" w:color="auto"/>
            <w:left w:val="none" w:sz="0" w:space="0" w:color="auto"/>
            <w:bottom w:val="none" w:sz="0" w:space="0" w:color="auto"/>
            <w:right w:val="none" w:sz="0" w:space="0" w:color="auto"/>
          </w:divBdr>
        </w:div>
        <w:div w:id="1406878762">
          <w:marLeft w:val="0"/>
          <w:marRight w:val="0"/>
          <w:marTop w:val="0"/>
          <w:marBottom w:val="0"/>
          <w:divBdr>
            <w:top w:val="none" w:sz="0" w:space="0" w:color="auto"/>
            <w:left w:val="none" w:sz="0" w:space="0" w:color="auto"/>
            <w:bottom w:val="none" w:sz="0" w:space="0" w:color="auto"/>
            <w:right w:val="none" w:sz="0" w:space="0" w:color="auto"/>
          </w:divBdr>
        </w:div>
        <w:div w:id="93525556">
          <w:marLeft w:val="0"/>
          <w:marRight w:val="0"/>
          <w:marTop w:val="0"/>
          <w:marBottom w:val="0"/>
          <w:divBdr>
            <w:top w:val="none" w:sz="0" w:space="0" w:color="auto"/>
            <w:left w:val="none" w:sz="0" w:space="0" w:color="auto"/>
            <w:bottom w:val="none" w:sz="0" w:space="0" w:color="auto"/>
            <w:right w:val="none" w:sz="0" w:space="0" w:color="auto"/>
          </w:divBdr>
        </w:div>
        <w:div w:id="1204756445">
          <w:marLeft w:val="0"/>
          <w:marRight w:val="0"/>
          <w:marTop w:val="0"/>
          <w:marBottom w:val="0"/>
          <w:divBdr>
            <w:top w:val="none" w:sz="0" w:space="0" w:color="auto"/>
            <w:left w:val="none" w:sz="0" w:space="0" w:color="auto"/>
            <w:bottom w:val="none" w:sz="0" w:space="0" w:color="auto"/>
            <w:right w:val="none" w:sz="0" w:space="0" w:color="auto"/>
          </w:divBdr>
        </w:div>
      </w:divsChild>
    </w:div>
    <w:div w:id="59064431">
      <w:bodyDiv w:val="1"/>
      <w:marLeft w:val="0"/>
      <w:marRight w:val="0"/>
      <w:marTop w:val="0"/>
      <w:marBottom w:val="0"/>
      <w:divBdr>
        <w:top w:val="none" w:sz="0" w:space="0" w:color="auto"/>
        <w:left w:val="none" w:sz="0" w:space="0" w:color="auto"/>
        <w:bottom w:val="none" w:sz="0" w:space="0" w:color="auto"/>
        <w:right w:val="none" w:sz="0" w:space="0" w:color="auto"/>
      </w:divBdr>
      <w:divsChild>
        <w:div w:id="117726884">
          <w:marLeft w:val="0"/>
          <w:marRight w:val="0"/>
          <w:marTop w:val="0"/>
          <w:marBottom w:val="0"/>
          <w:divBdr>
            <w:top w:val="none" w:sz="0" w:space="0" w:color="auto"/>
            <w:left w:val="none" w:sz="0" w:space="0" w:color="auto"/>
            <w:bottom w:val="none" w:sz="0" w:space="0" w:color="auto"/>
            <w:right w:val="none" w:sz="0" w:space="0" w:color="auto"/>
          </w:divBdr>
        </w:div>
        <w:div w:id="1800757121">
          <w:marLeft w:val="0"/>
          <w:marRight w:val="0"/>
          <w:marTop w:val="0"/>
          <w:marBottom w:val="0"/>
          <w:divBdr>
            <w:top w:val="none" w:sz="0" w:space="0" w:color="auto"/>
            <w:left w:val="none" w:sz="0" w:space="0" w:color="auto"/>
            <w:bottom w:val="none" w:sz="0" w:space="0" w:color="auto"/>
            <w:right w:val="none" w:sz="0" w:space="0" w:color="auto"/>
          </w:divBdr>
        </w:div>
        <w:div w:id="1250429691">
          <w:marLeft w:val="0"/>
          <w:marRight w:val="0"/>
          <w:marTop w:val="0"/>
          <w:marBottom w:val="0"/>
          <w:divBdr>
            <w:top w:val="none" w:sz="0" w:space="0" w:color="auto"/>
            <w:left w:val="none" w:sz="0" w:space="0" w:color="auto"/>
            <w:bottom w:val="none" w:sz="0" w:space="0" w:color="auto"/>
            <w:right w:val="none" w:sz="0" w:space="0" w:color="auto"/>
          </w:divBdr>
        </w:div>
        <w:div w:id="1590507971">
          <w:marLeft w:val="0"/>
          <w:marRight w:val="0"/>
          <w:marTop w:val="0"/>
          <w:marBottom w:val="0"/>
          <w:divBdr>
            <w:top w:val="none" w:sz="0" w:space="0" w:color="auto"/>
            <w:left w:val="none" w:sz="0" w:space="0" w:color="auto"/>
            <w:bottom w:val="none" w:sz="0" w:space="0" w:color="auto"/>
            <w:right w:val="none" w:sz="0" w:space="0" w:color="auto"/>
          </w:divBdr>
        </w:div>
        <w:div w:id="562645622">
          <w:marLeft w:val="0"/>
          <w:marRight w:val="0"/>
          <w:marTop w:val="0"/>
          <w:marBottom w:val="0"/>
          <w:divBdr>
            <w:top w:val="none" w:sz="0" w:space="0" w:color="auto"/>
            <w:left w:val="none" w:sz="0" w:space="0" w:color="auto"/>
            <w:bottom w:val="none" w:sz="0" w:space="0" w:color="auto"/>
            <w:right w:val="none" w:sz="0" w:space="0" w:color="auto"/>
          </w:divBdr>
        </w:div>
        <w:div w:id="993946194">
          <w:marLeft w:val="0"/>
          <w:marRight w:val="0"/>
          <w:marTop w:val="0"/>
          <w:marBottom w:val="0"/>
          <w:divBdr>
            <w:top w:val="none" w:sz="0" w:space="0" w:color="auto"/>
            <w:left w:val="none" w:sz="0" w:space="0" w:color="auto"/>
            <w:bottom w:val="none" w:sz="0" w:space="0" w:color="auto"/>
            <w:right w:val="none" w:sz="0" w:space="0" w:color="auto"/>
          </w:divBdr>
        </w:div>
        <w:div w:id="2096702133">
          <w:marLeft w:val="0"/>
          <w:marRight w:val="0"/>
          <w:marTop w:val="0"/>
          <w:marBottom w:val="0"/>
          <w:divBdr>
            <w:top w:val="none" w:sz="0" w:space="0" w:color="auto"/>
            <w:left w:val="none" w:sz="0" w:space="0" w:color="auto"/>
            <w:bottom w:val="none" w:sz="0" w:space="0" w:color="auto"/>
            <w:right w:val="none" w:sz="0" w:space="0" w:color="auto"/>
          </w:divBdr>
        </w:div>
        <w:div w:id="2129546324">
          <w:marLeft w:val="0"/>
          <w:marRight w:val="0"/>
          <w:marTop w:val="0"/>
          <w:marBottom w:val="0"/>
          <w:divBdr>
            <w:top w:val="none" w:sz="0" w:space="0" w:color="auto"/>
            <w:left w:val="none" w:sz="0" w:space="0" w:color="auto"/>
            <w:bottom w:val="none" w:sz="0" w:space="0" w:color="auto"/>
            <w:right w:val="none" w:sz="0" w:space="0" w:color="auto"/>
          </w:divBdr>
        </w:div>
        <w:div w:id="1475371088">
          <w:marLeft w:val="0"/>
          <w:marRight w:val="0"/>
          <w:marTop w:val="0"/>
          <w:marBottom w:val="0"/>
          <w:divBdr>
            <w:top w:val="none" w:sz="0" w:space="0" w:color="auto"/>
            <w:left w:val="none" w:sz="0" w:space="0" w:color="auto"/>
            <w:bottom w:val="none" w:sz="0" w:space="0" w:color="auto"/>
            <w:right w:val="none" w:sz="0" w:space="0" w:color="auto"/>
          </w:divBdr>
        </w:div>
      </w:divsChild>
    </w:div>
    <w:div w:id="59376142">
      <w:bodyDiv w:val="1"/>
      <w:marLeft w:val="0"/>
      <w:marRight w:val="0"/>
      <w:marTop w:val="0"/>
      <w:marBottom w:val="0"/>
      <w:divBdr>
        <w:top w:val="none" w:sz="0" w:space="0" w:color="auto"/>
        <w:left w:val="none" w:sz="0" w:space="0" w:color="auto"/>
        <w:bottom w:val="none" w:sz="0" w:space="0" w:color="auto"/>
        <w:right w:val="none" w:sz="0" w:space="0" w:color="auto"/>
      </w:divBdr>
      <w:divsChild>
        <w:div w:id="148406044">
          <w:marLeft w:val="0"/>
          <w:marRight w:val="0"/>
          <w:marTop w:val="0"/>
          <w:marBottom w:val="0"/>
          <w:divBdr>
            <w:top w:val="none" w:sz="0" w:space="0" w:color="auto"/>
            <w:left w:val="none" w:sz="0" w:space="0" w:color="auto"/>
            <w:bottom w:val="none" w:sz="0" w:space="0" w:color="auto"/>
            <w:right w:val="none" w:sz="0" w:space="0" w:color="auto"/>
          </w:divBdr>
        </w:div>
        <w:div w:id="428622159">
          <w:marLeft w:val="0"/>
          <w:marRight w:val="0"/>
          <w:marTop w:val="0"/>
          <w:marBottom w:val="0"/>
          <w:divBdr>
            <w:top w:val="none" w:sz="0" w:space="0" w:color="auto"/>
            <w:left w:val="none" w:sz="0" w:space="0" w:color="auto"/>
            <w:bottom w:val="none" w:sz="0" w:space="0" w:color="auto"/>
            <w:right w:val="none" w:sz="0" w:space="0" w:color="auto"/>
          </w:divBdr>
        </w:div>
        <w:div w:id="928197667">
          <w:marLeft w:val="0"/>
          <w:marRight w:val="0"/>
          <w:marTop w:val="0"/>
          <w:marBottom w:val="0"/>
          <w:divBdr>
            <w:top w:val="none" w:sz="0" w:space="0" w:color="auto"/>
            <w:left w:val="none" w:sz="0" w:space="0" w:color="auto"/>
            <w:bottom w:val="none" w:sz="0" w:space="0" w:color="auto"/>
            <w:right w:val="none" w:sz="0" w:space="0" w:color="auto"/>
          </w:divBdr>
        </w:div>
        <w:div w:id="1193148919">
          <w:marLeft w:val="0"/>
          <w:marRight w:val="0"/>
          <w:marTop w:val="0"/>
          <w:marBottom w:val="0"/>
          <w:divBdr>
            <w:top w:val="none" w:sz="0" w:space="0" w:color="auto"/>
            <w:left w:val="none" w:sz="0" w:space="0" w:color="auto"/>
            <w:bottom w:val="none" w:sz="0" w:space="0" w:color="auto"/>
            <w:right w:val="none" w:sz="0" w:space="0" w:color="auto"/>
          </w:divBdr>
        </w:div>
        <w:div w:id="1207528235">
          <w:marLeft w:val="0"/>
          <w:marRight w:val="0"/>
          <w:marTop w:val="0"/>
          <w:marBottom w:val="0"/>
          <w:divBdr>
            <w:top w:val="none" w:sz="0" w:space="0" w:color="auto"/>
            <w:left w:val="none" w:sz="0" w:space="0" w:color="auto"/>
            <w:bottom w:val="none" w:sz="0" w:space="0" w:color="auto"/>
            <w:right w:val="none" w:sz="0" w:space="0" w:color="auto"/>
          </w:divBdr>
        </w:div>
        <w:div w:id="1257518229">
          <w:marLeft w:val="0"/>
          <w:marRight w:val="0"/>
          <w:marTop w:val="0"/>
          <w:marBottom w:val="0"/>
          <w:divBdr>
            <w:top w:val="none" w:sz="0" w:space="0" w:color="auto"/>
            <w:left w:val="none" w:sz="0" w:space="0" w:color="auto"/>
            <w:bottom w:val="none" w:sz="0" w:space="0" w:color="auto"/>
            <w:right w:val="none" w:sz="0" w:space="0" w:color="auto"/>
          </w:divBdr>
        </w:div>
        <w:div w:id="1284388210">
          <w:marLeft w:val="0"/>
          <w:marRight w:val="0"/>
          <w:marTop w:val="0"/>
          <w:marBottom w:val="0"/>
          <w:divBdr>
            <w:top w:val="none" w:sz="0" w:space="0" w:color="auto"/>
            <w:left w:val="none" w:sz="0" w:space="0" w:color="auto"/>
            <w:bottom w:val="none" w:sz="0" w:space="0" w:color="auto"/>
            <w:right w:val="none" w:sz="0" w:space="0" w:color="auto"/>
          </w:divBdr>
        </w:div>
        <w:div w:id="1339694780">
          <w:marLeft w:val="0"/>
          <w:marRight w:val="0"/>
          <w:marTop w:val="0"/>
          <w:marBottom w:val="0"/>
          <w:divBdr>
            <w:top w:val="none" w:sz="0" w:space="0" w:color="auto"/>
            <w:left w:val="none" w:sz="0" w:space="0" w:color="auto"/>
            <w:bottom w:val="none" w:sz="0" w:space="0" w:color="auto"/>
            <w:right w:val="none" w:sz="0" w:space="0" w:color="auto"/>
          </w:divBdr>
        </w:div>
        <w:div w:id="1345133582">
          <w:marLeft w:val="0"/>
          <w:marRight w:val="0"/>
          <w:marTop w:val="0"/>
          <w:marBottom w:val="0"/>
          <w:divBdr>
            <w:top w:val="none" w:sz="0" w:space="0" w:color="auto"/>
            <w:left w:val="none" w:sz="0" w:space="0" w:color="auto"/>
            <w:bottom w:val="none" w:sz="0" w:space="0" w:color="auto"/>
            <w:right w:val="none" w:sz="0" w:space="0" w:color="auto"/>
          </w:divBdr>
        </w:div>
        <w:div w:id="1417047647">
          <w:marLeft w:val="0"/>
          <w:marRight w:val="0"/>
          <w:marTop w:val="0"/>
          <w:marBottom w:val="0"/>
          <w:divBdr>
            <w:top w:val="none" w:sz="0" w:space="0" w:color="auto"/>
            <w:left w:val="none" w:sz="0" w:space="0" w:color="auto"/>
            <w:bottom w:val="none" w:sz="0" w:space="0" w:color="auto"/>
            <w:right w:val="none" w:sz="0" w:space="0" w:color="auto"/>
          </w:divBdr>
        </w:div>
        <w:div w:id="1489786125">
          <w:marLeft w:val="0"/>
          <w:marRight w:val="0"/>
          <w:marTop w:val="0"/>
          <w:marBottom w:val="0"/>
          <w:divBdr>
            <w:top w:val="none" w:sz="0" w:space="0" w:color="auto"/>
            <w:left w:val="none" w:sz="0" w:space="0" w:color="auto"/>
            <w:bottom w:val="none" w:sz="0" w:space="0" w:color="auto"/>
            <w:right w:val="none" w:sz="0" w:space="0" w:color="auto"/>
          </w:divBdr>
        </w:div>
        <w:div w:id="1701005597">
          <w:marLeft w:val="0"/>
          <w:marRight w:val="0"/>
          <w:marTop w:val="0"/>
          <w:marBottom w:val="0"/>
          <w:divBdr>
            <w:top w:val="none" w:sz="0" w:space="0" w:color="auto"/>
            <w:left w:val="none" w:sz="0" w:space="0" w:color="auto"/>
            <w:bottom w:val="none" w:sz="0" w:space="0" w:color="auto"/>
            <w:right w:val="none" w:sz="0" w:space="0" w:color="auto"/>
          </w:divBdr>
        </w:div>
        <w:div w:id="1780562126">
          <w:marLeft w:val="0"/>
          <w:marRight w:val="0"/>
          <w:marTop w:val="0"/>
          <w:marBottom w:val="0"/>
          <w:divBdr>
            <w:top w:val="none" w:sz="0" w:space="0" w:color="auto"/>
            <w:left w:val="none" w:sz="0" w:space="0" w:color="auto"/>
            <w:bottom w:val="none" w:sz="0" w:space="0" w:color="auto"/>
            <w:right w:val="none" w:sz="0" w:space="0" w:color="auto"/>
          </w:divBdr>
        </w:div>
        <w:div w:id="1813251962">
          <w:marLeft w:val="0"/>
          <w:marRight w:val="0"/>
          <w:marTop w:val="0"/>
          <w:marBottom w:val="0"/>
          <w:divBdr>
            <w:top w:val="none" w:sz="0" w:space="0" w:color="auto"/>
            <w:left w:val="none" w:sz="0" w:space="0" w:color="auto"/>
            <w:bottom w:val="none" w:sz="0" w:space="0" w:color="auto"/>
            <w:right w:val="none" w:sz="0" w:space="0" w:color="auto"/>
          </w:divBdr>
        </w:div>
        <w:div w:id="1877619387">
          <w:marLeft w:val="0"/>
          <w:marRight w:val="0"/>
          <w:marTop w:val="0"/>
          <w:marBottom w:val="0"/>
          <w:divBdr>
            <w:top w:val="none" w:sz="0" w:space="0" w:color="auto"/>
            <w:left w:val="none" w:sz="0" w:space="0" w:color="auto"/>
            <w:bottom w:val="none" w:sz="0" w:space="0" w:color="auto"/>
            <w:right w:val="none" w:sz="0" w:space="0" w:color="auto"/>
          </w:divBdr>
        </w:div>
        <w:div w:id="1886604680">
          <w:marLeft w:val="0"/>
          <w:marRight w:val="0"/>
          <w:marTop w:val="0"/>
          <w:marBottom w:val="0"/>
          <w:divBdr>
            <w:top w:val="none" w:sz="0" w:space="0" w:color="auto"/>
            <w:left w:val="none" w:sz="0" w:space="0" w:color="auto"/>
            <w:bottom w:val="none" w:sz="0" w:space="0" w:color="auto"/>
            <w:right w:val="none" w:sz="0" w:space="0" w:color="auto"/>
          </w:divBdr>
        </w:div>
        <w:div w:id="1918901281">
          <w:marLeft w:val="0"/>
          <w:marRight w:val="0"/>
          <w:marTop w:val="0"/>
          <w:marBottom w:val="0"/>
          <w:divBdr>
            <w:top w:val="none" w:sz="0" w:space="0" w:color="auto"/>
            <w:left w:val="none" w:sz="0" w:space="0" w:color="auto"/>
            <w:bottom w:val="none" w:sz="0" w:space="0" w:color="auto"/>
            <w:right w:val="none" w:sz="0" w:space="0" w:color="auto"/>
          </w:divBdr>
        </w:div>
        <w:div w:id="2095320540">
          <w:marLeft w:val="0"/>
          <w:marRight w:val="0"/>
          <w:marTop w:val="0"/>
          <w:marBottom w:val="0"/>
          <w:divBdr>
            <w:top w:val="none" w:sz="0" w:space="0" w:color="auto"/>
            <w:left w:val="none" w:sz="0" w:space="0" w:color="auto"/>
            <w:bottom w:val="none" w:sz="0" w:space="0" w:color="auto"/>
            <w:right w:val="none" w:sz="0" w:space="0" w:color="auto"/>
          </w:divBdr>
        </w:div>
        <w:div w:id="2115393091">
          <w:marLeft w:val="0"/>
          <w:marRight w:val="0"/>
          <w:marTop w:val="0"/>
          <w:marBottom w:val="0"/>
          <w:divBdr>
            <w:top w:val="none" w:sz="0" w:space="0" w:color="auto"/>
            <w:left w:val="none" w:sz="0" w:space="0" w:color="auto"/>
            <w:bottom w:val="none" w:sz="0" w:space="0" w:color="auto"/>
            <w:right w:val="none" w:sz="0" w:space="0" w:color="auto"/>
          </w:divBdr>
        </w:div>
      </w:divsChild>
    </w:div>
    <w:div w:id="59448357">
      <w:bodyDiv w:val="1"/>
      <w:marLeft w:val="0"/>
      <w:marRight w:val="0"/>
      <w:marTop w:val="0"/>
      <w:marBottom w:val="0"/>
      <w:divBdr>
        <w:top w:val="none" w:sz="0" w:space="0" w:color="auto"/>
        <w:left w:val="none" w:sz="0" w:space="0" w:color="auto"/>
        <w:bottom w:val="none" w:sz="0" w:space="0" w:color="auto"/>
        <w:right w:val="none" w:sz="0" w:space="0" w:color="auto"/>
      </w:divBdr>
      <w:divsChild>
        <w:div w:id="45758331">
          <w:marLeft w:val="0"/>
          <w:marRight w:val="0"/>
          <w:marTop w:val="0"/>
          <w:marBottom w:val="0"/>
          <w:divBdr>
            <w:top w:val="none" w:sz="0" w:space="0" w:color="auto"/>
            <w:left w:val="none" w:sz="0" w:space="0" w:color="auto"/>
            <w:bottom w:val="none" w:sz="0" w:space="0" w:color="auto"/>
            <w:right w:val="none" w:sz="0" w:space="0" w:color="auto"/>
          </w:divBdr>
        </w:div>
        <w:div w:id="69499961">
          <w:marLeft w:val="0"/>
          <w:marRight w:val="0"/>
          <w:marTop w:val="0"/>
          <w:marBottom w:val="0"/>
          <w:divBdr>
            <w:top w:val="none" w:sz="0" w:space="0" w:color="auto"/>
            <w:left w:val="none" w:sz="0" w:space="0" w:color="auto"/>
            <w:bottom w:val="none" w:sz="0" w:space="0" w:color="auto"/>
            <w:right w:val="none" w:sz="0" w:space="0" w:color="auto"/>
          </w:divBdr>
        </w:div>
        <w:div w:id="181014857">
          <w:marLeft w:val="0"/>
          <w:marRight w:val="0"/>
          <w:marTop w:val="0"/>
          <w:marBottom w:val="0"/>
          <w:divBdr>
            <w:top w:val="none" w:sz="0" w:space="0" w:color="auto"/>
            <w:left w:val="none" w:sz="0" w:space="0" w:color="auto"/>
            <w:bottom w:val="none" w:sz="0" w:space="0" w:color="auto"/>
            <w:right w:val="none" w:sz="0" w:space="0" w:color="auto"/>
          </w:divBdr>
        </w:div>
        <w:div w:id="444470792">
          <w:marLeft w:val="0"/>
          <w:marRight w:val="0"/>
          <w:marTop w:val="0"/>
          <w:marBottom w:val="0"/>
          <w:divBdr>
            <w:top w:val="none" w:sz="0" w:space="0" w:color="auto"/>
            <w:left w:val="none" w:sz="0" w:space="0" w:color="auto"/>
            <w:bottom w:val="none" w:sz="0" w:space="0" w:color="auto"/>
            <w:right w:val="none" w:sz="0" w:space="0" w:color="auto"/>
          </w:divBdr>
        </w:div>
        <w:div w:id="494346093">
          <w:marLeft w:val="0"/>
          <w:marRight w:val="0"/>
          <w:marTop w:val="0"/>
          <w:marBottom w:val="0"/>
          <w:divBdr>
            <w:top w:val="none" w:sz="0" w:space="0" w:color="auto"/>
            <w:left w:val="none" w:sz="0" w:space="0" w:color="auto"/>
            <w:bottom w:val="none" w:sz="0" w:space="0" w:color="auto"/>
            <w:right w:val="none" w:sz="0" w:space="0" w:color="auto"/>
          </w:divBdr>
        </w:div>
        <w:div w:id="781463183">
          <w:marLeft w:val="0"/>
          <w:marRight w:val="0"/>
          <w:marTop w:val="0"/>
          <w:marBottom w:val="0"/>
          <w:divBdr>
            <w:top w:val="none" w:sz="0" w:space="0" w:color="auto"/>
            <w:left w:val="none" w:sz="0" w:space="0" w:color="auto"/>
            <w:bottom w:val="none" w:sz="0" w:space="0" w:color="auto"/>
            <w:right w:val="none" w:sz="0" w:space="0" w:color="auto"/>
          </w:divBdr>
        </w:div>
        <w:div w:id="1351950141">
          <w:marLeft w:val="0"/>
          <w:marRight w:val="0"/>
          <w:marTop w:val="0"/>
          <w:marBottom w:val="0"/>
          <w:divBdr>
            <w:top w:val="none" w:sz="0" w:space="0" w:color="auto"/>
            <w:left w:val="none" w:sz="0" w:space="0" w:color="auto"/>
            <w:bottom w:val="none" w:sz="0" w:space="0" w:color="auto"/>
            <w:right w:val="none" w:sz="0" w:space="0" w:color="auto"/>
          </w:divBdr>
        </w:div>
        <w:div w:id="1380978278">
          <w:marLeft w:val="0"/>
          <w:marRight w:val="0"/>
          <w:marTop w:val="0"/>
          <w:marBottom w:val="0"/>
          <w:divBdr>
            <w:top w:val="none" w:sz="0" w:space="0" w:color="auto"/>
            <w:left w:val="none" w:sz="0" w:space="0" w:color="auto"/>
            <w:bottom w:val="none" w:sz="0" w:space="0" w:color="auto"/>
            <w:right w:val="none" w:sz="0" w:space="0" w:color="auto"/>
          </w:divBdr>
        </w:div>
        <w:div w:id="1490826427">
          <w:marLeft w:val="0"/>
          <w:marRight w:val="0"/>
          <w:marTop w:val="0"/>
          <w:marBottom w:val="0"/>
          <w:divBdr>
            <w:top w:val="none" w:sz="0" w:space="0" w:color="auto"/>
            <w:left w:val="none" w:sz="0" w:space="0" w:color="auto"/>
            <w:bottom w:val="none" w:sz="0" w:space="0" w:color="auto"/>
            <w:right w:val="none" w:sz="0" w:space="0" w:color="auto"/>
          </w:divBdr>
        </w:div>
        <w:div w:id="1530485809">
          <w:marLeft w:val="0"/>
          <w:marRight w:val="0"/>
          <w:marTop w:val="0"/>
          <w:marBottom w:val="0"/>
          <w:divBdr>
            <w:top w:val="none" w:sz="0" w:space="0" w:color="auto"/>
            <w:left w:val="none" w:sz="0" w:space="0" w:color="auto"/>
            <w:bottom w:val="none" w:sz="0" w:space="0" w:color="auto"/>
            <w:right w:val="none" w:sz="0" w:space="0" w:color="auto"/>
          </w:divBdr>
        </w:div>
        <w:div w:id="1548833161">
          <w:marLeft w:val="0"/>
          <w:marRight w:val="0"/>
          <w:marTop w:val="0"/>
          <w:marBottom w:val="0"/>
          <w:divBdr>
            <w:top w:val="none" w:sz="0" w:space="0" w:color="auto"/>
            <w:left w:val="none" w:sz="0" w:space="0" w:color="auto"/>
            <w:bottom w:val="none" w:sz="0" w:space="0" w:color="auto"/>
            <w:right w:val="none" w:sz="0" w:space="0" w:color="auto"/>
          </w:divBdr>
        </w:div>
        <w:div w:id="1611739968">
          <w:marLeft w:val="0"/>
          <w:marRight w:val="0"/>
          <w:marTop w:val="0"/>
          <w:marBottom w:val="0"/>
          <w:divBdr>
            <w:top w:val="none" w:sz="0" w:space="0" w:color="auto"/>
            <w:left w:val="none" w:sz="0" w:space="0" w:color="auto"/>
            <w:bottom w:val="none" w:sz="0" w:space="0" w:color="auto"/>
            <w:right w:val="none" w:sz="0" w:space="0" w:color="auto"/>
          </w:divBdr>
        </w:div>
        <w:div w:id="1792554766">
          <w:marLeft w:val="0"/>
          <w:marRight w:val="0"/>
          <w:marTop w:val="0"/>
          <w:marBottom w:val="0"/>
          <w:divBdr>
            <w:top w:val="none" w:sz="0" w:space="0" w:color="auto"/>
            <w:left w:val="none" w:sz="0" w:space="0" w:color="auto"/>
            <w:bottom w:val="none" w:sz="0" w:space="0" w:color="auto"/>
            <w:right w:val="none" w:sz="0" w:space="0" w:color="auto"/>
          </w:divBdr>
        </w:div>
        <w:div w:id="2043433722">
          <w:marLeft w:val="0"/>
          <w:marRight w:val="0"/>
          <w:marTop w:val="0"/>
          <w:marBottom w:val="0"/>
          <w:divBdr>
            <w:top w:val="none" w:sz="0" w:space="0" w:color="auto"/>
            <w:left w:val="none" w:sz="0" w:space="0" w:color="auto"/>
            <w:bottom w:val="none" w:sz="0" w:space="0" w:color="auto"/>
            <w:right w:val="none" w:sz="0" w:space="0" w:color="auto"/>
          </w:divBdr>
        </w:div>
        <w:div w:id="2087990393">
          <w:marLeft w:val="0"/>
          <w:marRight w:val="0"/>
          <w:marTop w:val="0"/>
          <w:marBottom w:val="0"/>
          <w:divBdr>
            <w:top w:val="none" w:sz="0" w:space="0" w:color="auto"/>
            <w:left w:val="none" w:sz="0" w:space="0" w:color="auto"/>
            <w:bottom w:val="none" w:sz="0" w:space="0" w:color="auto"/>
            <w:right w:val="none" w:sz="0" w:space="0" w:color="auto"/>
          </w:divBdr>
        </w:div>
      </w:divsChild>
    </w:div>
    <w:div w:id="60370175">
      <w:bodyDiv w:val="1"/>
      <w:marLeft w:val="0"/>
      <w:marRight w:val="0"/>
      <w:marTop w:val="0"/>
      <w:marBottom w:val="0"/>
      <w:divBdr>
        <w:top w:val="none" w:sz="0" w:space="0" w:color="auto"/>
        <w:left w:val="none" w:sz="0" w:space="0" w:color="auto"/>
        <w:bottom w:val="none" w:sz="0" w:space="0" w:color="auto"/>
        <w:right w:val="none" w:sz="0" w:space="0" w:color="auto"/>
      </w:divBdr>
      <w:divsChild>
        <w:div w:id="1565096497">
          <w:marLeft w:val="0"/>
          <w:marRight w:val="0"/>
          <w:marTop w:val="0"/>
          <w:marBottom w:val="0"/>
          <w:divBdr>
            <w:top w:val="none" w:sz="0" w:space="0" w:color="auto"/>
            <w:left w:val="none" w:sz="0" w:space="0" w:color="auto"/>
            <w:bottom w:val="none" w:sz="0" w:space="0" w:color="auto"/>
            <w:right w:val="none" w:sz="0" w:space="0" w:color="auto"/>
          </w:divBdr>
          <w:divsChild>
            <w:div w:id="1119447255">
              <w:marLeft w:val="0"/>
              <w:marRight w:val="0"/>
              <w:marTop w:val="0"/>
              <w:marBottom w:val="0"/>
              <w:divBdr>
                <w:top w:val="none" w:sz="0" w:space="0" w:color="auto"/>
                <w:left w:val="none" w:sz="0" w:space="0" w:color="auto"/>
                <w:bottom w:val="none" w:sz="0" w:space="0" w:color="auto"/>
                <w:right w:val="none" w:sz="0" w:space="0" w:color="auto"/>
              </w:divBdr>
            </w:div>
            <w:div w:id="760414677">
              <w:marLeft w:val="0"/>
              <w:marRight w:val="0"/>
              <w:marTop w:val="0"/>
              <w:marBottom w:val="0"/>
              <w:divBdr>
                <w:top w:val="none" w:sz="0" w:space="0" w:color="auto"/>
                <w:left w:val="none" w:sz="0" w:space="0" w:color="auto"/>
                <w:bottom w:val="none" w:sz="0" w:space="0" w:color="auto"/>
                <w:right w:val="none" w:sz="0" w:space="0" w:color="auto"/>
              </w:divBdr>
            </w:div>
            <w:div w:id="1137576421">
              <w:marLeft w:val="0"/>
              <w:marRight w:val="0"/>
              <w:marTop w:val="0"/>
              <w:marBottom w:val="0"/>
              <w:divBdr>
                <w:top w:val="none" w:sz="0" w:space="0" w:color="auto"/>
                <w:left w:val="none" w:sz="0" w:space="0" w:color="auto"/>
                <w:bottom w:val="none" w:sz="0" w:space="0" w:color="auto"/>
                <w:right w:val="none" w:sz="0" w:space="0" w:color="auto"/>
              </w:divBdr>
            </w:div>
            <w:div w:id="797912660">
              <w:marLeft w:val="0"/>
              <w:marRight w:val="0"/>
              <w:marTop w:val="0"/>
              <w:marBottom w:val="0"/>
              <w:divBdr>
                <w:top w:val="none" w:sz="0" w:space="0" w:color="auto"/>
                <w:left w:val="none" w:sz="0" w:space="0" w:color="auto"/>
                <w:bottom w:val="none" w:sz="0" w:space="0" w:color="auto"/>
                <w:right w:val="none" w:sz="0" w:space="0" w:color="auto"/>
              </w:divBdr>
            </w:div>
            <w:div w:id="1941643119">
              <w:marLeft w:val="0"/>
              <w:marRight w:val="0"/>
              <w:marTop w:val="0"/>
              <w:marBottom w:val="0"/>
              <w:divBdr>
                <w:top w:val="none" w:sz="0" w:space="0" w:color="auto"/>
                <w:left w:val="none" w:sz="0" w:space="0" w:color="auto"/>
                <w:bottom w:val="none" w:sz="0" w:space="0" w:color="auto"/>
                <w:right w:val="none" w:sz="0" w:space="0" w:color="auto"/>
              </w:divBdr>
            </w:div>
            <w:div w:id="188378761">
              <w:marLeft w:val="0"/>
              <w:marRight w:val="0"/>
              <w:marTop w:val="0"/>
              <w:marBottom w:val="0"/>
              <w:divBdr>
                <w:top w:val="none" w:sz="0" w:space="0" w:color="auto"/>
                <w:left w:val="none" w:sz="0" w:space="0" w:color="auto"/>
                <w:bottom w:val="none" w:sz="0" w:space="0" w:color="auto"/>
                <w:right w:val="none" w:sz="0" w:space="0" w:color="auto"/>
              </w:divBdr>
            </w:div>
            <w:div w:id="1792046190">
              <w:marLeft w:val="0"/>
              <w:marRight w:val="0"/>
              <w:marTop w:val="0"/>
              <w:marBottom w:val="0"/>
              <w:divBdr>
                <w:top w:val="none" w:sz="0" w:space="0" w:color="auto"/>
                <w:left w:val="none" w:sz="0" w:space="0" w:color="auto"/>
                <w:bottom w:val="none" w:sz="0" w:space="0" w:color="auto"/>
                <w:right w:val="none" w:sz="0" w:space="0" w:color="auto"/>
              </w:divBdr>
            </w:div>
            <w:div w:id="1567034088">
              <w:marLeft w:val="0"/>
              <w:marRight w:val="0"/>
              <w:marTop w:val="0"/>
              <w:marBottom w:val="0"/>
              <w:divBdr>
                <w:top w:val="none" w:sz="0" w:space="0" w:color="auto"/>
                <w:left w:val="none" w:sz="0" w:space="0" w:color="auto"/>
                <w:bottom w:val="none" w:sz="0" w:space="0" w:color="auto"/>
                <w:right w:val="none" w:sz="0" w:space="0" w:color="auto"/>
              </w:divBdr>
            </w:div>
            <w:div w:id="90440513">
              <w:marLeft w:val="0"/>
              <w:marRight w:val="0"/>
              <w:marTop w:val="0"/>
              <w:marBottom w:val="0"/>
              <w:divBdr>
                <w:top w:val="none" w:sz="0" w:space="0" w:color="auto"/>
                <w:left w:val="none" w:sz="0" w:space="0" w:color="auto"/>
                <w:bottom w:val="none" w:sz="0" w:space="0" w:color="auto"/>
                <w:right w:val="none" w:sz="0" w:space="0" w:color="auto"/>
              </w:divBdr>
            </w:div>
            <w:div w:id="1551648605">
              <w:marLeft w:val="0"/>
              <w:marRight w:val="0"/>
              <w:marTop w:val="0"/>
              <w:marBottom w:val="0"/>
              <w:divBdr>
                <w:top w:val="none" w:sz="0" w:space="0" w:color="auto"/>
                <w:left w:val="none" w:sz="0" w:space="0" w:color="auto"/>
                <w:bottom w:val="none" w:sz="0" w:space="0" w:color="auto"/>
                <w:right w:val="none" w:sz="0" w:space="0" w:color="auto"/>
              </w:divBdr>
            </w:div>
            <w:div w:id="1715690799">
              <w:marLeft w:val="0"/>
              <w:marRight w:val="0"/>
              <w:marTop w:val="0"/>
              <w:marBottom w:val="0"/>
              <w:divBdr>
                <w:top w:val="none" w:sz="0" w:space="0" w:color="auto"/>
                <w:left w:val="none" w:sz="0" w:space="0" w:color="auto"/>
                <w:bottom w:val="none" w:sz="0" w:space="0" w:color="auto"/>
                <w:right w:val="none" w:sz="0" w:space="0" w:color="auto"/>
              </w:divBdr>
            </w:div>
            <w:div w:id="1145388002">
              <w:marLeft w:val="0"/>
              <w:marRight w:val="0"/>
              <w:marTop w:val="0"/>
              <w:marBottom w:val="0"/>
              <w:divBdr>
                <w:top w:val="none" w:sz="0" w:space="0" w:color="auto"/>
                <w:left w:val="none" w:sz="0" w:space="0" w:color="auto"/>
                <w:bottom w:val="none" w:sz="0" w:space="0" w:color="auto"/>
                <w:right w:val="none" w:sz="0" w:space="0" w:color="auto"/>
              </w:divBdr>
            </w:div>
          </w:divsChild>
        </w:div>
        <w:div w:id="1374648081">
          <w:marLeft w:val="0"/>
          <w:marRight w:val="0"/>
          <w:marTop w:val="0"/>
          <w:marBottom w:val="0"/>
          <w:divBdr>
            <w:top w:val="none" w:sz="0" w:space="0" w:color="auto"/>
            <w:left w:val="none" w:sz="0" w:space="0" w:color="auto"/>
            <w:bottom w:val="none" w:sz="0" w:space="0" w:color="auto"/>
            <w:right w:val="none" w:sz="0" w:space="0" w:color="auto"/>
          </w:divBdr>
          <w:divsChild>
            <w:div w:id="1829902818">
              <w:marLeft w:val="0"/>
              <w:marRight w:val="0"/>
              <w:marTop w:val="0"/>
              <w:marBottom w:val="0"/>
              <w:divBdr>
                <w:top w:val="none" w:sz="0" w:space="0" w:color="auto"/>
                <w:left w:val="none" w:sz="0" w:space="0" w:color="auto"/>
                <w:bottom w:val="none" w:sz="0" w:space="0" w:color="auto"/>
                <w:right w:val="none" w:sz="0" w:space="0" w:color="auto"/>
              </w:divBdr>
            </w:div>
            <w:div w:id="498010647">
              <w:marLeft w:val="0"/>
              <w:marRight w:val="0"/>
              <w:marTop w:val="0"/>
              <w:marBottom w:val="0"/>
              <w:divBdr>
                <w:top w:val="none" w:sz="0" w:space="0" w:color="auto"/>
                <w:left w:val="none" w:sz="0" w:space="0" w:color="auto"/>
                <w:bottom w:val="none" w:sz="0" w:space="0" w:color="auto"/>
                <w:right w:val="none" w:sz="0" w:space="0" w:color="auto"/>
              </w:divBdr>
            </w:div>
            <w:div w:id="831066588">
              <w:marLeft w:val="0"/>
              <w:marRight w:val="0"/>
              <w:marTop w:val="0"/>
              <w:marBottom w:val="0"/>
              <w:divBdr>
                <w:top w:val="none" w:sz="0" w:space="0" w:color="auto"/>
                <w:left w:val="none" w:sz="0" w:space="0" w:color="auto"/>
                <w:bottom w:val="none" w:sz="0" w:space="0" w:color="auto"/>
                <w:right w:val="none" w:sz="0" w:space="0" w:color="auto"/>
              </w:divBdr>
            </w:div>
            <w:div w:id="1017922339">
              <w:marLeft w:val="0"/>
              <w:marRight w:val="0"/>
              <w:marTop w:val="0"/>
              <w:marBottom w:val="0"/>
              <w:divBdr>
                <w:top w:val="none" w:sz="0" w:space="0" w:color="auto"/>
                <w:left w:val="none" w:sz="0" w:space="0" w:color="auto"/>
                <w:bottom w:val="none" w:sz="0" w:space="0" w:color="auto"/>
                <w:right w:val="none" w:sz="0" w:space="0" w:color="auto"/>
              </w:divBdr>
            </w:div>
            <w:div w:id="1047876718">
              <w:marLeft w:val="0"/>
              <w:marRight w:val="0"/>
              <w:marTop w:val="0"/>
              <w:marBottom w:val="0"/>
              <w:divBdr>
                <w:top w:val="none" w:sz="0" w:space="0" w:color="auto"/>
                <w:left w:val="none" w:sz="0" w:space="0" w:color="auto"/>
                <w:bottom w:val="none" w:sz="0" w:space="0" w:color="auto"/>
                <w:right w:val="none" w:sz="0" w:space="0" w:color="auto"/>
              </w:divBdr>
            </w:div>
            <w:div w:id="498424451">
              <w:marLeft w:val="0"/>
              <w:marRight w:val="0"/>
              <w:marTop w:val="0"/>
              <w:marBottom w:val="0"/>
              <w:divBdr>
                <w:top w:val="none" w:sz="0" w:space="0" w:color="auto"/>
                <w:left w:val="none" w:sz="0" w:space="0" w:color="auto"/>
                <w:bottom w:val="none" w:sz="0" w:space="0" w:color="auto"/>
                <w:right w:val="none" w:sz="0" w:space="0" w:color="auto"/>
              </w:divBdr>
            </w:div>
            <w:div w:id="2116510365">
              <w:marLeft w:val="0"/>
              <w:marRight w:val="0"/>
              <w:marTop w:val="0"/>
              <w:marBottom w:val="0"/>
              <w:divBdr>
                <w:top w:val="none" w:sz="0" w:space="0" w:color="auto"/>
                <w:left w:val="none" w:sz="0" w:space="0" w:color="auto"/>
                <w:bottom w:val="none" w:sz="0" w:space="0" w:color="auto"/>
                <w:right w:val="none" w:sz="0" w:space="0" w:color="auto"/>
              </w:divBdr>
            </w:div>
            <w:div w:id="1359434227">
              <w:marLeft w:val="0"/>
              <w:marRight w:val="0"/>
              <w:marTop w:val="0"/>
              <w:marBottom w:val="0"/>
              <w:divBdr>
                <w:top w:val="none" w:sz="0" w:space="0" w:color="auto"/>
                <w:left w:val="none" w:sz="0" w:space="0" w:color="auto"/>
                <w:bottom w:val="none" w:sz="0" w:space="0" w:color="auto"/>
                <w:right w:val="none" w:sz="0" w:space="0" w:color="auto"/>
              </w:divBdr>
            </w:div>
            <w:div w:id="609555099">
              <w:marLeft w:val="0"/>
              <w:marRight w:val="0"/>
              <w:marTop w:val="0"/>
              <w:marBottom w:val="0"/>
              <w:divBdr>
                <w:top w:val="none" w:sz="0" w:space="0" w:color="auto"/>
                <w:left w:val="none" w:sz="0" w:space="0" w:color="auto"/>
                <w:bottom w:val="none" w:sz="0" w:space="0" w:color="auto"/>
                <w:right w:val="none" w:sz="0" w:space="0" w:color="auto"/>
              </w:divBdr>
            </w:div>
            <w:div w:id="1662271722">
              <w:marLeft w:val="0"/>
              <w:marRight w:val="0"/>
              <w:marTop w:val="0"/>
              <w:marBottom w:val="0"/>
              <w:divBdr>
                <w:top w:val="none" w:sz="0" w:space="0" w:color="auto"/>
                <w:left w:val="none" w:sz="0" w:space="0" w:color="auto"/>
                <w:bottom w:val="none" w:sz="0" w:space="0" w:color="auto"/>
                <w:right w:val="none" w:sz="0" w:space="0" w:color="auto"/>
              </w:divBdr>
            </w:div>
            <w:div w:id="2021274132">
              <w:marLeft w:val="0"/>
              <w:marRight w:val="0"/>
              <w:marTop w:val="0"/>
              <w:marBottom w:val="0"/>
              <w:divBdr>
                <w:top w:val="none" w:sz="0" w:space="0" w:color="auto"/>
                <w:left w:val="none" w:sz="0" w:space="0" w:color="auto"/>
                <w:bottom w:val="none" w:sz="0" w:space="0" w:color="auto"/>
                <w:right w:val="none" w:sz="0" w:space="0" w:color="auto"/>
              </w:divBdr>
            </w:div>
            <w:div w:id="1121925416">
              <w:marLeft w:val="0"/>
              <w:marRight w:val="0"/>
              <w:marTop w:val="0"/>
              <w:marBottom w:val="0"/>
              <w:divBdr>
                <w:top w:val="none" w:sz="0" w:space="0" w:color="auto"/>
                <w:left w:val="none" w:sz="0" w:space="0" w:color="auto"/>
                <w:bottom w:val="none" w:sz="0" w:space="0" w:color="auto"/>
                <w:right w:val="none" w:sz="0" w:space="0" w:color="auto"/>
              </w:divBdr>
            </w:div>
            <w:div w:id="1422874241">
              <w:marLeft w:val="0"/>
              <w:marRight w:val="0"/>
              <w:marTop w:val="0"/>
              <w:marBottom w:val="0"/>
              <w:divBdr>
                <w:top w:val="none" w:sz="0" w:space="0" w:color="auto"/>
                <w:left w:val="none" w:sz="0" w:space="0" w:color="auto"/>
                <w:bottom w:val="none" w:sz="0" w:space="0" w:color="auto"/>
                <w:right w:val="none" w:sz="0" w:space="0" w:color="auto"/>
              </w:divBdr>
            </w:div>
            <w:div w:id="1005400508">
              <w:marLeft w:val="0"/>
              <w:marRight w:val="0"/>
              <w:marTop w:val="0"/>
              <w:marBottom w:val="0"/>
              <w:divBdr>
                <w:top w:val="none" w:sz="0" w:space="0" w:color="auto"/>
                <w:left w:val="none" w:sz="0" w:space="0" w:color="auto"/>
                <w:bottom w:val="none" w:sz="0" w:space="0" w:color="auto"/>
                <w:right w:val="none" w:sz="0" w:space="0" w:color="auto"/>
              </w:divBdr>
            </w:div>
            <w:div w:id="255557234">
              <w:marLeft w:val="0"/>
              <w:marRight w:val="0"/>
              <w:marTop w:val="0"/>
              <w:marBottom w:val="0"/>
              <w:divBdr>
                <w:top w:val="none" w:sz="0" w:space="0" w:color="auto"/>
                <w:left w:val="none" w:sz="0" w:space="0" w:color="auto"/>
                <w:bottom w:val="none" w:sz="0" w:space="0" w:color="auto"/>
                <w:right w:val="none" w:sz="0" w:space="0" w:color="auto"/>
              </w:divBdr>
            </w:div>
            <w:div w:id="29035575">
              <w:marLeft w:val="0"/>
              <w:marRight w:val="0"/>
              <w:marTop w:val="0"/>
              <w:marBottom w:val="0"/>
              <w:divBdr>
                <w:top w:val="none" w:sz="0" w:space="0" w:color="auto"/>
                <w:left w:val="none" w:sz="0" w:space="0" w:color="auto"/>
                <w:bottom w:val="none" w:sz="0" w:space="0" w:color="auto"/>
                <w:right w:val="none" w:sz="0" w:space="0" w:color="auto"/>
              </w:divBdr>
            </w:div>
            <w:div w:id="698235375">
              <w:marLeft w:val="0"/>
              <w:marRight w:val="0"/>
              <w:marTop w:val="0"/>
              <w:marBottom w:val="0"/>
              <w:divBdr>
                <w:top w:val="none" w:sz="0" w:space="0" w:color="auto"/>
                <w:left w:val="none" w:sz="0" w:space="0" w:color="auto"/>
                <w:bottom w:val="none" w:sz="0" w:space="0" w:color="auto"/>
                <w:right w:val="none" w:sz="0" w:space="0" w:color="auto"/>
              </w:divBdr>
            </w:div>
            <w:div w:id="631524119">
              <w:marLeft w:val="0"/>
              <w:marRight w:val="0"/>
              <w:marTop w:val="0"/>
              <w:marBottom w:val="0"/>
              <w:divBdr>
                <w:top w:val="none" w:sz="0" w:space="0" w:color="auto"/>
                <w:left w:val="none" w:sz="0" w:space="0" w:color="auto"/>
                <w:bottom w:val="none" w:sz="0" w:space="0" w:color="auto"/>
                <w:right w:val="none" w:sz="0" w:space="0" w:color="auto"/>
              </w:divBdr>
            </w:div>
            <w:div w:id="1526751241">
              <w:marLeft w:val="0"/>
              <w:marRight w:val="0"/>
              <w:marTop w:val="0"/>
              <w:marBottom w:val="0"/>
              <w:divBdr>
                <w:top w:val="none" w:sz="0" w:space="0" w:color="auto"/>
                <w:left w:val="none" w:sz="0" w:space="0" w:color="auto"/>
                <w:bottom w:val="none" w:sz="0" w:space="0" w:color="auto"/>
                <w:right w:val="none" w:sz="0" w:space="0" w:color="auto"/>
              </w:divBdr>
            </w:div>
            <w:div w:id="1328095627">
              <w:marLeft w:val="0"/>
              <w:marRight w:val="0"/>
              <w:marTop w:val="0"/>
              <w:marBottom w:val="0"/>
              <w:divBdr>
                <w:top w:val="none" w:sz="0" w:space="0" w:color="auto"/>
                <w:left w:val="none" w:sz="0" w:space="0" w:color="auto"/>
                <w:bottom w:val="none" w:sz="0" w:space="0" w:color="auto"/>
                <w:right w:val="none" w:sz="0" w:space="0" w:color="auto"/>
              </w:divBdr>
            </w:div>
          </w:divsChild>
        </w:div>
        <w:div w:id="1394233133">
          <w:marLeft w:val="0"/>
          <w:marRight w:val="0"/>
          <w:marTop w:val="0"/>
          <w:marBottom w:val="0"/>
          <w:divBdr>
            <w:top w:val="none" w:sz="0" w:space="0" w:color="auto"/>
            <w:left w:val="none" w:sz="0" w:space="0" w:color="auto"/>
            <w:bottom w:val="none" w:sz="0" w:space="0" w:color="auto"/>
            <w:right w:val="none" w:sz="0" w:space="0" w:color="auto"/>
          </w:divBdr>
          <w:divsChild>
            <w:div w:id="874393179">
              <w:marLeft w:val="0"/>
              <w:marRight w:val="0"/>
              <w:marTop w:val="0"/>
              <w:marBottom w:val="0"/>
              <w:divBdr>
                <w:top w:val="none" w:sz="0" w:space="0" w:color="auto"/>
                <w:left w:val="none" w:sz="0" w:space="0" w:color="auto"/>
                <w:bottom w:val="none" w:sz="0" w:space="0" w:color="auto"/>
                <w:right w:val="none" w:sz="0" w:space="0" w:color="auto"/>
              </w:divBdr>
            </w:div>
            <w:div w:id="1404109006">
              <w:marLeft w:val="0"/>
              <w:marRight w:val="0"/>
              <w:marTop w:val="0"/>
              <w:marBottom w:val="0"/>
              <w:divBdr>
                <w:top w:val="none" w:sz="0" w:space="0" w:color="auto"/>
                <w:left w:val="none" w:sz="0" w:space="0" w:color="auto"/>
                <w:bottom w:val="none" w:sz="0" w:space="0" w:color="auto"/>
                <w:right w:val="none" w:sz="0" w:space="0" w:color="auto"/>
              </w:divBdr>
            </w:div>
            <w:div w:id="520358426">
              <w:marLeft w:val="0"/>
              <w:marRight w:val="0"/>
              <w:marTop w:val="0"/>
              <w:marBottom w:val="0"/>
              <w:divBdr>
                <w:top w:val="none" w:sz="0" w:space="0" w:color="auto"/>
                <w:left w:val="none" w:sz="0" w:space="0" w:color="auto"/>
                <w:bottom w:val="none" w:sz="0" w:space="0" w:color="auto"/>
                <w:right w:val="none" w:sz="0" w:space="0" w:color="auto"/>
              </w:divBdr>
            </w:div>
            <w:div w:id="113838704">
              <w:marLeft w:val="0"/>
              <w:marRight w:val="0"/>
              <w:marTop w:val="0"/>
              <w:marBottom w:val="0"/>
              <w:divBdr>
                <w:top w:val="none" w:sz="0" w:space="0" w:color="auto"/>
                <w:left w:val="none" w:sz="0" w:space="0" w:color="auto"/>
                <w:bottom w:val="none" w:sz="0" w:space="0" w:color="auto"/>
                <w:right w:val="none" w:sz="0" w:space="0" w:color="auto"/>
              </w:divBdr>
            </w:div>
            <w:div w:id="1859156353">
              <w:marLeft w:val="0"/>
              <w:marRight w:val="0"/>
              <w:marTop w:val="0"/>
              <w:marBottom w:val="0"/>
              <w:divBdr>
                <w:top w:val="none" w:sz="0" w:space="0" w:color="auto"/>
                <w:left w:val="none" w:sz="0" w:space="0" w:color="auto"/>
                <w:bottom w:val="none" w:sz="0" w:space="0" w:color="auto"/>
                <w:right w:val="none" w:sz="0" w:space="0" w:color="auto"/>
              </w:divBdr>
            </w:div>
            <w:div w:id="347562524">
              <w:marLeft w:val="0"/>
              <w:marRight w:val="0"/>
              <w:marTop w:val="0"/>
              <w:marBottom w:val="0"/>
              <w:divBdr>
                <w:top w:val="none" w:sz="0" w:space="0" w:color="auto"/>
                <w:left w:val="none" w:sz="0" w:space="0" w:color="auto"/>
                <w:bottom w:val="none" w:sz="0" w:space="0" w:color="auto"/>
                <w:right w:val="none" w:sz="0" w:space="0" w:color="auto"/>
              </w:divBdr>
            </w:div>
            <w:div w:id="1503354716">
              <w:marLeft w:val="0"/>
              <w:marRight w:val="0"/>
              <w:marTop w:val="0"/>
              <w:marBottom w:val="0"/>
              <w:divBdr>
                <w:top w:val="none" w:sz="0" w:space="0" w:color="auto"/>
                <w:left w:val="none" w:sz="0" w:space="0" w:color="auto"/>
                <w:bottom w:val="none" w:sz="0" w:space="0" w:color="auto"/>
                <w:right w:val="none" w:sz="0" w:space="0" w:color="auto"/>
              </w:divBdr>
            </w:div>
            <w:div w:id="2120447147">
              <w:marLeft w:val="0"/>
              <w:marRight w:val="0"/>
              <w:marTop w:val="0"/>
              <w:marBottom w:val="0"/>
              <w:divBdr>
                <w:top w:val="none" w:sz="0" w:space="0" w:color="auto"/>
                <w:left w:val="none" w:sz="0" w:space="0" w:color="auto"/>
                <w:bottom w:val="none" w:sz="0" w:space="0" w:color="auto"/>
                <w:right w:val="none" w:sz="0" w:space="0" w:color="auto"/>
              </w:divBdr>
            </w:div>
            <w:div w:id="1119226807">
              <w:marLeft w:val="0"/>
              <w:marRight w:val="0"/>
              <w:marTop w:val="0"/>
              <w:marBottom w:val="0"/>
              <w:divBdr>
                <w:top w:val="none" w:sz="0" w:space="0" w:color="auto"/>
                <w:left w:val="none" w:sz="0" w:space="0" w:color="auto"/>
                <w:bottom w:val="none" w:sz="0" w:space="0" w:color="auto"/>
                <w:right w:val="none" w:sz="0" w:space="0" w:color="auto"/>
              </w:divBdr>
            </w:div>
            <w:div w:id="101413504">
              <w:marLeft w:val="0"/>
              <w:marRight w:val="0"/>
              <w:marTop w:val="0"/>
              <w:marBottom w:val="0"/>
              <w:divBdr>
                <w:top w:val="none" w:sz="0" w:space="0" w:color="auto"/>
                <w:left w:val="none" w:sz="0" w:space="0" w:color="auto"/>
                <w:bottom w:val="none" w:sz="0" w:space="0" w:color="auto"/>
                <w:right w:val="none" w:sz="0" w:space="0" w:color="auto"/>
              </w:divBdr>
            </w:div>
            <w:div w:id="1158883386">
              <w:marLeft w:val="0"/>
              <w:marRight w:val="0"/>
              <w:marTop w:val="0"/>
              <w:marBottom w:val="0"/>
              <w:divBdr>
                <w:top w:val="none" w:sz="0" w:space="0" w:color="auto"/>
                <w:left w:val="none" w:sz="0" w:space="0" w:color="auto"/>
                <w:bottom w:val="none" w:sz="0" w:space="0" w:color="auto"/>
                <w:right w:val="none" w:sz="0" w:space="0" w:color="auto"/>
              </w:divBdr>
            </w:div>
            <w:div w:id="1547178539">
              <w:marLeft w:val="0"/>
              <w:marRight w:val="0"/>
              <w:marTop w:val="0"/>
              <w:marBottom w:val="0"/>
              <w:divBdr>
                <w:top w:val="none" w:sz="0" w:space="0" w:color="auto"/>
                <w:left w:val="none" w:sz="0" w:space="0" w:color="auto"/>
                <w:bottom w:val="none" w:sz="0" w:space="0" w:color="auto"/>
                <w:right w:val="none" w:sz="0" w:space="0" w:color="auto"/>
              </w:divBdr>
            </w:div>
            <w:div w:id="383677864">
              <w:marLeft w:val="0"/>
              <w:marRight w:val="0"/>
              <w:marTop w:val="0"/>
              <w:marBottom w:val="0"/>
              <w:divBdr>
                <w:top w:val="none" w:sz="0" w:space="0" w:color="auto"/>
                <w:left w:val="none" w:sz="0" w:space="0" w:color="auto"/>
                <w:bottom w:val="none" w:sz="0" w:space="0" w:color="auto"/>
                <w:right w:val="none" w:sz="0" w:space="0" w:color="auto"/>
              </w:divBdr>
            </w:div>
            <w:div w:id="1297026310">
              <w:marLeft w:val="0"/>
              <w:marRight w:val="0"/>
              <w:marTop w:val="0"/>
              <w:marBottom w:val="0"/>
              <w:divBdr>
                <w:top w:val="none" w:sz="0" w:space="0" w:color="auto"/>
                <w:left w:val="none" w:sz="0" w:space="0" w:color="auto"/>
                <w:bottom w:val="none" w:sz="0" w:space="0" w:color="auto"/>
                <w:right w:val="none" w:sz="0" w:space="0" w:color="auto"/>
              </w:divBdr>
            </w:div>
            <w:div w:id="44250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4215">
      <w:bodyDiv w:val="1"/>
      <w:marLeft w:val="0"/>
      <w:marRight w:val="0"/>
      <w:marTop w:val="0"/>
      <w:marBottom w:val="0"/>
      <w:divBdr>
        <w:top w:val="none" w:sz="0" w:space="0" w:color="auto"/>
        <w:left w:val="none" w:sz="0" w:space="0" w:color="auto"/>
        <w:bottom w:val="none" w:sz="0" w:space="0" w:color="auto"/>
        <w:right w:val="none" w:sz="0" w:space="0" w:color="auto"/>
      </w:divBdr>
    </w:div>
    <w:div w:id="62996220">
      <w:bodyDiv w:val="1"/>
      <w:marLeft w:val="0"/>
      <w:marRight w:val="0"/>
      <w:marTop w:val="0"/>
      <w:marBottom w:val="0"/>
      <w:divBdr>
        <w:top w:val="none" w:sz="0" w:space="0" w:color="auto"/>
        <w:left w:val="none" w:sz="0" w:space="0" w:color="auto"/>
        <w:bottom w:val="none" w:sz="0" w:space="0" w:color="auto"/>
        <w:right w:val="none" w:sz="0" w:space="0" w:color="auto"/>
      </w:divBdr>
    </w:div>
    <w:div w:id="65492121">
      <w:bodyDiv w:val="1"/>
      <w:marLeft w:val="0"/>
      <w:marRight w:val="0"/>
      <w:marTop w:val="0"/>
      <w:marBottom w:val="0"/>
      <w:divBdr>
        <w:top w:val="none" w:sz="0" w:space="0" w:color="auto"/>
        <w:left w:val="none" w:sz="0" w:space="0" w:color="auto"/>
        <w:bottom w:val="none" w:sz="0" w:space="0" w:color="auto"/>
        <w:right w:val="none" w:sz="0" w:space="0" w:color="auto"/>
      </w:divBdr>
      <w:divsChild>
        <w:div w:id="319817172">
          <w:marLeft w:val="0"/>
          <w:marRight w:val="0"/>
          <w:marTop w:val="0"/>
          <w:marBottom w:val="0"/>
          <w:divBdr>
            <w:top w:val="none" w:sz="0" w:space="0" w:color="auto"/>
            <w:left w:val="none" w:sz="0" w:space="0" w:color="auto"/>
            <w:bottom w:val="none" w:sz="0" w:space="0" w:color="auto"/>
            <w:right w:val="none" w:sz="0" w:space="0" w:color="auto"/>
          </w:divBdr>
          <w:divsChild>
            <w:div w:id="1132821699">
              <w:marLeft w:val="0"/>
              <w:marRight w:val="0"/>
              <w:marTop w:val="0"/>
              <w:marBottom w:val="0"/>
              <w:divBdr>
                <w:top w:val="none" w:sz="0" w:space="0" w:color="auto"/>
                <w:left w:val="none" w:sz="0" w:space="0" w:color="auto"/>
                <w:bottom w:val="none" w:sz="0" w:space="0" w:color="auto"/>
                <w:right w:val="none" w:sz="0" w:space="0" w:color="auto"/>
              </w:divBdr>
            </w:div>
            <w:div w:id="1711145189">
              <w:marLeft w:val="0"/>
              <w:marRight w:val="0"/>
              <w:marTop w:val="0"/>
              <w:marBottom w:val="0"/>
              <w:divBdr>
                <w:top w:val="none" w:sz="0" w:space="0" w:color="auto"/>
                <w:left w:val="none" w:sz="0" w:space="0" w:color="auto"/>
                <w:bottom w:val="none" w:sz="0" w:space="0" w:color="auto"/>
                <w:right w:val="none" w:sz="0" w:space="0" w:color="auto"/>
              </w:divBdr>
            </w:div>
            <w:div w:id="1792242106">
              <w:marLeft w:val="0"/>
              <w:marRight w:val="0"/>
              <w:marTop w:val="0"/>
              <w:marBottom w:val="0"/>
              <w:divBdr>
                <w:top w:val="none" w:sz="0" w:space="0" w:color="auto"/>
                <w:left w:val="none" w:sz="0" w:space="0" w:color="auto"/>
                <w:bottom w:val="none" w:sz="0" w:space="0" w:color="auto"/>
                <w:right w:val="none" w:sz="0" w:space="0" w:color="auto"/>
              </w:divBdr>
            </w:div>
            <w:div w:id="670720211">
              <w:marLeft w:val="0"/>
              <w:marRight w:val="0"/>
              <w:marTop w:val="0"/>
              <w:marBottom w:val="0"/>
              <w:divBdr>
                <w:top w:val="none" w:sz="0" w:space="0" w:color="auto"/>
                <w:left w:val="none" w:sz="0" w:space="0" w:color="auto"/>
                <w:bottom w:val="none" w:sz="0" w:space="0" w:color="auto"/>
                <w:right w:val="none" w:sz="0" w:space="0" w:color="auto"/>
              </w:divBdr>
            </w:div>
            <w:div w:id="480386565">
              <w:marLeft w:val="0"/>
              <w:marRight w:val="0"/>
              <w:marTop w:val="0"/>
              <w:marBottom w:val="0"/>
              <w:divBdr>
                <w:top w:val="none" w:sz="0" w:space="0" w:color="auto"/>
                <w:left w:val="none" w:sz="0" w:space="0" w:color="auto"/>
                <w:bottom w:val="none" w:sz="0" w:space="0" w:color="auto"/>
                <w:right w:val="none" w:sz="0" w:space="0" w:color="auto"/>
              </w:divBdr>
            </w:div>
            <w:div w:id="508761132">
              <w:marLeft w:val="0"/>
              <w:marRight w:val="0"/>
              <w:marTop w:val="0"/>
              <w:marBottom w:val="0"/>
              <w:divBdr>
                <w:top w:val="none" w:sz="0" w:space="0" w:color="auto"/>
                <w:left w:val="none" w:sz="0" w:space="0" w:color="auto"/>
                <w:bottom w:val="none" w:sz="0" w:space="0" w:color="auto"/>
                <w:right w:val="none" w:sz="0" w:space="0" w:color="auto"/>
              </w:divBdr>
            </w:div>
            <w:div w:id="2032031214">
              <w:marLeft w:val="0"/>
              <w:marRight w:val="0"/>
              <w:marTop w:val="0"/>
              <w:marBottom w:val="0"/>
              <w:divBdr>
                <w:top w:val="none" w:sz="0" w:space="0" w:color="auto"/>
                <w:left w:val="none" w:sz="0" w:space="0" w:color="auto"/>
                <w:bottom w:val="none" w:sz="0" w:space="0" w:color="auto"/>
                <w:right w:val="none" w:sz="0" w:space="0" w:color="auto"/>
              </w:divBdr>
            </w:div>
            <w:div w:id="608440478">
              <w:marLeft w:val="0"/>
              <w:marRight w:val="0"/>
              <w:marTop w:val="0"/>
              <w:marBottom w:val="0"/>
              <w:divBdr>
                <w:top w:val="none" w:sz="0" w:space="0" w:color="auto"/>
                <w:left w:val="none" w:sz="0" w:space="0" w:color="auto"/>
                <w:bottom w:val="none" w:sz="0" w:space="0" w:color="auto"/>
                <w:right w:val="none" w:sz="0" w:space="0" w:color="auto"/>
              </w:divBdr>
            </w:div>
            <w:div w:id="441002708">
              <w:marLeft w:val="0"/>
              <w:marRight w:val="0"/>
              <w:marTop w:val="0"/>
              <w:marBottom w:val="0"/>
              <w:divBdr>
                <w:top w:val="none" w:sz="0" w:space="0" w:color="auto"/>
                <w:left w:val="none" w:sz="0" w:space="0" w:color="auto"/>
                <w:bottom w:val="none" w:sz="0" w:space="0" w:color="auto"/>
                <w:right w:val="none" w:sz="0" w:space="0" w:color="auto"/>
              </w:divBdr>
            </w:div>
          </w:divsChild>
        </w:div>
        <w:div w:id="2117017696">
          <w:marLeft w:val="0"/>
          <w:marRight w:val="0"/>
          <w:marTop w:val="0"/>
          <w:marBottom w:val="0"/>
          <w:divBdr>
            <w:top w:val="none" w:sz="0" w:space="0" w:color="auto"/>
            <w:left w:val="none" w:sz="0" w:space="0" w:color="auto"/>
            <w:bottom w:val="none" w:sz="0" w:space="0" w:color="auto"/>
            <w:right w:val="none" w:sz="0" w:space="0" w:color="auto"/>
          </w:divBdr>
          <w:divsChild>
            <w:div w:id="702705523">
              <w:marLeft w:val="0"/>
              <w:marRight w:val="0"/>
              <w:marTop w:val="0"/>
              <w:marBottom w:val="0"/>
              <w:divBdr>
                <w:top w:val="none" w:sz="0" w:space="0" w:color="auto"/>
                <w:left w:val="none" w:sz="0" w:space="0" w:color="auto"/>
                <w:bottom w:val="none" w:sz="0" w:space="0" w:color="auto"/>
                <w:right w:val="none" w:sz="0" w:space="0" w:color="auto"/>
              </w:divBdr>
            </w:div>
            <w:div w:id="133839630">
              <w:marLeft w:val="0"/>
              <w:marRight w:val="0"/>
              <w:marTop w:val="0"/>
              <w:marBottom w:val="0"/>
              <w:divBdr>
                <w:top w:val="none" w:sz="0" w:space="0" w:color="auto"/>
                <w:left w:val="none" w:sz="0" w:space="0" w:color="auto"/>
                <w:bottom w:val="none" w:sz="0" w:space="0" w:color="auto"/>
                <w:right w:val="none" w:sz="0" w:space="0" w:color="auto"/>
              </w:divBdr>
            </w:div>
            <w:div w:id="470172677">
              <w:marLeft w:val="0"/>
              <w:marRight w:val="0"/>
              <w:marTop w:val="0"/>
              <w:marBottom w:val="0"/>
              <w:divBdr>
                <w:top w:val="none" w:sz="0" w:space="0" w:color="auto"/>
                <w:left w:val="none" w:sz="0" w:space="0" w:color="auto"/>
                <w:bottom w:val="none" w:sz="0" w:space="0" w:color="auto"/>
                <w:right w:val="none" w:sz="0" w:space="0" w:color="auto"/>
              </w:divBdr>
            </w:div>
            <w:div w:id="742871895">
              <w:marLeft w:val="0"/>
              <w:marRight w:val="0"/>
              <w:marTop w:val="0"/>
              <w:marBottom w:val="0"/>
              <w:divBdr>
                <w:top w:val="none" w:sz="0" w:space="0" w:color="auto"/>
                <w:left w:val="none" w:sz="0" w:space="0" w:color="auto"/>
                <w:bottom w:val="none" w:sz="0" w:space="0" w:color="auto"/>
                <w:right w:val="none" w:sz="0" w:space="0" w:color="auto"/>
              </w:divBdr>
            </w:div>
            <w:div w:id="1627155485">
              <w:marLeft w:val="0"/>
              <w:marRight w:val="0"/>
              <w:marTop w:val="0"/>
              <w:marBottom w:val="0"/>
              <w:divBdr>
                <w:top w:val="none" w:sz="0" w:space="0" w:color="auto"/>
                <w:left w:val="none" w:sz="0" w:space="0" w:color="auto"/>
                <w:bottom w:val="none" w:sz="0" w:space="0" w:color="auto"/>
                <w:right w:val="none" w:sz="0" w:space="0" w:color="auto"/>
              </w:divBdr>
            </w:div>
            <w:div w:id="1123697465">
              <w:marLeft w:val="0"/>
              <w:marRight w:val="0"/>
              <w:marTop w:val="0"/>
              <w:marBottom w:val="0"/>
              <w:divBdr>
                <w:top w:val="none" w:sz="0" w:space="0" w:color="auto"/>
                <w:left w:val="none" w:sz="0" w:space="0" w:color="auto"/>
                <w:bottom w:val="none" w:sz="0" w:space="0" w:color="auto"/>
                <w:right w:val="none" w:sz="0" w:space="0" w:color="auto"/>
              </w:divBdr>
            </w:div>
            <w:div w:id="20334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16133">
      <w:bodyDiv w:val="1"/>
      <w:marLeft w:val="0"/>
      <w:marRight w:val="0"/>
      <w:marTop w:val="0"/>
      <w:marBottom w:val="0"/>
      <w:divBdr>
        <w:top w:val="none" w:sz="0" w:space="0" w:color="auto"/>
        <w:left w:val="none" w:sz="0" w:space="0" w:color="auto"/>
        <w:bottom w:val="none" w:sz="0" w:space="0" w:color="auto"/>
        <w:right w:val="none" w:sz="0" w:space="0" w:color="auto"/>
      </w:divBdr>
      <w:divsChild>
        <w:div w:id="1850751799">
          <w:marLeft w:val="0"/>
          <w:marRight w:val="0"/>
          <w:marTop w:val="0"/>
          <w:marBottom w:val="0"/>
          <w:divBdr>
            <w:top w:val="none" w:sz="0" w:space="0" w:color="auto"/>
            <w:left w:val="none" w:sz="0" w:space="0" w:color="auto"/>
            <w:bottom w:val="none" w:sz="0" w:space="0" w:color="auto"/>
            <w:right w:val="none" w:sz="0" w:space="0" w:color="auto"/>
          </w:divBdr>
          <w:divsChild>
            <w:div w:id="1759523893">
              <w:marLeft w:val="0"/>
              <w:marRight w:val="0"/>
              <w:marTop w:val="0"/>
              <w:marBottom w:val="0"/>
              <w:divBdr>
                <w:top w:val="none" w:sz="0" w:space="0" w:color="auto"/>
                <w:left w:val="none" w:sz="0" w:space="0" w:color="auto"/>
                <w:bottom w:val="none" w:sz="0" w:space="0" w:color="auto"/>
                <w:right w:val="none" w:sz="0" w:space="0" w:color="auto"/>
              </w:divBdr>
            </w:div>
            <w:div w:id="1865828413">
              <w:marLeft w:val="0"/>
              <w:marRight w:val="0"/>
              <w:marTop w:val="0"/>
              <w:marBottom w:val="0"/>
              <w:divBdr>
                <w:top w:val="none" w:sz="0" w:space="0" w:color="auto"/>
                <w:left w:val="none" w:sz="0" w:space="0" w:color="auto"/>
                <w:bottom w:val="none" w:sz="0" w:space="0" w:color="auto"/>
                <w:right w:val="none" w:sz="0" w:space="0" w:color="auto"/>
              </w:divBdr>
            </w:div>
            <w:div w:id="1825782690">
              <w:marLeft w:val="0"/>
              <w:marRight w:val="0"/>
              <w:marTop w:val="0"/>
              <w:marBottom w:val="0"/>
              <w:divBdr>
                <w:top w:val="none" w:sz="0" w:space="0" w:color="auto"/>
                <w:left w:val="none" w:sz="0" w:space="0" w:color="auto"/>
                <w:bottom w:val="none" w:sz="0" w:space="0" w:color="auto"/>
                <w:right w:val="none" w:sz="0" w:space="0" w:color="auto"/>
              </w:divBdr>
            </w:div>
            <w:div w:id="1493329711">
              <w:marLeft w:val="0"/>
              <w:marRight w:val="0"/>
              <w:marTop w:val="0"/>
              <w:marBottom w:val="0"/>
              <w:divBdr>
                <w:top w:val="none" w:sz="0" w:space="0" w:color="auto"/>
                <w:left w:val="none" w:sz="0" w:space="0" w:color="auto"/>
                <w:bottom w:val="none" w:sz="0" w:space="0" w:color="auto"/>
                <w:right w:val="none" w:sz="0" w:space="0" w:color="auto"/>
              </w:divBdr>
            </w:div>
            <w:div w:id="779377166">
              <w:marLeft w:val="0"/>
              <w:marRight w:val="0"/>
              <w:marTop w:val="0"/>
              <w:marBottom w:val="0"/>
              <w:divBdr>
                <w:top w:val="none" w:sz="0" w:space="0" w:color="auto"/>
                <w:left w:val="none" w:sz="0" w:space="0" w:color="auto"/>
                <w:bottom w:val="none" w:sz="0" w:space="0" w:color="auto"/>
                <w:right w:val="none" w:sz="0" w:space="0" w:color="auto"/>
              </w:divBdr>
            </w:div>
            <w:div w:id="1933313306">
              <w:marLeft w:val="0"/>
              <w:marRight w:val="0"/>
              <w:marTop w:val="0"/>
              <w:marBottom w:val="0"/>
              <w:divBdr>
                <w:top w:val="none" w:sz="0" w:space="0" w:color="auto"/>
                <w:left w:val="none" w:sz="0" w:space="0" w:color="auto"/>
                <w:bottom w:val="none" w:sz="0" w:space="0" w:color="auto"/>
                <w:right w:val="none" w:sz="0" w:space="0" w:color="auto"/>
              </w:divBdr>
            </w:div>
            <w:div w:id="1157766780">
              <w:marLeft w:val="0"/>
              <w:marRight w:val="0"/>
              <w:marTop w:val="0"/>
              <w:marBottom w:val="0"/>
              <w:divBdr>
                <w:top w:val="none" w:sz="0" w:space="0" w:color="auto"/>
                <w:left w:val="none" w:sz="0" w:space="0" w:color="auto"/>
                <w:bottom w:val="none" w:sz="0" w:space="0" w:color="auto"/>
                <w:right w:val="none" w:sz="0" w:space="0" w:color="auto"/>
              </w:divBdr>
            </w:div>
            <w:div w:id="219481678">
              <w:marLeft w:val="0"/>
              <w:marRight w:val="0"/>
              <w:marTop w:val="0"/>
              <w:marBottom w:val="0"/>
              <w:divBdr>
                <w:top w:val="none" w:sz="0" w:space="0" w:color="auto"/>
                <w:left w:val="none" w:sz="0" w:space="0" w:color="auto"/>
                <w:bottom w:val="none" w:sz="0" w:space="0" w:color="auto"/>
                <w:right w:val="none" w:sz="0" w:space="0" w:color="auto"/>
              </w:divBdr>
            </w:div>
            <w:div w:id="1856112203">
              <w:marLeft w:val="0"/>
              <w:marRight w:val="0"/>
              <w:marTop w:val="0"/>
              <w:marBottom w:val="0"/>
              <w:divBdr>
                <w:top w:val="none" w:sz="0" w:space="0" w:color="auto"/>
                <w:left w:val="none" w:sz="0" w:space="0" w:color="auto"/>
                <w:bottom w:val="none" w:sz="0" w:space="0" w:color="auto"/>
                <w:right w:val="none" w:sz="0" w:space="0" w:color="auto"/>
              </w:divBdr>
            </w:div>
            <w:div w:id="209153814">
              <w:marLeft w:val="0"/>
              <w:marRight w:val="0"/>
              <w:marTop w:val="0"/>
              <w:marBottom w:val="0"/>
              <w:divBdr>
                <w:top w:val="none" w:sz="0" w:space="0" w:color="auto"/>
                <w:left w:val="none" w:sz="0" w:space="0" w:color="auto"/>
                <w:bottom w:val="none" w:sz="0" w:space="0" w:color="auto"/>
                <w:right w:val="none" w:sz="0" w:space="0" w:color="auto"/>
              </w:divBdr>
            </w:div>
            <w:div w:id="1297297264">
              <w:marLeft w:val="0"/>
              <w:marRight w:val="0"/>
              <w:marTop w:val="0"/>
              <w:marBottom w:val="0"/>
              <w:divBdr>
                <w:top w:val="none" w:sz="0" w:space="0" w:color="auto"/>
                <w:left w:val="none" w:sz="0" w:space="0" w:color="auto"/>
                <w:bottom w:val="none" w:sz="0" w:space="0" w:color="auto"/>
                <w:right w:val="none" w:sz="0" w:space="0" w:color="auto"/>
              </w:divBdr>
            </w:div>
          </w:divsChild>
        </w:div>
        <w:div w:id="1788619086">
          <w:marLeft w:val="0"/>
          <w:marRight w:val="0"/>
          <w:marTop w:val="0"/>
          <w:marBottom w:val="0"/>
          <w:divBdr>
            <w:top w:val="none" w:sz="0" w:space="0" w:color="auto"/>
            <w:left w:val="none" w:sz="0" w:space="0" w:color="auto"/>
            <w:bottom w:val="none" w:sz="0" w:space="0" w:color="auto"/>
            <w:right w:val="none" w:sz="0" w:space="0" w:color="auto"/>
          </w:divBdr>
          <w:divsChild>
            <w:div w:id="1002898812">
              <w:marLeft w:val="0"/>
              <w:marRight w:val="0"/>
              <w:marTop w:val="0"/>
              <w:marBottom w:val="0"/>
              <w:divBdr>
                <w:top w:val="none" w:sz="0" w:space="0" w:color="auto"/>
                <w:left w:val="none" w:sz="0" w:space="0" w:color="auto"/>
                <w:bottom w:val="none" w:sz="0" w:space="0" w:color="auto"/>
                <w:right w:val="none" w:sz="0" w:space="0" w:color="auto"/>
              </w:divBdr>
            </w:div>
            <w:div w:id="1036156074">
              <w:marLeft w:val="0"/>
              <w:marRight w:val="0"/>
              <w:marTop w:val="0"/>
              <w:marBottom w:val="0"/>
              <w:divBdr>
                <w:top w:val="none" w:sz="0" w:space="0" w:color="auto"/>
                <w:left w:val="none" w:sz="0" w:space="0" w:color="auto"/>
                <w:bottom w:val="none" w:sz="0" w:space="0" w:color="auto"/>
                <w:right w:val="none" w:sz="0" w:space="0" w:color="auto"/>
              </w:divBdr>
            </w:div>
            <w:div w:id="367683142">
              <w:marLeft w:val="0"/>
              <w:marRight w:val="0"/>
              <w:marTop w:val="0"/>
              <w:marBottom w:val="0"/>
              <w:divBdr>
                <w:top w:val="none" w:sz="0" w:space="0" w:color="auto"/>
                <w:left w:val="none" w:sz="0" w:space="0" w:color="auto"/>
                <w:bottom w:val="none" w:sz="0" w:space="0" w:color="auto"/>
                <w:right w:val="none" w:sz="0" w:space="0" w:color="auto"/>
              </w:divBdr>
            </w:div>
            <w:div w:id="1564681344">
              <w:marLeft w:val="0"/>
              <w:marRight w:val="0"/>
              <w:marTop w:val="0"/>
              <w:marBottom w:val="0"/>
              <w:divBdr>
                <w:top w:val="none" w:sz="0" w:space="0" w:color="auto"/>
                <w:left w:val="none" w:sz="0" w:space="0" w:color="auto"/>
                <w:bottom w:val="none" w:sz="0" w:space="0" w:color="auto"/>
                <w:right w:val="none" w:sz="0" w:space="0" w:color="auto"/>
              </w:divBdr>
            </w:div>
            <w:div w:id="1569925574">
              <w:marLeft w:val="0"/>
              <w:marRight w:val="0"/>
              <w:marTop w:val="0"/>
              <w:marBottom w:val="0"/>
              <w:divBdr>
                <w:top w:val="none" w:sz="0" w:space="0" w:color="auto"/>
                <w:left w:val="none" w:sz="0" w:space="0" w:color="auto"/>
                <w:bottom w:val="none" w:sz="0" w:space="0" w:color="auto"/>
                <w:right w:val="none" w:sz="0" w:space="0" w:color="auto"/>
              </w:divBdr>
            </w:div>
            <w:div w:id="466321031">
              <w:marLeft w:val="0"/>
              <w:marRight w:val="0"/>
              <w:marTop w:val="0"/>
              <w:marBottom w:val="0"/>
              <w:divBdr>
                <w:top w:val="none" w:sz="0" w:space="0" w:color="auto"/>
                <w:left w:val="none" w:sz="0" w:space="0" w:color="auto"/>
                <w:bottom w:val="none" w:sz="0" w:space="0" w:color="auto"/>
                <w:right w:val="none" w:sz="0" w:space="0" w:color="auto"/>
              </w:divBdr>
            </w:div>
            <w:div w:id="1577596191">
              <w:marLeft w:val="0"/>
              <w:marRight w:val="0"/>
              <w:marTop w:val="0"/>
              <w:marBottom w:val="0"/>
              <w:divBdr>
                <w:top w:val="none" w:sz="0" w:space="0" w:color="auto"/>
                <w:left w:val="none" w:sz="0" w:space="0" w:color="auto"/>
                <w:bottom w:val="none" w:sz="0" w:space="0" w:color="auto"/>
                <w:right w:val="none" w:sz="0" w:space="0" w:color="auto"/>
              </w:divBdr>
            </w:div>
            <w:div w:id="56319317">
              <w:marLeft w:val="0"/>
              <w:marRight w:val="0"/>
              <w:marTop w:val="0"/>
              <w:marBottom w:val="0"/>
              <w:divBdr>
                <w:top w:val="none" w:sz="0" w:space="0" w:color="auto"/>
                <w:left w:val="none" w:sz="0" w:space="0" w:color="auto"/>
                <w:bottom w:val="none" w:sz="0" w:space="0" w:color="auto"/>
                <w:right w:val="none" w:sz="0" w:space="0" w:color="auto"/>
              </w:divBdr>
            </w:div>
            <w:div w:id="1810702921">
              <w:marLeft w:val="0"/>
              <w:marRight w:val="0"/>
              <w:marTop w:val="0"/>
              <w:marBottom w:val="0"/>
              <w:divBdr>
                <w:top w:val="none" w:sz="0" w:space="0" w:color="auto"/>
                <w:left w:val="none" w:sz="0" w:space="0" w:color="auto"/>
                <w:bottom w:val="none" w:sz="0" w:space="0" w:color="auto"/>
                <w:right w:val="none" w:sz="0" w:space="0" w:color="auto"/>
              </w:divBdr>
            </w:div>
            <w:div w:id="1257785057">
              <w:marLeft w:val="0"/>
              <w:marRight w:val="0"/>
              <w:marTop w:val="0"/>
              <w:marBottom w:val="0"/>
              <w:divBdr>
                <w:top w:val="none" w:sz="0" w:space="0" w:color="auto"/>
                <w:left w:val="none" w:sz="0" w:space="0" w:color="auto"/>
                <w:bottom w:val="none" w:sz="0" w:space="0" w:color="auto"/>
                <w:right w:val="none" w:sz="0" w:space="0" w:color="auto"/>
              </w:divBdr>
            </w:div>
            <w:div w:id="238096169">
              <w:marLeft w:val="0"/>
              <w:marRight w:val="0"/>
              <w:marTop w:val="0"/>
              <w:marBottom w:val="0"/>
              <w:divBdr>
                <w:top w:val="none" w:sz="0" w:space="0" w:color="auto"/>
                <w:left w:val="none" w:sz="0" w:space="0" w:color="auto"/>
                <w:bottom w:val="none" w:sz="0" w:space="0" w:color="auto"/>
                <w:right w:val="none" w:sz="0" w:space="0" w:color="auto"/>
              </w:divBdr>
            </w:div>
            <w:div w:id="721103296">
              <w:marLeft w:val="0"/>
              <w:marRight w:val="0"/>
              <w:marTop w:val="0"/>
              <w:marBottom w:val="0"/>
              <w:divBdr>
                <w:top w:val="none" w:sz="0" w:space="0" w:color="auto"/>
                <w:left w:val="none" w:sz="0" w:space="0" w:color="auto"/>
                <w:bottom w:val="none" w:sz="0" w:space="0" w:color="auto"/>
                <w:right w:val="none" w:sz="0" w:space="0" w:color="auto"/>
              </w:divBdr>
            </w:div>
            <w:div w:id="1270503888">
              <w:marLeft w:val="0"/>
              <w:marRight w:val="0"/>
              <w:marTop w:val="0"/>
              <w:marBottom w:val="0"/>
              <w:divBdr>
                <w:top w:val="none" w:sz="0" w:space="0" w:color="auto"/>
                <w:left w:val="none" w:sz="0" w:space="0" w:color="auto"/>
                <w:bottom w:val="none" w:sz="0" w:space="0" w:color="auto"/>
                <w:right w:val="none" w:sz="0" w:space="0" w:color="auto"/>
              </w:divBdr>
            </w:div>
            <w:div w:id="434061812">
              <w:marLeft w:val="0"/>
              <w:marRight w:val="0"/>
              <w:marTop w:val="0"/>
              <w:marBottom w:val="0"/>
              <w:divBdr>
                <w:top w:val="none" w:sz="0" w:space="0" w:color="auto"/>
                <w:left w:val="none" w:sz="0" w:space="0" w:color="auto"/>
                <w:bottom w:val="none" w:sz="0" w:space="0" w:color="auto"/>
                <w:right w:val="none" w:sz="0" w:space="0" w:color="auto"/>
              </w:divBdr>
            </w:div>
            <w:div w:id="918372823">
              <w:marLeft w:val="0"/>
              <w:marRight w:val="0"/>
              <w:marTop w:val="0"/>
              <w:marBottom w:val="0"/>
              <w:divBdr>
                <w:top w:val="none" w:sz="0" w:space="0" w:color="auto"/>
                <w:left w:val="none" w:sz="0" w:space="0" w:color="auto"/>
                <w:bottom w:val="none" w:sz="0" w:space="0" w:color="auto"/>
                <w:right w:val="none" w:sz="0" w:space="0" w:color="auto"/>
              </w:divBdr>
            </w:div>
            <w:div w:id="41174887">
              <w:marLeft w:val="0"/>
              <w:marRight w:val="0"/>
              <w:marTop w:val="0"/>
              <w:marBottom w:val="0"/>
              <w:divBdr>
                <w:top w:val="none" w:sz="0" w:space="0" w:color="auto"/>
                <w:left w:val="none" w:sz="0" w:space="0" w:color="auto"/>
                <w:bottom w:val="none" w:sz="0" w:space="0" w:color="auto"/>
                <w:right w:val="none" w:sz="0" w:space="0" w:color="auto"/>
              </w:divBdr>
            </w:div>
            <w:div w:id="1238588341">
              <w:marLeft w:val="0"/>
              <w:marRight w:val="0"/>
              <w:marTop w:val="0"/>
              <w:marBottom w:val="0"/>
              <w:divBdr>
                <w:top w:val="none" w:sz="0" w:space="0" w:color="auto"/>
                <w:left w:val="none" w:sz="0" w:space="0" w:color="auto"/>
                <w:bottom w:val="none" w:sz="0" w:space="0" w:color="auto"/>
                <w:right w:val="none" w:sz="0" w:space="0" w:color="auto"/>
              </w:divBdr>
            </w:div>
            <w:div w:id="1698198299">
              <w:marLeft w:val="0"/>
              <w:marRight w:val="0"/>
              <w:marTop w:val="0"/>
              <w:marBottom w:val="0"/>
              <w:divBdr>
                <w:top w:val="none" w:sz="0" w:space="0" w:color="auto"/>
                <w:left w:val="none" w:sz="0" w:space="0" w:color="auto"/>
                <w:bottom w:val="none" w:sz="0" w:space="0" w:color="auto"/>
                <w:right w:val="none" w:sz="0" w:space="0" w:color="auto"/>
              </w:divBdr>
            </w:div>
            <w:div w:id="16473282">
              <w:marLeft w:val="0"/>
              <w:marRight w:val="0"/>
              <w:marTop w:val="0"/>
              <w:marBottom w:val="0"/>
              <w:divBdr>
                <w:top w:val="none" w:sz="0" w:space="0" w:color="auto"/>
                <w:left w:val="none" w:sz="0" w:space="0" w:color="auto"/>
                <w:bottom w:val="none" w:sz="0" w:space="0" w:color="auto"/>
                <w:right w:val="none" w:sz="0" w:space="0" w:color="auto"/>
              </w:divBdr>
            </w:div>
            <w:div w:id="286199281">
              <w:marLeft w:val="0"/>
              <w:marRight w:val="0"/>
              <w:marTop w:val="0"/>
              <w:marBottom w:val="0"/>
              <w:divBdr>
                <w:top w:val="none" w:sz="0" w:space="0" w:color="auto"/>
                <w:left w:val="none" w:sz="0" w:space="0" w:color="auto"/>
                <w:bottom w:val="none" w:sz="0" w:space="0" w:color="auto"/>
                <w:right w:val="none" w:sz="0" w:space="0" w:color="auto"/>
              </w:divBdr>
            </w:div>
          </w:divsChild>
        </w:div>
        <w:div w:id="859003043">
          <w:marLeft w:val="0"/>
          <w:marRight w:val="0"/>
          <w:marTop w:val="0"/>
          <w:marBottom w:val="0"/>
          <w:divBdr>
            <w:top w:val="none" w:sz="0" w:space="0" w:color="auto"/>
            <w:left w:val="none" w:sz="0" w:space="0" w:color="auto"/>
            <w:bottom w:val="none" w:sz="0" w:space="0" w:color="auto"/>
            <w:right w:val="none" w:sz="0" w:space="0" w:color="auto"/>
          </w:divBdr>
          <w:divsChild>
            <w:div w:id="27067489">
              <w:marLeft w:val="0"/>
              <w:marRight w:val="0"/>
              <w:marTop w:val="0"/>
              <w:marBottom w:val="0"/>
              <w:divBdr>
                <w:top w:val="none" w:sz="0" w:space="0" w:color="auto"/>
                <w:left w:val="none" w:sz="0" w:space="0" w:color="auto"/>
                <w:bottom w:val="none" w:sz="0" w:space="0" w:color="auto"/>
                <w:right w:val="none" w:sz="0" w:space="0" w:color="auto"/>
              </w:divBdr>
            </w:div>
            <w:div w:id="1534883236">
              <w:marLeft w:val="0"/>
              <w:marRight w:val="0"/>
              <w:marTop w:val="0"/>
              <w:marBottom w:val="0"/>
              <w:divBdr>
                <w:top w:val="none" w:sz="0" w:space="0" w:color="auto"/>
                <w:left w:val="none" w:sz="0" w:space="0" w:color="auto"/>
                <w:bottom w:val="none" w:sz="0" w:space="0" w:color="auto"/>
                <w:right w:val="none" w:sz="0" w:space="0" w:color="auto"/>
              </w:divBdr>
            </w:div>
            <w:div w:id="1039624366">
              <w:marLeft w:val="0"/>
              <w:marRight w:val="0"/>
              <w:marTop w:val="0"/>
              <w:marBottom w:val="0"/>
              <w:divBdr>
                <w:top w:val="none" w:sz="0" w:space="0" w:color="auto"/>
                <w:left w:val="none" w:sz="0" w:space="0" w:color="auto"/>
                <w:bottom w:val="none" w:sz="0" w:space="0" w:color="auto"/>
                <w:right w:val="none" w:sz="0" w:space="0" w:color="auto"/>
              </w:divBdr>
            </w:div>
            <w:div w:id="49118684">
              <w:marLeft w:val="0"/>
              <w:marRight w:val="0"/>
              <w:marTop w:val="0"/>
              <w:marBottom w:val="0"/>
              <w:divBdr>
                <w:top w:val="none" w:sz="0" w:space="0" w:color="auto"/>
                <w:left w:val="none" w:sz="0" w:space="0" w:color="auto"/>
                <w:bottom w:val="none" w:sz="0" w:space="0" w:color="auto"/>
                <w:right w:val="none" w:sz="0" w:space="0" w:color="auto"/>
              </w:divBdr>
            </w:div>
            <w:div w:id="28993762">
              <w:marLeft w:val="0"/>
              <w:marRight w:val="0"/>
              <w:marTop w:val="0"/>
              <w:marBottom w:val="0"/>
              <w:divBdr>
                <w:top w:val="none" w:sz="0" w:space="0" w:color="auto"/>
                <w:left w:val="none" w:sz="0" w:space="0" w:color="auto"/>
                <w:bottom w:val="none" w:sz="0" w:space="0" w:color="auto"/>
                <w:right w:val="none" w:sz="0" w:space="0" w:color="auto"/>
              </w:divBdr>
            </w:div>
            <w:div w:id="1196195805">
              <w:marLeft w:val="0"/>
              <w:marRight w:val="0"/>
              <w:marTop w:val="0"/>
              <w:marBottom w:val="0"/>
              <w:divBdr>
                <w:top w:val="none" w:sz="0" w:space="0" w:color="auto"/>
                <w:left w:val="none" w:sz="0" w:space="0" w:color="auto"/>
                <w:bottom w:val="none" w:sz="0" w:space="0" w:color="auto"/>
                <w:right w:val="none" w:sz="0" w:space="0" w:color="auto"/>
              </w:divBdr>
            </w:div>
            <w:div w:id="164465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85222">
      <w:bodyDiv w:val="1"/>
      <w:marLeft w:val="0"/>
      <w:marRight w:val="0"/>
      <w:marTop w:val="0"/>
      <w:marBottom w:val="0"/>
      <w:divBdr>
        <w:top w:val="none" w:sz="0" w:space="0" w:color="auto"/>
        <w:left w:val="none" w:sz="0" w:space="0" w:color="auto"/>
        <w:bottom w:val="none" w:sz="0" w:space="0" w:color="auto"/>
        <w:right w:val="none" w:sz="0" w:space="0" w:color="auto"/>
      </w:divBdr>
      <w:divsChild>
        <w:div w:id="33774153">
          <w:marLeft w:val="0"/>
          <w:marRight w:val="0"/>
          <w:marTop w:val="0"/>
          <w:marBottom w:val="0"/>
          <w:divBdr>
            <w:top w:val="none" w:sz="0" w:space="0" w:color="auto"/>
            <w:left w:val="none" w:sz="0" w:space="0" w:color="auto"/>
            <w:bottom w:val="none" w:sz="0" w:space="0" w:color="auto"/>
            <w:right w:val="none" w:sz="0" w:space="0" w:color="auto"/>
          </w:divBdr>
        </w:div>
        <w:div w:id="192961714">
          <w:marLeft w:val="0"/>
          <w:marRight w:val="0"/>
          <w:marTop w:val="0"/>
          <w:marBottom w:val="0"/>
          <w:divBdr>
            <w:top w:val="none" w:sz="0" w:space="0" w:color="auto"/>
            <w:left w:val="none" w:sz="0" w:space="0" w:color="auto"/>
            <w:bottom w:val="none" w:sz="0" w:space="0" w:color="auto"/>
            <w:right w:val="none" w:sz="0" w:space="0" w:color="auto"/>
          </w:divBdr>
        </w:div>
        <w:div w:id="282227883">
          <w:marLeft w:val="0"/>
          <w:marRight w:val="0"/>
          <w:marTop w:val="0"/>
          <w:marBottom w:val="0"/>
          <w:divBdr>
            <w:top w:val="none" w:sz="0" w:space="0" w:color="auto"/>
            <w:left w:val="none" w:sz="0" w:space="0" w:color="auto"/>
            <w:bottom w:val="none" w:sz="0" w:space="0" w:color="auto"/>
            <w:right w:val="none" w:sz="0" w:space="0" w:color="auto"/>
          </w:divBdr>
        </w:div>
        <w:div w:id="345402909">
          <w:marLeft w:val="0"/>
          <w:marRight w:val="0"/>
          <w:marTop w:val="0"/>
          <w:marBottom w:val="0"/>
          <w:divBdr>
            <w:top w:val="none" w:sz="0" w:space="0" w:color="auto"/>
            <w:left w:val="none" w:sz="0" w:space="0" w:color="auto"/>
            <w:bottom w:val="none" w:sz="0" w:space="0" w:color="auto"/>
            <w:right w:val="none" w:sz="0" w:space="0" w:color="auto"/>
          </w:divBdr>
        </w:div>
        <w:div w:id="425346907">
          <w:marLeft w:val="0"/>
          <w:marRight w:val="0"/>
          <w:marTop w:val="0"/>
          <w:marBottom w:val="0"/>
          <w:divBdr>
            <w:top w:val="none" w:sz="0" w:space="0" w:color="auto"/>
            <w:left w:val="none" w:sz="0" w:space="0" w:color="auto"/>
            <w:bottom w:val="none" w:sz="0" w:space="0" w:color="auto"/>
            <w:right w:val="none" w:sz="0" w:space="0" w:color="auto"/>
          </w:divBdr>
        </w:div>
        <w:div w:id="442188818">
          <w:marLeft w:val="0"/>
          <w:marRight w:val="0"/>
          <w:marTop w:val="0"/>
          <w:marBottom w:val="0"/>
          <w:divBdr>
            <w:top w:val="none" w:sz="0" w:space="0" w:color="auto"/>
            <w:left w:val="none" w:sz="0" w:space="0" w:color="auto"/>
            <w:bottom w:val="none" w:sz="0" w:space="0" w:color="auto"/>
            <w:right w:val="none" w:sz="0" w:space="0" w:color="auto"/>
          </w:divBdr>
        </w:div>
        <w:div w:id="587234842">
          <w:marLeft w:val="0"/>
          <w:marRight w:val="0"/>
          <w:marTop w:val="0"/>
          <w:marBottom w:val="0"/>
          <w:divBdr>
            <w:top w:val="none" w:sz="0" w:space="0" w:color="auto"/>
            <w:left w:val="none" w:sz="0" w:space="0" w:color="auto"/>
            <w:bottom w:val="none" w:sz="0" w:space="0" w:color="auto"/>
            <w:right w:val="none" w:sz="0" w:space="0" w:color="auto"/>
          </w:divBdr>
        </w:div>
        <w:div w:id="982851236">
          <w:marLeft w:val="0"/>
          <w:marRight w:val="0"/>
          <w:marTop w:val="0"/>
          <w:marBottom w:val="0"/>
          <w:divBdr>
            <w:top w:val="none" w:sz="0" w:space="0" w:color="auto"/>
            <w:left w:val="none" w:sz="0" w:space="0" w:color="auto"/>
            <w:bottom w:val="none" w:sz="0" w:space="0" w:color="auto"/>
            <w:right w:val="none" w:sz="0" w:space="0" w:color="auto"/>
          </w:divBdr>
        </w:div>
        <w:div w:id="1085879495">
          <w:marLeft w:val="0"/>
          <w:marRight w:val="0"/>
          <w:marTop w:val="0"/>
          <w:marBottom w:val="0"/>
          <w:divBdr>
            <w:top w:val="none" w:sz="0" w:space="0" w:color="auto"/>
            <w:left w:val="none" w:sz="0" w:space="0" w:color="auto"/>
            <w:bottom w:val="none" w:sz="0" w:space="0" w:color="auto"/>
            <w:right w:val="none" w:sz="0" w:space="0" w:color="auto"/>
          </w:divBdr>
        </w:div>
        <w:div w:id="1270158540">
          <w:marLeft w:val="0"/>
          <w:marRight w:val="0"/>
          <w:marTop w:val="0"/>
          <w:marBottom w:val="0"/>
          <w:divBdr>
            <w:top w:val="none" w:sz="0" w:space="0" w:color="auto"/>
            <w:left w:val="none" w:sz="0" w:space="0" w:color="auto"/>
            <w:bottom w:val="none" w:sz="0" w:space="0" w:color="auto"/>
            <w:right w:val="none" w:sz="0" w:space="0" w:color="auto"/>
          </w:divBdr>
        </w:div>
        <w:div w:id="1436368127">
          <w:marLeft w:val="0"/>
          <w:marRight w:val="0"/>
          <w:marTop w:val="0"/>
          <w:marBottom w:val="0"/>
          <w:divBdr>
            <w:top w:val="none" w:sz="0" w:space="0" w:color="auto"/>
            <w:left w:val="none" w:sz="0" w:space="0" w:color="auto"/>
            <w:bottom w:val="none" w:sz="0" w:space="0" w:color="auto"/>
            <w:right w:val="none" w:sz="0" w:space="0" w:color="auto"/>
          </w:divBdr>
        </w:div>
        <w:div w:id="1496410877">
          <w:marLeft w:val="0"/>
          <w:marRight w:val="0"/>
          <w:marTop w:val="0"/>
          <w:marBottom w:val="0"/>
          <w:divBdr>
            <w:top w:val="none" w:sz="0" w:space="0" w:color="auto"/>
            <w:left w:val="none" w:sz="0" w:space="0" w:color="auto"/>
            <w:bottom w:val="none" w:sz="0" w:space="0" w:color="auto"/>
            <w:right w:val="none" w:sz="0" w:space="0" w:color="auto"/>
          </w:divBdr>
        </w:div>
        <w:div w:id="1503156514">
          <w:marLeft w:val="0"/>
          <w:marRight w:val="0"/>
          <w:marTop w:val="0"/>
          <w:marBottom w:val="0"/>
          <w:divBdr>
            <w:top w:val="none" w:sz="0" w:space="0" w:color="auto"/>
            <w:left w:val="none" w:sz="0" w:space="0" w:color="auto"/>
            <w:bottom w:val="none" w:sz="0" w:space="0" w:color="auto"/>
            <w:right w:val="none" w:sz="0" w:space="0" w:color="auto"/>
          </w:divBdr>
        </w:div>
        <w:div w:id="1624727153">
          <w:marLeft w:val="0"/>
          <w:marRight w:val="0"/>
          <w:marTop w:val="0"/>
          <w:marBottom w:val="0"/>
          <w:divBdr>
            <w:top w:val="none" w:sz="0" w:space="0" w:color="auto"/>
            <w:left w:val="none" w:sz="0" w:space="0" w:color="auto"/>
            <w:bottom w:val="none" w:sz="0" w:space="0" w:color="auto"/>
            <w:right w:val="none" w:sz="0" w:space="0" w:color="auto"/>
          </w:divBdr>
        </w:div>
        <w:div w:id="1817264281">
          <w:marLeft w:val="0"/>
          <w:marRight w:val="0"/>
          <w:marTop w:val="0"/>
          <w:marBottom w:val="0"/>
          <w:divBdr>
            <w:top w:val="none" w:sz="0" w:space="0" w:color="auto"/>
            <w:left w:val="none" w:sz="0" w:space="0" w:color="auto"/>
            <w:bottom w:val="none" w:sz="0" w:space="0" w:color="auto"/>
            <w:right w:val="none" w:sz="0" w:space="0" w:color="auto"/>
          </w:divBdr>
        </w:div>
        <w:div w:id="1878155354">
          <w:marLeft w:val="0"/>
          <w:marRight w:val="0"/>
          <w:marTop w:val="0"/>
          <w:marBottom w:val="0"/>
          <w:divBdr>
            <w:top w:val="none" w:sz="0" w:space="0" w:color="auto"/>
            <w:left w:val="none" w:sz="0" w:space="0" w:color="auto"/>
            <w:bottom w:val="none" w:sz="0" w:space="0" w:color="auto"/>
            <w:right w:val="none" w:sz="0" w:space="0" w:color="auto"/>
          </w:divBdr>
        </w:div>
        <w:div w:id="1988125831">
          <w:marLeft w:val="0"/>
          <w:marRight w:val="0"/>
          <w:marTop w:val="0"/>
          <w:marBottom w:val="0"/>
          <w:divBdr>
            <w:top w:val="none" w:sz="0" w:space="0" w:color="auto"/>
            <w:left w:val="none" w:sz="0" w:space="0" w:color="auto"/>
            <w:bottom w:val="none" w:sz="0" w:space="0" w:color="auto"/>
            <w:right w:val="none" w:sz="0" w:space="0" w:color="auto"/>
          </w:divBdr>
        </w:div>
        <w:div w:id="2130467736">
          <w:marLeft w:val="0"/>
          <w:marRight w:val="0"/>
          <w:marTop w:val="0"/>
          <w:marBottom w:val="0"/>
          <w:divBdr>
            <w:top w:val="none" w:sz="0" w:space="0" w:color="auto"/>
            <w:left w:val="none" w:sz="0" w:space="0" w:color="auto"/>
            <w:bottom w:val="none" w:sz="0" w:space="0" w:color="auto"/>
            <w:right w:val="none" w:sz="0" w:space="0" w:color="auto"/>
          </w:divBdr>
        </w:div>
      </w:divsChild>
    </w:div>
    <w:div w:id="101264036">
      <w:bodyDiv w:val="1"/>
      <w:marLeft w:val="0"/>
      <w:marRight w:val="0"/>
      <w:marTop w:val="0"/>
      <w:marBottom w:val="0"/>
      <w:divBdr>
        <w:top w:val="none" w:sz="0" w:space="0" w:color="auto"/>
        <w:left w:val="none" w:sz="0" w:space="0" w:color="auto"/>
        <w:bottom w:val="none" w:sz="0" w:space="0" w:color="auto"/>
        <w:right w:val="none" w:sz="0" w:space="0" w:color="auto"/>
      </w:divBdr>
      <w:divsChild>
        <w:div w:id="1873836106">
          <w:marLeft w:val="0"/>
          <w:marRight w:val="0"/>
          <w:marTop w:val="0"/>
          <w:marBottom w:val="0"/>
          <w:divBdr>
            <w:top w:val="none" w:sz="0" w:space="0" w:color="auto"/>
            <w:left w:val="none" w:sz="0" w:space="0" w:color="auto"/>
            <w:bottom w:val="none" w:sz="0" w:space="0" w:color="auto"/>
            <w:right w:val="none" w:sz="0" w:space="0" w:color="auto"/>
          </w:divBdr>
          <w:divsChild>
            <w:div w:id="321156747">
              <w:marLeft w:val="0"/>
              <w:marRight w:val="0"/>
              <w:marTop w:val="0"/>
              <w:marBottom w:val="0"/>
              <w:divBdr>
                <w:top w:val="none" w:sz="0" w:space="0" w:color="auto"/>
                <w:left w:val="none" w:sz="0" w:space="0" w:color="auto"/>
                <w:bottom w:val="none" w:sz="0" w:space="0" w:color="auto"/>
                <w:right w:val="none" w:sz="0" w:space="0" w:color="auto"/>
              </w:divBdr>
            </w:div>
            <w:div w:id="1343824523">
              <w:marLeft w:val="0"/>
              <w:marRight w:val="0"/>
              <w:marTop w:val="0"/>
              <w:marBottom w:val="0"/>
              <w:divBdr>
                <w:top w:val="none" w:sz="0" w:space="0" w:color="auto"/>
                <w:left w:val="none" w:sz="0" w:space="0" w:color="auto"/>
                <w:bottom w:val="none" w:sz="0" w:space="0" w:color="auto"/>
                <w:right w:val="none" w:sz="0" w:space="0" w:color="auto"/>
              </w:divBdr>
            </w:div>
            <w:div w:id="831681286">
              <w:marLeft w:val="0"/>
              <w:marRight w:val="0"/>
              <w:marTop w:val="0"/>
              <w:marBottom w:val="0"/>
              <w:divBdr>
                <w:top w:val="none" w:sz="0" w:space="0" w:color="auto"/>
                <w:left w:val="none" w:sz="0" w:space="0" w:color="auto"/>
                <w:bottom w:val="none" w:sz="0" w:space="0" w:color="auto"/>
                <w:right w:val="none" w:sz="0" w:space="0" w:color="auto"/>
              </w:divBdr>
            </w:div>
            <w:div w:id="1218516183">
              <w:marLeft w:val="0"/>
              <w:marRight w:val="0"/>
              <w:marTop w:val="0"/>
              <w:marBottom w:val="0"/>
              <w:divBdr>
                <w:top w:val="none" w:sz="0" w:space="0" w:color="auto"/>
                <w:left w:val="none" w:sz="0" w:space="0" w:color="auto"/>
                <w:bottom w:val="none" w:sz="0" w:space="0" w:color="auto"/>
                <w:right w:val="none" w:sz="0" w:space="0" w:color="auto"/>
              </w:divBdr>
            </w:div>
            <w:div w:id="2032873152">
              <w:marLeft w:val="0"/>
              <w:marRight w:val="0"/>
              <w:marTop w:val="0"/>
              <w:marBottom w:val="0"/>
              <w:divBdr>
                <w:top w:val="none" w:sz="0" w:space="0" w:color="auto"/>
                <w:left w:val="none" w:sz="0" w:space="0" w:color="auto"/>
                <w:bottom w:val="none" w:sz="0" w:space="0" w:color="auto"/>
                <w:right w:val="none" w:sz="0" w:space="0" w:color="auto"/>
              </w:divBdr>
            </w:div>
            <w:div w:id="173887685">
              <w:marLeft w:val="0"/>
              <w:marRight w:val="0"/>
              <w:marTop w:val="0"/>
              <w:marBottom w:val="0"/>
              <w:divBdr>
                <w:top w:val="none" w:sz="0" w:space="0" w:color="auto"/>
                <w:left w:val="none" w:sz="0" w:space="0" w:color="auto"/>
                <w:bottom w:val="none" w:sz="0" w:space="0" w:color="auto"/>
                <w:right w:val="none" w:sz="0" w:space="0" w:color="auto"/>
              </w:divBdr>
            </w:div>
            <w:div w:id="696807391">
              <w:marLeft w:val="0"/>
              <w:marRight w:val="0"/>
              <w:marTop w:val="0"/>
              <w:marBottom w:val="0"/>
              <w:divBdr>
                <w:top w:val="none" w:sz="0" w:space="0" w:color="auto"/>
                <w:left w:val="none" w:sz="0" w:space="0" w:color="auto"/>
                <w:bottom w:val="none" w:sz="0" w:space="0" w:color="auto"/>
                <w:right w:val="none" w:sz="0" w:space="0" w:color="auto"/>
              </w:divBdr>
            </w:div>
            <w:div w:id="1815022574">
              <w:marLeft w:val="0"/>
              <w:marRight w:val="0"/>
              <w:marTop w:val="0"/>
              <w:marBottom w:val="0"/>
              <w:divBdr>
                <w:top w:val="none" w:sz="0" w:space="0" w:color="auto"/>
                <w:left w:val="none" w:sz="0" w:space="0" w:color="auto"/>
                <w:bottom w:val="none" w:sz="0" w:space="0" w:color="auto"/>
                <w:right w:val="none" w:sz="0" w:space="0" w:color="auto"/>
              </w:divBdr>
            </w:div>
            <w:div w:id="2023513507">
              <w:marLeft w:val="0"/>
              <w:marRight w:val="0"/>
              <w:marTop w:val="0"/>
              <w:marBottom w:val="0"/>
              <w:divBdr>
                <w:top w:val="none" w:sz="0" w:space="0" w:color="auto"/>
                <w:left w:val="none" w:sz="0" w:space="0" w:color="auto"/>
                <w:bottom w:val="none" w:sz="0" w:space="0" w:color="auto"/>
                <w:right w:val="none" w:sz="0" w:space="0" w:color="auto"/>
              </w:divBdr>
            </w:div>
            <w:div w:id="721556989">
              <w:marLeft w:val="0"/>
              <w:marRight w:val="0"/>
              <w:marTop w:val="0"/>
              <w:marBottom w:val="0"/>
              <w:divBdr>
                <w:top w:val="none" w:sz="0" w:space="0" w:color="auto"/>
                <w:left w:val="none" w:sz="0" w:space="0" w:color="auto"/>
                <w:bottom w:val="none" w:sz="0" w:space="0" w:color="auto"/>
                <w:right w:val="none" w:sz="0" w:space="0" w:color="auto"/>
              </w:divBdr>
            </w:div>
            <w:div w:id="362556902">
              <w:marLeft w:val="0"/>
              <w:marRight w:val="0"/>
              <w:marTop w:val="0"/>
              <w:marBottom w:val="0"/>
              <w:divBdr>
                <w:top w:val="none" w:sz="0" w:space="0" w:color="auto"/>
                <w:left w:val="none" w:sz="0" w:space="0" w:color="auto"/>
                <w:bottom w:val="none" w:sz="0" w:space="0" w:color="auto"/>
                <w:right w:val="none" w:sz="0" w:space="0" w:color="auto"/>
              </w:divBdr>
            </w:div>
          </w:divsChild>
        </w:div>
        <w:div w:id="827014743">
          <w:marLeft w:val="0"/>
          <w:marRight w:val="0"/>
          <w:marTop w:val="0"/>
          <w:marBottom w:val="0"/>
          <w:divBdr>
            <w:top w:val="none" w:sz="0" w:space="0" w:color="auto"/>
            <w:left w:val="none" w:sz="0" w:space="0" w:color="auto"/>
            <w:bottom w:val="none" w:sz="0" w:space="0" w:color="auto"/>
            <w:right w:val="none" w:sz="0" w:space="0" w:color="auto"/>
          </w:divBdr>
          <w:divsChild>
            <w:div w:id="1269047740">
              <w:marLeft w:val="0"/>
              <w:marRight w:val="0"/>
              <w:marTop w:val="0"/>
              <w:marBottom w:val="0"/>
              <w:divBdr>
                <w:top w:val="none" w:sz="0" w:space="0" w:color="auto"/>
                <w:left w:val="none" w:sz="0" w:space="0" w:color="auto"/>
                <w:bottom w:val="none" w:sz="0" w:space="0" w:color="auto"/>
                <w:right w:val="none" w:sz="0" w:space="0" w:color="auto"/>
              </w:divBdr>
            </w:div>
            <w:div w:id="1531455260">
              <w:marLeft w:val="0"/>
              <w:marRight w:val="0"/>
              <w:marTop w:val="0"/>
              <w:marBottom w:val="0"/>
              <w:divBdr>
                <w:top w:val="none" w:sz="0" w:space="0" w:color="auto"/>
                <w:left w:val="none" w:sz="0" w:space="0" w:color="auto"/>
                <w:bottom w:val="none" w:sz="0" w:space="0" w:color="auto"/>
                <w:right w:val="none" w:sz="0" w:space="0" w:color="auto"/>
              </w:divBdr>
            </w:div>
            <w:div w:id="1092165766">
              <w:marLeft w:val="0"/>
              <w:marRight w:val="0"/>
              <w:marTop w:val="0"/>
              <w:marBottom w:val="0"/>
              <w:divBdr>
                <w:top w:val="none" w:sz="0" w:space="0" w:color="auto"/>
                <w:left w:val="none" w:sz="0" w:space="0" w:color="auto"/>
                <w:bottom w:val="none" w:sz="0" w:space="0" w:color="auto"/>
                <w:right w:val="none" w:sz="0" w:space="0" w:color="auto"/>
              </w:divBdr>
            </w:div>
            <w:div w:id="435448412">
              <w:marLeft w:val="0"/>
              <w:marRight w:val="0"/>
              <w:marTop w:val="0"/>
              <w:marBottom w:val="0"/>
              <w:divBdr>
                <w:top w:val="none" w:sz="0" w:space="0" w:color="auto"/>
                <w:left w:val="none" w:sz="0" w:space="0" w:color="auto"/>
                <w:bottom w:val="none" w:sz="0" w:space="0" w:color="auto"/>
                <w:right w:val="none" w:sz="0" w:space="0" w:color="auto"/>
              </w:divBdr>
            </w:div>
            <w:div w:id="1730574023">
              <w:marLeft w:val="0"/>
              <w:marRight w:val="0"/>
              <w:marTop w:val="0"/>
              <w:marBottom w:val="0"/>
              <w:divBdr>
                <w:top w:val="none" w:sz="0" w:space="0" w:color="auto"/>
                <w:left w:val="none" w:sz="0" w:space="0" w:color="auto"/>
                <w:bottom w:val="none" w:sz="0" w:space="0" w:color="auto"/>
                <w:right w:val="none" w:sz="0" w:space="0" w:color="auto"/>
              </w:divBdr>
            </w:div>
            <w:div w:id="1302464528">
              <w:marLeft w:val="0"/>
              <w:marRight w:val="0"/>
              <w:marTop w:val="0"/>
              <w:marBottom w:val="0"/>
              <w:divBdr>
                <w:top w:val="none" w:sz="0" w:space="0" w:color="auto"/>
                <w:left w:val="none" w:sz="0" w:space="0" w:color="auto"/>
                <w:bottom w:val="none" w:sz="0" w:space="0" w:color="auto"/>
                <w:right w:val="none" w:sz="0" w:space="0" w:color="auto"/>
              </w:divBdr>
            </w:div>
            <w:div w:id="105080450">
              <w:marLeft w:val="0"/>
              <w:marRight w:val="0"/>
              <w:marTop w:val="0"/>
              <w:marBottom w:val="0"/>
              <w:divBdr>
                <w:top w:val="none" w:sz="0" w:space="0" w:color="auto"/>
                <w:left w:val="none" w:sz="0" w:space="0" w:color="auto"/>
                <w:bottom w:val="none" w:sz="0" w:space="0" w:color="auto"/>
                <w:right w:val="none" w:sz="0" w:space="0" w:color="auto"/>
              </w:divBdr>
            </w:div>
            <w:div w:id="1912807178">
              <w:marLeft w:val="0"/>
              <w:marRight w:val="0"/>
              <w:marTop w:val="0"/>
              <w:marBottom w:val="0"/>
              <w:divBdr>
                <w:top w:val="none" w:sz="0" w:space="0" w:color="auto"/>
                <w:left w:val="none" w:sz="0" w:space="0" w:color="auto"/>
                <w:bottom w:val="none" w:sz="0" w:space="0" w:color="auto"/>
                <w:right w:val="none" w:sz="0" w:space="0" w:color="auto"/>
              </w:divBdr>
            </w:div>
            <w:div w:id="118374830">
              <w:marLeft w:val="0"/>
              <w:marRight w:val="0"/>
              <w:marTop w:val="0"/>
              <w:marBottom w:val="0"/>
              <w:divBdr>
                <w:top w:val="none" w:sz="0" w:space="0" w:color="auto"/>
                <w:left w:val="none" w:sz="0" w:space="0" w:color="auto"/>
                <w:bottom w:val="none" w:sz="0" w:space="0" w:color="auto"/>
                <w:right w:val="none" w:sz="0" w:space="0" w:color="auto"/>
              </w:divBdr>
            </w:div>
            <w:div w:id="1065370540">
              <w:marLeft w:val="0"/>
              <w:marRight w:val="0"/>
              <w:marTop w:val="0"/>
              <w:marBottom w:val="0"/>
              <w:divBdr>
                <w:top w:val="none" w:sz="0" w:space="0" w:color="auto"/>
                <w:left w:val="none" w:sz="0" w:space="0" w:color="auto"/>
                <w:bottom w:val="none" w:sz="0" w:space="0" w:color="auto"/>
                <w:right w:val="none" w:sz="0" w:space="0" w:color="auto"/>
              </w:divBdr>
            </w:div>
            <w:div w:id="1174999436">
              <w:marLeft w:val="0"/>
              <w:marRight w:val="0"/>
              <w:marTop w:val="0"/>
              <w:marBottom w:val="0"/>
              <w:divBdr>
                <w:top w:val="none" w:sz="0" w:space="0" w:color="auto"/>
                <w:left w:val="none" w:sz="0" w:space="0" w:color="auto"/>
                <w:bottom w:val="none" w:sz="0" w:space="0" w:color="auto"/>
                <w:right w:val="none" w:sz="0" w:space="0" w:color="auto"/>
              </w:divBdr>
            </w:div>
            <w:div w:id="904070050">
              <w:marLeft w:val="0"/>
              <w:marRight w:val="0"/>
              <w:marTop w:val="0"/>
              <w:marBottom w:val="0"/>
              <w:divBdr>
                <w:top w:val="none" w:sz="0" w:space="0" w:color="auto"/>
                <w:left w:val="none" w:sz="0" w:space="0" w:color="auto"/>
                <w:bottom w:val="none" w:sz="0" w:space="0" w:color="auto"/>
                <w:right w:val="none" w:sz="0" w:space="0" w:color="auto"/>
              </w:divBdr>
            </w:div>
            <w:div w:id="1466120449">
              <w:marLeft w:val="0"/>
              <w:marRight w:val="0"/>
              <w:marTop w:val="0"/>
              <w:marBottom w:val="0"/>
              <w:divBdr>
                <w:top w:val="none" w:sz="0" w:space="0" w:color="auto"/>
                <w:left w:val="none" w:sz="0" w:space="0" w:color="auto"/>
                <w:bottom w:val="none" w:sz="0" w:space="0" w:color="auto"/>
                <w:right w:val="none" w:sz="0" w:space="0" w:color="auto"/>
              </w:divBdr>
            </w:div>
            <w:div w:id="1988901293">
              <w:marLeft w:val="0"/>
              <w:marRight w:val="0"/>
              <w:marTop w:val="0"/>
              <w:marBottom w:val="0"/>
              <w:divBdr>
                <w:top w:val="none" w:sz="0" w:space="0" w:color="auto"/>
                <w:left w:val="none" w:sz="0" w:space="0" w:color="auto"/>
                <w:bottom w:val="none" w:sz="0" w:space="0" w:color="auto"/>
                <w:right w:val="none" w:sz="0" w:space="0" w:color="auto"/>
              </w:divBdr>
            </w:div>
            <w:div w:id="967124510">
              <w:marLeft w:val="0"/>
              <w:marRight w:val="0"/>
              <w:marTop w:val="0"/>
              <w:marBottom w:val="0"/>
              <w:divBdr>
                <w:top w:val="none" w:sz="0" w:space="0" w:color="auto"/>
                <w:left w:val="none" w:sz="0" w:space="0" w:color="auto"/>
                <w:bottom w:val="none" w:sz="0" w:space="0" w:color="auto"/>
                <w:right w:val="none" w:sz="0" w:space="0" w:color="auto"/>
              </w:divBdr>
            </w:div>
            <w:div w:id="1648434178">
              <w:marLeft w:val="0"/>
              <w:marRight w:val="0"/>
              <w:marTop w:val="0"/>
              <w:marBottom w:val="0"/>
              <w:divBdr>
                <w:top w:val="none" w:sz="0" w:space="0" w:color="auto"/>
                <w:left w:val="none" w:sz="0" w:space="0" w:color="auto"/>
                <w:bottom w:val="none" w:sz="0" w:space="0" w:color="auto"/>
                <w:right w:val="none" w:sz="0" w:space="0" w:color="auto"/>
              </w:divBdr>
            </w:div>
            <w:div w:id="173494119">
              <w:marLeft w:val="0"/>
              <w:marRight w:val="0"/>
              <w:marTop w:val="0"/>
              <w:marBottom w:val="0"/>
              <w:divBdr>
                <w:top w:val="none" w:sz="0" w:space="0" w:color="auto"/>
                <w:left w:val="none" w:sz="0" w:space="0" w:color="auto"/>
                <w:bottom w:val="none" w:sz="0" w:space="0" w:color="auto"/>
                <w:right w:val="none" w:sz="0" w:space="0" w:color="auto"/>
              </w:divBdr>
            </w:div>
            <w:div w:id="1336302361">
              <w:marLeft w:val="0"/>
              <w:marRight w:val="0"/>
              <w:marTop w:val="0"/>
              <w:marBottom w:val="0"/>
              <w:divBdr>
                <w:top w:val="none" w:sz="0" w:space="0" w:color="auto"/>
                <w:left w:val="none" w:sz="0" w:space="0" w:color="auto"/>
                <w:bottom w:val="none" w:sz="0" w:space="0" w:color="auto"/>
                <w:right w:val="none" w:sz="0" w:space="0" w:color="auto"/>
              </w:divBdr>
            </w:div>
            <w:div w:id="670182531">
              <w:marLeft w:val="0"/>
              <w:marRight w:val="0"/>
              <w:marTop w:val="0"/>
              <w:marBottom w:val="0"/>
              <w:divBdr>
                <w:top w:val="none" w:sz="0" w:space="0" w:color="auto"/>
                <w:left w:val="none" w:sz="0" w:space="0" w:color="auto"/>
                <w:bottom w:val="none" w:sz="0" w:space="0" w:color="auto"/>
                <w:right w:val="none" w:sz="0" w:space="0" w:color="auto"/>
              </w:divBdr>
            </w:div>
            <w:div w:id="1549026343">
              <w:marLeft w:val="0"/>
              <w:marRight w:val="0"/>
              <w:marTop w:val="0"/>
              <w:marBottom w:val="0"/>
              <w:divBdr>
                <w:top w:val="none" w:sz="0" w:space="0" w:color="auto"/>
                <w:left w:val="none" w:sz="0" w:space="0" w:color="auto"/>
                <w:bottom w:val="none" w:sz="0" w:space="0" w:color="auto"/>
                <w:right w:val="none" w:sz="0" w:space="0" w:color="auto"/>
              </w:divBdr>
            </w:div>
          </w:divsChild>
        </w:div>
        <w:div w:id="1500534156">
          <w:marLeft w:val="0"/>
          <w:marRight w:val="0"/>
          <w:marTop w:val="0"/>
          <w:marBottom w:val="0"/>
          <w:divBdr>
            <w:top w:val="none" w:sz="0" w:space="0" w:color="auto"/>
            <w:left w:val="none" w:sz="0" w:space="0" w:color="auto"/>
            <w:bottom w:val="none" w:sz="0" w:space="0" w:color="auto"/>
            <w:right w:val="none" w:sz="0" w:space="0" w:color="auto"/>
          </w:divBdr>
          <w:divsChild>
            <w:div w:id="1490708066">
              <w:marLeft w:val="0"/>
              <w:marRight w:val="0"/>
              <w:marTop w:val="0"/>
              <w:marBottom w:val="0"/>
              <w:divBdr>
                <w:top w:val="none" w:sz="0" w:space="0" w:color="auto"/>
                <w:left w:val="none" w:sz="0" w:space="0" w:color="auto"/>
                <w:bottom w:val="none" w:sz="0" w:space="0" w:color="auto"/>
                <w:right w:val="none" w:sz="0" w:space="0" w:color="auto"/>
              </w:divBdr>
            </w:div>
            <w:div w:id="799998011">
              <w:marLeft w:val="0"/>
              <w:marRight w:val="0"/>
              <w:marTop w:val="0"/>
              <w:marBottom w:val="0"/>
              <w:divBdr>
                <w:top w:val="none" w:sz="0" w:space="0" w:color="auto"/>
                <w:left w:val="none" w:sz="0" w:space="0" w:color="auto"/>
                <w:bottom w:val="none" w:sz="0" w:space="0" w:color="auto"/>
                <w:right w:val="none" w:sz="0" w:space="0" w:color="auto"/>
              </w:divBdr>
            </w:div>
            <w:div w:id="618948886">
              <w:marLeft w:val="0"/>
              <w:marRight w:val="0"/>
              <w:marTop w:val="0"/>
              <w:marBottom w:val="0"/>
              <w:divBdr>
                <w:top w:val="none" w:sz="0" w:space="0" w:color="auto"/>
                <w:left w:val="none" w:sz="0" w:space="0" w:color="auto"/>
                <w:bottom w:val="none" w:sz="0" w:space="0" w:color="auto"/>
                <w:right w:val="none" w:sz="0" w:space="0" w:color="auto"/>
              </w:divBdr>
            </w:div>
            <w:div w:id="255795613">
              <w:marLeft w:val="0"/>
              <w:marRight w:val="0"/>
              <w:marTop w:val="0"/>
              <w:marBottom w:val="0"/>
              <w:divBdr>
                <w:top w:val="none" w:sz="0" w:space="0" w:color="auto"/>
                <w:left w:val="none" w:sz="0" w:space="0" w:color="auto"/>
                <w:bottom w:val="none" w:sz="0" w:space="0" w:color="auto"/>
                <w:right w:val="none" w:sz="0" w:space="0" w:color="auto"/>
              </w:divBdr>
            </w:div>
            <w:div w:id="317223664">
              <w:marLeft w:val="0"/>
              <w:marRight w:val="0"/>
              <w:marTop w:val="0"/>
              <w:marBottom w:val="0"/>
              <w:divBdr>
                <w:top w:val="none" w:sz="0" w:space="0" w:color="auto"/>
                <w:left w:val="none" w:sz="0" w:space="0" w:color="auto"/>
                <w:bottom w:val="none" w:sz="0" w:space="0" w:color="auto"/>
                <w:right w:val="none" w:sz="0" w:space="0" w:color="auto"/>
              </w:divBdr>
            </w:div>
            <w:div w:id="71436120">
              <w:marLeft w:val="0"/>
              <w:marRight w:val="0"/>
              <w:marTop w:val="0"/>
              <w:marBottom w:val="0"/>
              <w:divBdr>
                <w:top w:val="none" w:sz="0" w:space="0" w:color="auto"/>
                <w:left w:val="none" w:sz="0" w:space="0" w:color="auto"/>
                <w:bottom w:val="none" w:sz="0" w:space="0" w:color="auto"/>
                <w:right w:val="none" w:sz="0" w:space="0" w:color="auto"/>
              </w:divBdr>
            </w:div>
            <w:div w:id="102872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41285">
      <w:bodyDiv w:val="1"/>
      <w:marLeft w:val="0"/>
      <w:marRight w:val="0"/>
      <w:marTop w:val="0"/>
      <w:marBottom w:val="0"/>
      <w:divBdr>
        <w:top w:val="none" w:sz="0" w:space="0" w:color="auto"/>
        <w:left w:val="none" w:sz="0" w:space="0" w:color="auto"/>
        <w:bottom w:val="none" w:sz="0" w:space="0" w:color="auto"/>
        <w:right w:val="none" w:sz="0" w:space="0" w:color="auto"/>
      </w:divBdr>
    </w:div>
    <w:div w:id="136849073">
      <w:bodyDiv w:val="1"/>
      <w:marLeft w:val="0"/>
      <w:marRight w:val="0"/>
      <w:marTop w:val="0"/>
      <w:marBottom w:val="0"/>
      <w:divBdr>
        <w:top w:val="none" w:sz="0" w:space="0" w:color="auto"/>
        <w:left w:val="none" w:sz="0" w:space="0" w:color="auto"/>
        <w:bottom w:val="none" w:sz="0" w:space="0" w:color="auto"/>
        <w:right w:val="none" w:sz="0" w:space="0" w:color="auto"/>
      </w:divBdr>
    </w:div>
    <w:div w:id="138885334">
      <w:bodyDiv w:val="1"/>
      <w:marLeft w:val="0"/>
      <w:marRight w:val="0"/>
      <w:marTop w:val="0"/>
      <w:marBottom w:val="0"/>
      <w:divBdr>
        <w:top w:val="none" w:sz="0" w:space="0" w:color="auto"/>
        <w:left w:val="none" w:sz="0" w:space="0" w:color="auto"/>
        <w:bottom w:val="none" w:sz="0" w:space="0" w:color="auto"/>
        <w:right w:val="none" w:sz="0" w:space="0" w:color="auto"/>
      </w:divBdr>
    </w:div>
    <w:div w:id="140774671">
      <w:bodyDiv w:val="1"/>
      <w:marLeft w:val="0"/>
      <w:marRight w:val="0"/>
      <w:marTop w:val="0"/>
      <w:marBottom w:val="0"/>
      <w:divBdr>
        <w:top w:val="none" w:sz="0" w:space="0" w:color="auto"/>
        <w:left w:val="none" w:sz="0" w:space="0" w:color="auto"/>
        <w:bottom w:val="none" w:sz="0" w:space="0" w:color="auto"/>
        <w:right w:val="none" w:sz="0" w:space="0" w:color="auto"/>
      </w:divBdr>
      <w:divsChild>
        <w:div w:id="1331257617">
          <w:marLeft w:val="0"/>
          <w:marRight w:val="0"/>
          <w:marTop w:val="0"/>
          <w:marBottom w:val="0"/>
          <w:divBdr>
            <w:top w:val="none" w:sz="0" w:space="0" w:color="auto"/>
            <w:left w:val="none" w:sz="0" w:space="0" w:color="auto"/>
            <w:bottom w:val="none" w:sz="0" w:space="0" w:color="auto"/>
            <w:right w:val="none" w:sz="0" w:space="0" w:color="auto"/>
          </w:divBdr>
        </w:div>
        <w:div w:id="2052802049">
          <w:marLeft w:val="0"/>
          <w:marRight w:val="0"/>
          <w:marTop w:val="0"/>
          <w:marBottom w:val="0"/>
          <w:divBdr>
            <w:top w:val="none" w:sz="0" w:space="0" w:color="auto"/>
            <w:left w:val="none" w:sz="0" w:space="0" w:color="auto"/>
            <w:bottom w:val="none" w:sz="0" w:space="0" w:color="auto"/>
            <w:right w:val="none" w:sz="0" w:space="0" w:color="auto"/>
          </w:divBdr>
        </w:div>
        <w:div w:id="586111167">
          <w:marLeft w:val="0"/>
          <w:marRight w:val="0"/>
          <w:marTop w:val="0"/>
          <w:marBottom w:val="0"/>
          <w:divBdr>
            <w:top w:val="none" w:sz="0" w:space="0" w:color="auto"/>
            <w:left w:val="none" w:sz="0" w:space="0" w:color="auto"/>
            <w:bottom w:val="none" w:sz="0" w:space="0" w:color="auto"/>
            <w:right w:val="none" w:sz="0" w:space="0" w:color="auto"/>
          </w:divBdr>
        </w:div>
        <w:div w:id="1951662877">
          <w:marLeft w:val="0"/>
          <w:marRight w:val="0"/>
          <w:marTop w:val="0"/>
          <w:marBottom w:val="0"/>
          <w:divBdr>
            <w:top w:val="none" w:sz="0" w:space="0" w:color="auto"/>
            <w:left w:val="none" w:sz="0" w:space="0" w:color="auto"/>
            <w:bottom w:val="none" w:sz="0" w:space="0" w:color="auto"/>
            <w:right w:val="none" w:sz="0" w:space="0" w:color="auto"/>
          </w:divBdr>
          <w:divsChild>
            <w:div w:id="1051349165">
              <w:marLeft w:val="0"/>
              <w:marRight w:val="0"/>
              <w:marTop w:val="0"/>
              <w:marBottom w:val="0"/>
              <w:divBdr>
                <w:top w:val="none" w:sz="0" w:space="0" w:color="auto"/>
                <w:left w:val="none" w:sz="0" w:space="0" w:color="auto"/>
                <w:bottom w:val="none" w:sz="0" w:space="0" w:color="auto"/>
                <w:right w:val="none" w:sz="0" w:space="0" w:color="auto"/>
              </w:divBdr>
            </w:div>
            <w:div w:id="770316565">
              <w:marLeft w:val="0"/>
              <w:marRight w:val="0"/>
              <w:marTop w:val="0"/>
              <w:marBottom w:val="0"/>
              <w:divBdr>
                <w:top w:val="none" w:sz="0" w:space="0" w:color="auto"/>
                <w:left w:val="none" w:sz="0" w:space="0" w:color="auto"/>
                <w:bottom w:val="none" w:sz="0" w:space="0" w:color="auto"/>
                <w:right w:val="none" w:sz="0" w:space="0" w:color="auto"/>
              </w:divBdr>
            </w:div>
            <w:div w:id="2018187930">
              <w:marLeft w:val="0"/>
              <w:marRight w:val="0"/>
              <w:marTop w:val="0"/>
              <w:marBottom w:val="0"/>
              <w:divBdr>
                <w:top w:val="none" w:sz="0" w:space="0" w:color="auto"/>
                <w:left w:val="none" w:sz="0" w:space="0" w:color="auto"/>
                <w:bottom w:val="none" w:sz="0" w:space="0" w:color="auto"/>
                <w:right w:val="none" w:sz="0" w:space="0" w:color="auto"/>
              </w:divBdr>
            </w:div>
            <w:div w:id="1173109946">
              <w:marLeft w:val="0"/>
              <w:marRight w:val="0"/>
              <w:marTop w:val="0"/>
              <w:marBottom w:val="0"/>
              <w:divBdr>
                <w:top w:val="none" w:sz="0" w:space="0" w:color="auto"/>
                <w:left w:val="none" w:sz="0" w:space="0" w:color="auto"/>
                <w:bottom w:val="none" w:sz="0" w:space="0" w:color="auto"/>
                <w:right w:val="none" w:sz="0" w:space="0" w:color="auto"/>
              </w:divBdr>
            </w:div>
            <w:div w:id="1130630734">
              <w:marLeft w:val="0"/>
              <w:marRight w:val="0"/>
              <w:marTop w:val="0"/>
              <w:marBottom w:val="0"/>
              <w:divBdr>
                <w:top w:val="none" w:sz="0" w:space="0" w:color="auto"/>
                <w:left w:val="none" w:sz="0" w:space="0" w:color="auto"/>
                <w:bottom w:val="none" w:sz="0" w:space="0" w:color="auto"/>
                <w:right w:val="none" w:sz="0" w:space="0" w:color="auto"/>
              </w:divBdr>
            </w:div>
            <w:div w:id="1449200257">
              <w:marLeft w:val="0"/>
              <w:marRight w:val="0"/>
              <w:marTop w:val="0"/>
              <w:marBottom w:val="0"/>
              <w:divBdr>
                <w:top w:val="none" w:sz="0" w:space="0" w:color="auto"/>
                <w:left w:val="none" w:sz="0" w:space="0" w:color="auto"/>
                <w:bottom w:val="none" w:sz="0" w:space="0" w:color="auto"/>
                <w:right w:val="none" w:sz="0" w:space="0" w:color="auto"/>
              </w:divBdr>
            </w:div>
            <w:div w:id="161160901">
              <w:marLeft w:val="0"/>
              <w:marRight w:val="0"/>
              <w:marTop w:val="0"/>
              <w:marBottom w:val="0"/>
              <w:divBdr>
                <w:top w:val="none" w:sz="0" w:space="0" w:color="auto"/>
                <w:left w:val="none" w:sz="0" w:space="0" w:color="auto"/>
                <w:bottom w:val="none" w:sz="0" w:space="0" w:color="auto"/>
                <w:right w:val="none" w:sz="0" w:space="0" w:color="auto"/>
              </w:divBdr>
            </w:div>
            <w:div w:id="27726491">
              <w:marLeft w:val="0"/>
              <w:marRight w:val="0"/>
              <w:marTop w:val="0"/>
              <w:marBottom w:val="0"/>
              <w:divBdr>
                <w:top w:val="none" w:sz="0" w:space="0" w:color="auto"/>
                <w:left w:val="none" w:sz="0" w:space="0" w:color="auto"/>
                <w:bottom w:val="none" w:sz="0" w:space="0" w:color="auto"/>
                <w:right w:val="none" w:sz="0" w:space="0" w:color="auto"/>
              </w:divBdr>
            </w:div>
            <w:div w:id="1221134773">
              <w:marLeft w:val="0"/>
              <w:marRight w:val="0"/>
              <w:marTop w:val="0"/>
              <w:marBottom w:val="0"/>
              <w:divBdr>
                <w:top w:val="none" w:sz="0" w:space="0" w:color="auto"/>
                <w:left w:val="none" w:sz="0" w:space="0" w:color="auto"/>
                <w:bottom w:val="none" w:sz="0" w:space="0" w:color="auto"/>
                <w:right w:val="none" w:sz="0" w:space="0" w:color="auto"/>
              </w:divBdr>
            </w:div>
            <w:div w:id="357122195">
              <w:marLeft w:val="0"/>
              <w:marRight w:val="0"/>
              <w:marTop w:val="0"/>
              <w:marBottom w:val="0"/>
              <w:divBdr>
                <w:top w:val="none" w:sz="0" w:space="0" w:color="auto"/>
                <w:left w:val="none" w:sz="0" w:space="0" w:color="auto"/>
                <w:bottom w:val="none" w:sz="0" w:space="0" w:color="auto"/>
                <w:right w:val="none" w:sz="0" w:space="0" w:color="auto"/>
              </w:divBdr>
            </w:div>
            <w:div w:id="704019567">
              <w:marLeft w:val="0"/>
              <w:marRight w:val="0"/>
              <w:marTop w:val="0"/>
              <w:marBottom w:val="0"/>
              <w:divBdr>
                <w:top w:val="none" w:sz="0" w:space="0" w:color="auto"/>
                <w:left w:val="none" w:sz="0" w:space="0" w:color="auto"/>
                <w:bottom w:val="none" w:sz="0" w:space="0" w:color="auto"/>
                <w:right w:val="none" w:sz="0" w:space="0" w:color="auto"/>
              </w:divBdr>
            </w:div>
            <w:div w:id="1475099718">
              <w:marLeft w:val="0"/>
              <w:marRight w:val="0"/>
              <w:marTop w:val="0"/>
              <w:marBottom w:val="0"/>
              <w:divBdr>
                <w:top w:val="none" w:sz="0" w:space="0" w:color="auto"/>
                <w:left w:val="none" w:sz="0" w:space="0" w:color="auto"/>
                <w:bottom w:val="none" w:sz="0" w:space="0" w:color="auto"/>
                <w:right w:val="none" w:sz="0" w:space="0" w:color="auto"/>
              </w:divBdr>
            </w:div>
            <w:div w:id="1885437917">
              <w:marLeft w:val="0"/>
              <w:marRight w:val="0"/>
              <w:marTop w:val="0"/>
              <w:marBottom w:val="0"/>
              <w:divBdr>
                <w:top w:val="none" w:sz="0" w:space="0" w:color="auto"/>
                <w:left w:val="none" w:sz="0" w:space="0" w:color="auto"/>
                <w:bottom w:val="none" w:sz="0" w:space="0" w:color="auto"/>
                <w:right w:val="none" w:sz="0" w:space="0" w:color="auto"/>
              </w:divBdr>
            </w:div>
            <w:div w:id="212549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34498">
      <w:bodyDiv w:val="1"/>
      <w:marLeft w:val="0"/>
      <w:marRight w:val="0"/>
      <w:marTop w:val="0"/>
      <w:marBottom w:val="0"/>
      <w:divBdr>
        <w:top w:val="none" w:sz="0" w:space="0" w:color="auto"/>
        <w:left w:val="none" w:sz="0" w:space="0" w:color="auto"/>
        <w:bottom w:val="none" w:sz="0" w:space="0" w:color="auto"/>
        <w:right w:val="none" w:sz="0" w:space="0" w:color="auto"/>
      </w:divBdr>
    </w:div>
    <w:div w:id="166789782">
      <w:bodyDiv w:val="1"/>
      <w:marLeft w:val="0"/>
      <w:marRight w:val="0"/>
      <w:marTop w:val="0"/>
      <w:marBottom w:val="0"/>
      <w:divBdr>
        <w:top w:val="none" w:sz="0" w:space="0" w:color="auto"/>
        <w:left w:val="none" w:sz="0" w:space="0" w:color="auto"/>
        <w:bottom w:val="none" w:sz="0" w:space="0" w:color="auto"/>
        <w:right w:val="none" w:sz="0" w:space="0" w:color="auto"/>
      </w:divBdr>
    </w:div>
    <w:div w:id="174153829">
      <w:bodyDiv w:val="1"/>
      <w:marLeft w:val="0"/>
      <w:marRight w:val="0"/>
      <w:marTop w:val="0"/>
      <w:marBottom w:val="0"/>
      <w:divBdr>
        <w:top w:val="none" w:sz="0" w:space="0" w:color="auto"/>
        <w:left w:val="none" w:sz="0" w:space="0" w:color="auto"/>
        <w:bottom w:val="none" w:sz="0" w:space="0" w:color="auto"/>
        <w:right w:val="none" w:sz="0" w:space="0" w:color="auto"/>
      </w:divBdr>
    </w:div>
    <w:div w:id="177934288">
      <w:bodyDiv w:val="1"/>
      <w:marLeft w:val="0"/>
      <w:marRight w:val="0"/>
      <w:marTop w:val="0"/>
      <w:marBottom w:val="0"/>
      <w:divBdr>
        <w:top w:val="none" w:sz="0" w:space="0" w:color="auto"/>
        <w:left w:val="none" w:sz="0" w:space="0" w:color="auto"/>
        <w:bottom w:val="none" w:sz="0" w:space="0" w:color="auto"/>
        <w:right w:val="none" w:sz="0" w:space="0" w:color="auto"/>
      </w:divBdr>
      <w:divsChild>
        <w:div w:id="599338556">
          <w:marLeft w:val="0"/>
          <w:marRight w:val="0"/>
          <w:marTop w:val="0"/>
          <w:marBottom w:val="0"/>
          <w:divBdr>
            <w:top w:val="none" w:sz="0" w:space="0" w:color="auto"/>
            <w:left w:val="none" w:sz="0" w:space="0" w:color="auto"/>
            <w:bottom w:val="none" w:sz="0" w:space="0" w:color="auto"/>
            <w:right w:val="none" w:sz="0" w:space="0" w:color="auto"/>
          </w:divBdr>
        </w:div>
        <w:div w:id="677804459">
          <w:marLeft w:val="0"/>
          <w:marRight w:val="0"/>
          <w:marTop w:val="0"/>
          <w:marBottom w:val="0"/>
          <w:divBdr>
            <w:top w:val="none" w:sz="0" w:space="0" w:color="auto"/>
            <w:left w:val="none" w:sz="0" w:space="0" w:color="auto"/>
            <w:bottom w:val="none" w:sz="0" w:space="0" w:color="auto"/>
            <w:right w:val="none" w:sz="0" w:space="0" w:color="auto"/>
          </w:divBdr>
          <w:divsChild>
            <w:div w:id="701589329">
              <w:marLeft w:val="0"/>
              <w:marRight w:val="0"/>
              <w:marTop w:val="0"/>
              <w:marBottom w:val="0"/>
              <w:divBdr>
                <w:top w:val="none" w:sz="0" w:space="0" w:color="auto"/>
                <w:left w:val="none" w:sz="0" w:space="0" w:color="auto"/>
                <w:bottom w:val="none" w:sz="0" w:space="0" w:color="auto"/>
                <w:right w:val="none" w:sz="0" w:space="0" w:color="auto"/>
              </w:divBdr>
            </w:div>
            <w:div w:id="928081084">
              <w:marLeft w:val="0"/>
              <w:marRight w:val="0"/>
              <w:marTop w:val="0"/>
              <w:marBottom w:val="0"/>
              <w:divBdr>
                <w:top w:val="none" w:sz="0" w:space="0" w:color="auto"/>
                <w:left w:val="none" w:sz="0" w:space="0" w:color="auto"/>
                <w:bottom w:val="none" w:sz="0" w:space="0" w:color="auto"/>
                <w:right w:val="none" w:sz="0" w:space="0" w:color="auto"/>
              </w:divBdr>
            </w:div>
            <w:div w:id="1717973287">
              <w:marLeft w:val="0"/>
              <w:marRight w:val="0"/>
              <w:marTop w:val="0"/>
              <w:marBottom w:val="0"/>
              <w:divBdr>
                <w:top w:val="none" w:sz="0" w:space="0" w:color="auto"/>
                <w:left w:val="none" w:sz="0" w:space="0" w:color="auto"/>
                <w:bottom w:val="none" w:sz="0" w:space="0" w:color="auto"/>
                <w:right w:val="none" w:sz="0" w:space="0" w:color="auto"/>
              </w:divBdr>
            </w:div>
          </w:divsChild>
        </w:div>
        <w:div w:id="849415748">
          <w:marLeft w:val="0"/>
          <w:marRight w:val="0"/>
          <w:marTop w:val="0"/>
          <w:marBottom w:val="0"/>
          <w:divBdr>
            <w:top w:val="none" w:sz="0" w:space="0" w:color="auto"/>
            <w:left w:val="none" w:sz="0" w:space="0" w:color="auto"/>
            <w:bottom w:val="none" w:sz="0" w:space="0" w:color="auto"/>
            <w:right w:val="none" w:sz="0" w:space="0" w:color="auto"/>
          </w:divBdr>
        </w:div>
        <w:div w:id="857962182">
          <w:marLeft w:val="0"/>
          <w:marRight w:val="0"/>
          <w:marTop w:val="0"/>
          <w:marBottom w:val="0"/>
          <w:divBdr>
            <w:top w:val="none" w:sz="0" w:space="0" w:color="auto"/>
            <w:left w:val="none" w:sz="0" w:space="0" w:color="auto"/>
            <w:bottom w:val="none" w:sz="0" w:space="0" w:color="auto"/>
            <w:right w:val="none" w:sz="0" w:space="0" w:color="auto"/>
          </w:divBdr>
        </w:div>
        <w:div w:id="932323722">
          <w:marLeft w:val="0"/>
          <w:marRight w:val="0"/>
          <w:marTop w:val="0"/>
          <w:marBottom w:val="0"/>
          <w:divBdr>
            <w:top w:val="none" w:sz="0" w:space="0" w:color="auto"/>
            <w:left w:val="none" w:sz="0" w:space="0" w:color="auto"/>
            <w:bottom w:val="none" w:sz="0" w:space="0" w:color="auto"/>
            <w:right w:val="none" w:sz="0" w:space="0" w:color="auto"/>
          </w:divBdr>
          <w:divsChild>
            <w:div w:id="201138740">
              <w:marLeft w:val="0"/>
              <w:marRight w:val="0"/>
              <w:marTop w:val="0"/>
              <w:marBottom w:val="0"/>
              <w:divBdr>
                <w:top w:val="none" w:sz="0" w:space="0" w:color="auto"/>
                <w:left w:val="none" w:sz="0" w:space="0" w:color="auto"/>
                <w:bottom w:val="none" w:sz="0" w:space="0" w:color="auto"/>
                <w:right w:val="none" w:sz="0" w:space="0" w:color="auto"/>
              </w:divBdr>
            </w:div>
            <w:div w:id="243145715">
              <w:marLeft w:val="0"/>
              <w:marRight w:val="0"/>
              <w:marTop w:val="0"/>
              <w:marBottom w:val="0"/>
              <w:divBdr>
                <w:top w:val="none" w:sz="0" w:space="0" w:color="auto"/>
                <w:left w:val="none" w:sz="0" w:space="0" w:color="auto"/>
                <w:bottom w:val="none" w:sz="0" w:space="0" w:color="auto"/>
                <w:right w:val="none" w:sz="0" w:space="0" w:color="auto"/>
              </w:divBdr>
            </w:div>
            <w:div w:id="508102423">
              <w:marLeft w:val="0"/>
              <w:marRight w:val="0"/>
              <w:marTop w:val="0"/>
              <w:marBottom w:val="0"/>
              <w:divBdr>
                <w:top w:val="none" w:sz="0" w:space="0" w:color="auto"/>
                <w:left w:val="none" w:sz="0" w:space="0" w:color="auto"/>
                <w:bottom w:val="none" w:sz="0" w:space="0" w:color="auto"/>
                <w:right w:val="none" w:sz="0" w:space="0" w:color="auto"/>
              </w:divBdr>
            </w:div>
            <w:div w:id="713235759">
              <w:marLeft w:val="0"/>
              <w:marRight w:val="0"/>
              <w:marTop w:val="0"/>
              <w:marBottom w:val="0"/>
              <w:divBdr>
                <w:top w:val="none" w:sz="0" w:space="0" w:color="auto"/>
                <w:left w:val="none" w:sz="0" w:space="0" w:color="auto"/>
                <w:bottom w:val="none" w:sz="0" w:space="0" w:color="auto"/>
                <w:right w:val="none" w:sz="0" w:space="0" w:color="auto"/>
              </w:divBdr>
            </w:div>
            <w:div w:id="822158662">
              <w:marLeft w:val="0"/>
              <w:marRight w:val="0"/>
              <w:marTop w:val="0"/>
              <w:marBottom w:val="0"/>
              <w:divBdr>
                <w:top w:val="none" w:sz="0" w:space="0" w:color="auto"/>
                <w:left w:val="none" w:sz="0" w:space="0" w:color="auto"/>
                <w:bottom w:val="none" w:sz="0" w:space="0" w:color="auto"/>
                <w:right w:val="none" w:sz="0" w:space="0" w:color="auto"/>
              </w:divBdr>
            </w:div>
          </w:divsChild>
        </w:div>
        <w:div w:id="1004086383">
          <w:marLeft w:val="0"/>
          <w:marRight w:val="0"/>
          <w:marTop w:val="0"/>
          <w:marBottom w:val="0"/>
          <w:divBdr>
            <w:top w:val="none" w:sz="0" w:space="0" w:color="auto"/>
            <w:left w:val="none" w:sz="0" w:space="0" w:color="auto"/>
            <w:bottom w:val="none" w:sz="0" w:space="0" w:color="auto"/>
            <w:right w:val="none" w:sz="0" w:space="0" w:color="auto"/>
          </w:divBdr>
        </w:div>
        <w:div w:id="1017544555">
          <w:marLeft w:val="0"/>
          <w:marRight w:val="0"/>
          <w:marTop w:val="0"/>
          <w:marBottom w:val="0"/>
          <w:divBdr>
            <w:top w:val="none" w:sz="0" w:space="0" w:color="auto"/>
            <w:left w:val="none" w:sz="0" w:space="0" w:color="auto"/>
            <w:bottom w:val="none" w:sz="0" w:space="0" w:color="auto"/>
            <w:right w:val="none" w:sz="0" w:space="0" w:color="auto"/>
          </w:divBdr>
        </w:div>
        <w:div w:id="1125150095">
          <w:marLeft w:val="0"/>
          <w:marRight w:val="0"/>
          <w:marTop w:val="0"/>
          <w:marBottom w:val="0"/>
          <w:divBdr>
            <w:top w:val="none" w:sz="0" w:space="0" w:color="auto"/>
            <w:left w:val="none" w:sz="0" w:space="0" w:color="auto"/>
            <w:bottom w:val="none" w:sz="0" w:space="0" w:color="auto"/>
            <w:right w:val="none" w:sz="0" w:space="0" w:color="auto"/>
          </w:divBdr>
        </w:div>
        <w:div w:id="1276908599">
          <w:marLeft w:val="0"/>
          <w:marRight w:val="0"/>
          <w:marTop w:val="0"/>
          <w:marBottom w:val="0"/>
          <w:divBdr>
            <w:top w:val="none" w:sz="0" w:space="0" w:color="auto"/>
            <w:left w:val="none" w:sz="0" w:space="0" w:color="auto"/>
            <w:bottom w:val="none" w:sz="0" w:space="0" w:color="auto"/>
            <w:right w:val="none" w:sz="0" w:space="0" w:color="auto"/>
          </w:divBdr>
          <w:divsChild>
            <w:div w:id="1413815887">
              <w:marLeft w:val="0"/>
              <w:marRight w:val="0"/>
              <w:marTop w:val="0"/>
              <w:marBottom w:val="0"/>
              <w:divBdr>
                <w:top w:val="none" w:sz="0" w:space="0" w:color="auto"/>
                <w:left w:val="none" w:sz="0" w:space="0" w:color="auto"/>
                <w:bottom w:val="none" w:sz="0" w:space="0" w:color="auto"/>
                <w:right w:val="none" w:sz="0" w:space="0" w:color="auto"/>
              </w:divBdr>
            </w:div>
          </w:divsChild>
        </w:div>
        <w:div w:id="1281184622">
          <w:marLeft w:val="0"/>
          <w:marRight w:val="0"/>
          <w:marTop w:val="0"/>
          <w:marBottom w:val="0"/>
          <w:divBdr>
            <w:top w:val="none" w:sz="0" w:space="0" w:color="auto"/>
            <w:left w:val="none" w:sz="0" w:space="0" w:color="auto"/>
            <w:bottom w:val="none" w:sz="0" w:space="0" w:color="auto"/>
            <w:right w:val="none" w:sz="0" w:space="0" w:color="auto"/>
          </w:divBdr>
        </w:div>
        <w:div w:id="1459060273">
          <w:marLeft w:val="0"/>
          <w:marRight w:val="0"/>
          <w:marTop w:val="0"/>
          <w:marBottom w:val="0"/>
          <w:divBdr>
            <w:top w:val="none" w:sz="0" w:space="0" w:color="auto"/>
            <w:left w:val="none" w:sz="0" w:space="0" w:color="auto"/>
            <w:bottom w:val="none" w:sz="0" w:space="0" w:color="auto"/>
            <w:right w:val="none" w:sz="0" w:space="0" w:color="auto"/>
          </w:divBdr>
        </w:div>
        <w:div w:id="1554658099">
          <w:marLeft w:val="0"/>
          <w:marRight w:val="0"/>
          <w:marTop w:val="0"/>
          <w:marBottom w:val="0"/>
          <w:divBdr>
            <w:top w:val="none" w:sz="0" w:space="0" w:color="auto"/>
            <w:left w:val="none" w:sz="0" w:space="0" w:color="auto"/>
            <w:bottom w:val="none" w:sz="0" w:space="0" w:color="auto"/>
            <w:right w:val="none" w:sz="0" w:space="0" w:color="auto"/>
          </w:divBdr>
        </w:div>
        <w:div w:id="1729065689">
          <w:marLeft w:val="0"/>
          <w:marRight w:val="0"/>
          <w:marTop w:val="0"/>
          <w:marBottom w:val="0"/>
          <w:divBdr>
            <w:top w:val="none" w:sz="0" w:space="0" w:color="auto"/>
            <w:left w:val="none" w:sz="0" w:space="0" w:color="auto"/>
            <w:bottom w:val="none" w:sz="0" w:space="0" w:color="auto"/>
            <w:right w:val="none" w:sz="0" w:space="0" w:color="auto"/>
          </w:divBdr>
        </w:div>
        <w:div w:id="2144499953">
          <w:marLeft w:val="0"/>
          <w:marRight w:val="0"/>
          <w:marTop w:val="0"/>
          <w:marBottom w:val="0"/>
          <w:divBdr>
            <w:top w:val="none" w:sz="0" w:space="0" w:color="auto"/>
            <w:left w:val="none" w:sz="0" w:space="0" w:color="auto"/>
            <w:bottom w:val="none" w:sz="0" w:space="0" w:color="auto"/>
            <w:right w:val="none" w:sz="0" w:space="0" w:color="auto"/>
          </w:divBdr>
          <w:divsChild>
            <w:div w:id="265968877">
              <w:marLeft w:val="0"/>
              <w:marRight w:val="0"/>
              <w:marTop w:val="0"/>
              <w:marBottom w:val="0"/>
              <w:divBdr>
                <w:top w:val="none" w:sz="0" w:space="0" w:color="auto"/>
                <w:left w:val="none" w:sz="0" w:space="0" w:color="auto"/>
                <w:bottom w:val="none" w:sz="0" w:space="0" w:color="auto"/>
                <w:right w:val="none" w:sz="0" w:space="0" w:color="auto"/>
              </w:divBdr>
            </w:div>
            <w:div w:id="158082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05336">
      <w:bodyDiv w:val="1"/>
      <w:marLeft w:val="0"/>
      <w:marRight w:val="0"/>
      <w:marTop w:val="0"/>
      <w:marBottom w:val="0"/>
      <w:divBdr>
        <w:top w:val="none" w:sz="0" w:space="0" w:color="auto"/>
        <w:left w:val="none" w:sz="0" w:space="0" w:color="auto"/>
        <w:bottom w:val="none" w:sz="0" w:space="0" w:color="auto"/>
        <w:right w:val="none" w:sz="0" w:space="0" w:color="auto"/>
      </w:divBdr>
      <w:divsChild>
        <w:div w:id="65539291">
          <w:marLeft w:val="0"/>
          <w:marRight w:val="0"/>
          <w:marTop w:val="0"/>
          <w:marBottom w:val="0"/>
          <w:divBdr>
            <w:top w:val="none" w:sz="0" w:space="0" w:color="auto"/>
            <w:left w:val="none" w:sz="0" w:space="0" w:color="auto"/>
            <w:bottom w:val="none" w:sz="0" w:space="0" w:color="auto"/>
            <w:right w:val="none" w:sz="0" w:space="0" w:color="auto"/>
          </w:divBdr>
        </w:div>
        <w:div w:id="146898063">
          <w:marLeft w:val="0"/>
          <w:marRight w:val="0"/>
          <w:marTop w:val="0"/>
          <w:marBottom w:val="0"/>
          <w:divBdr>
            <w:top w:val="none" w:sz="0" w:space="0" w:color="auto"/>
            <w:left w:val="none" w:sz="0" w:space="0" w:color="auto"/>
            <w:bottom w:val="none" w:sz="0" w:space="0" w:color="auto"/>
            <w:right w:val="none" w:sz="0" w:space="0" w:color="auto"/>
          </w:divBdr>
        </w:div>
        <w:div w:id="167838170">
          <w:marLeft w:val="0"/>
          <w:marRight w:val="0"/>
          <w:marTop w:val="0"/>
          <w:marBottom w:val="0"/>
          <w:divBdr>
            <w:top w:val="none" w:sz="0" w:space="0" w:color="auto"/>
            <w:left w:val="none" w:sz="0" w:space="0" w:color="auto"/>
            <w:bottom w:val="none" w:sz="0" w:space="0" w:color="auto"/>
            <w:right w:val="none" w:sz="0" w:space="0" w:color="auto"/>
          </w:divBdr>
        </w:div>
        <w:div w:id="837888265">
          <w:marLeft w:val="0"/>
          <w:marRight w:val="0"/>
          <w:marTop w:val="0"/>
          <w:marBottom w:val="0"/>
          <w:divBdr>
            <w:top w:val="none" w:sz="0" w:space="0" w:color="auto"/>
            <w:left w:val="none" w:sz="0" w:space="0" w:color="auto"/>
            <w:bottom w:val="none" w:sz="0" w:space="0" w:color="auto"/>
            <w:right w:val="none" w:sz="0" w:space="0" w:color="auto"/>
          </w:divBdr>
        </w:div>
        <w:div w:id="846790770">
          <w:marLeft w:val="0"/>
          <w:marRight w:val="0"/>
          <w:marTop w:val="0"/>
          <w:marBottom w:val="0"/>
          <w:divBdr>
            <w:top w:val="none" w:sz="0" w:space="0" w:color="auto"/>
            <w:left w:val="none" w:sz="0" w:space="0" w:color="auto"/>
            <w:bottom w:val="none" w:sz="0" w:space="0" w:color="auto"/>
            <w:right w:val="none" w:sz="0" w:space="0" w:color="auto"/>
          </w:divBdr>
        </w:div>
        <w:div w:id="846864718">
          <w:marLeft w:val="0"/>
          <w:marRight w:val="0"/>
          <w:marTop w:val="0"/>
          <w:marBottom w:val="0"/>
          <w:divBdr>
            <w:top w:val="none" w:sz="0" w:space="0" w:color="auto"/>
            <w:left w:val="none" w:sz="0" w:space="0" w:color="auto"/>
            <w:bottom w:val="none" w:sz="0" w:space="0" w:color="auto"/>
            <w:right w:val="none" w:sz="0" w:space="0" w:color="auto"/>
          </w:divBdr>
        </w:div>
        <w:div w:id="889924406">
          <w:marLeft w:val="0"/>
          <w:marRight w:val="0"/>
          <w:marTop w:val="0"/>
          <w:marBottom w:val="0"/>
          <w:divBdr>
            <w:top w:val="none" w:sz="0" w:space="0" w:color="auto"/>
            <w:left w:val="none" w:sz="0" w:space="0" w:color="auto"/>
            <w:bottom w:val="none" w:sz="0" w:space="0" w:color="auto"/>
            <w:right w:val="none" w:sz="0" w:space="0" w:color="auto"/>
          </w:divBdr>
        </w:div>
        <w:div w:id="1083839555">
          <w:marLeft w:val="0"/>
          <w:marRight w:val="0"/>
          <w:marTop w:val="0"/>
          <w:marBottom w:val="0"/>
          <w:divBdr>
            <w:top w:val="none" w:sz="0" w:space="0" w:color="auto"/>
            <w:left w:val="none" w:sz="0" w:space="0" w:color="auto"/>
            <w:bottom w:val="none" w:sz="0" w:space="0" w:color="auto"/>
            <w:right w:val="none" w:sz="0" w:space="0" w:color="auto"/>
          </w:divBdr>
        </w:div>
        <w:div w:id="1105344698">
          <w:marLeft w:val="0"/>
          <w:marRight w:val="0"/>
          <w:marTop w:val="0"/>
          <w:marBottom w:val="0"/>
          <w:divBdr>
            <w:top w:val="none" w:sz="0" w:space="0" w:color="auto"/>
            <w:left w:val="none" w:sz="0" w:space="0" w:color="auto"/>
            <w:bottom w:val="none" w:sz="0" w:space="0" w:color="auto"/>
            <w:right w:val="none" w:sz="0" w:space="0" w:color="auto"/>
          </w:divBdr>
        </w:div>
        <w:div w:id="1193953641">
          <w:marLeft w:val="0"/>
          <w:marRight w:val="0"/>
          <w:marTop w:val="0"/>
          <w:marBottom w:val="0"/>
          <w:divBdr>
            <w:top w:val="none" w:sz="0" w:space="0" w:color="auto"/>
            <w:left w:val="none" w:sz="0" w:space="0" w:color="auto"/>
            <w:bottom w:val="none" w:sz="0" w:space="0" w:color="auto"/>
            <w:right w:val="none" w:sz="0" w:space="0" w:color="auto"/>
          </w:divBdr>
        </w:div>
        <w:div w:id="1388186028">
          <w:marLeft w:val="0"/>
          <w:marRight w:val="0"/>
          <w:marTop w:val="0"/>
          <w:marBottom w:val="0"/>
          <w:divBdr>
            <w:top w:val="none" w:sz="0" w:space="0" w:color="auto"/>
            <w:left w:val="none" w:sz="0" w:space="0" w:color="auto"/>
            <w:bottom w:val="none" w:sz="0" w:space="0" w:color="auto"/>
            <w:right w:val="none" w:sz="0" w:space="0" w:color="auto"/>
          </w:divBdr>
        </w:div>
        <w:div w:id="1524201123">
          <w:marLeft w:val="0"/>
          <w:marRight w:val="0"/>
          <w:marTop w:val="0"/>
          <w:marBottom w:val="0"/>
          <w:divBdr>
            <w:top w:val="none" w:sz="0" w:space="0" w:color="auto"/>
            <w:left w:val="none" w:sz="0" w:space="0" w:color="auto"/>
            <w:bottom w:val="none" w:sz="0" w:space="0" w:color="auto"/>
            <w:right w:val="none" w:sz="0" w:space="0" w:color="auto"/>
          </w:divBdr>
        </w:div>
      </w:divsChild>
    </w:div>
    <w:div w:id="183905427">
      <w:bodyDiv w:val="1"/>
      <w:marLeft w:val="0"/>
      <w:marRight w:val="0"/>
      <w:marTop w:val="0"/>
      <w:marBottom w:val="0"/>
      <w:divBdr>
        <w:top w:val="none" w:sz="0" w:space="0" w:color="auto"/>
        <w:left w:val="none" w:sz="0" w:space="0" w:color="auto"/>
        <w:bottom w:val="none" w:sz="0" w:space="0" w:color="auto"/>
        <w:right w:val="none" w:sz="0" w:space="0" w:color="auto"/>
      </w:divBdr>
      <w:divsChild>
        <w:div w:id="108814421">
          <w:marLeft w:val="0"/>
          <w:marRight w:val="0"/>
          <w:marTop w:val="0"/>
          <w:marBottom w:val="0"/>
          <w:divBdr>
            <w:top w:val="none" w:sz="0" w:space="0" w:color="auto"/>
            <w:left w:val="none" w:sz="0" w:space="0" w:color="auto"/>
            <w:bottom w:val="none" w:sz="0" w:space="0" w:color="auto"/>
            <w:right w:val="none" w:sz="0" w:space="0" w:color="auto"/>
          </w:divBdr>
        </w:div>
        <w:div w:id="178081921">
          <w:marLeft w:val="0"/>
          <w:marRight w:val="0"/>
          <w:marTop w:val="0"/>
          <w:marBottom w:val="0"/>
          <w:divBdr>
            <w:top w:val="none" w:sz="0" w:space="0" w:color="auto"/>
            <w:left w:val="none" w:sz="0" w:space="0" w:color="auto"/>
            <w:bottom w:val="none" w:sz="0" w:space="0" w:color="auto"/>
            <w:right w:val="none" w:sz="0" w:space="0" w:color="auto"/>
          </w:divBdr>
        </w:div>
        <w:div w:id="243104682">
          <w:marLeft w:val="0"/>
          <w:marRight w:val="0"/>
          <w:marTop w:val="0"/>
          <w:marBottom w:val="0"/>
          <w:divBdr>
            <w:top w:val="none" w:sz="0" w:space="0" w:color="auto"/>
            <w:left w:val="none" w:sz="0" w:space="0" w:color="auto"/>
            <w:bottom w:val="none" w:sz="0" w:space="0" w:color="auto"/>
            <w:right w:val="none" w:sz="0" w:space="0" w:color="auto"/>
          </w:divBdr>
        </w:div>
        <w:div w:id="299043503">
          <w:marLeft w:val="0"/>
          <w:marRight w:val="0"/>
          <w:marTop w:val="0"/>
          <w:marBottom w:val="0"/>
          <w:divBdr>
            <w:top w:val="none" w:sz="0" w:space="0" w:color="auto"/>
            <w:left w:val="none" w:sz="0" w:space="0" w:color="auto"/>
            <w:bottom w:val="none" w:sz="0" w:space="0" w:color="auto"/>
            <w:right w:val="none" w:sz="0" w:space="0" w:color="auto"/>
          </w:divBdr>
        </w:div>
        <w:div w:id="353962383">
          <w:marLeft w:val="0"/>
          <w:marRight w:val="0"/>
          <w:marTop w:val="0"/>
          <w:marBottom w:val="0"/>
          <w:divBdr>
            <w:top w:val="none" w:sz="0" w:space="0" w:color="auto"/>
            <w:left w:val="none" w:sz="0" w:space="0" w:color="auto"/>
            <w:bottom w:val="none" w:sz="0" w:space="0" w:color="auto"/>
            <w:right w:val="none" w:sz="0" w:space="0" w:color="auto"/>
          </w:divBdr>
        </w:div>
        <w:div w:id="376198644">
          <w:marLeft w:val="0"/>
          <w:marRight w:val="0"/>
          <w:marTop w:val="0"/>
          <w:marBottom w:val="0"/>
          <w:divBdr>
            <w:top w:val="none" w:sz="0" w:space="0" w:color="auto"/>
            <w:left w:val="none" w:sz="0" w:space="0" w:color="auto"/>
            <w:bottom w:val="none" w:sz="0" w:space="0" w:color="auto"/>
            <w:right w:val="none" w:sz="0" w:space="0" w:color="auto"/>
          </w:divBdr>
        </w:div>
        <w:div w:id="439108183">
          <w:marLeft w:val="0"/>
          <w:marRight w:val="0"/>
          <w:marTop w:val="0"/>
          <w:marBottom w:val="0"/>
          <w:divBdr>
            <w:top w:val="none" w:sz="0" w:space="0" w:color="auto"/>
            <w:left w:val="none" w:sz="0" w:space="0" w:color="auto"/>
            <w:bottom w:val="none" w:sz="0" w:space="0" w:color="auto"/>
            <w:right w:val="none" w:sz="0" w:space="0" w:color="auto"/>
          </w:divBdr>
        </w:div>
        <w:div w:id="569385062">
          <w:marLeft w:val="0"/>
          <w:marRight w:val="0"/>
          <w:marTop w:val="0"/>
          <w:marBottom w:val="0"/>
          <w:divBdr>
            <w:top w:val="none" w:sz="0" w:space="0" w:color="auto"/>
            <w:left w:val="none" w:sz="0" w:space="0" w:color="auto"/>
            <w:bottom w:val="none" w:sz="0" w:space="0" w:color="auto"/>
            <w:right w:val="none" w:sz="0" w:space="0" w:color="auto"/>
          </w:divBdr>
        </w:div>
        <w:div w:id="584385266">
          <w:marLeft w:val="0"/>
          <w:marRight w:val="0"/>
          <w:marTop w:val="0"/>
          <w:marBottom w:val="0"/>
          <w:divBdr>
            <w:top w:val="none" w:sz="0" w:space="0" w:color="auto"/>
            <w:left w:val="none" w:sz="0" w:space="0" w:color="auto"/>
            <w:bottom w:val="none" w:sz="0" w:space="0" w:color="auto"/>
            <w:right w:val="none" w:sz="0" w:space="0" w:color="auto"/>
          </w:divBdr>
        </w:div>
        <w:div w:id="751586496">
          <w:marLeft w:val="0"/>
          <w:marRight w:val="0"/>
          <w:marTop w:val="0"/>
          <w:marBottom w:val="0"/>
          <w:divBdr>
            <w:top w:val="none" w:sz="0" w:space="0" w:color="auto"/>
            <w:left w:val="none" w:sz="0" w:space="0" w:color="auto"/>
            <w:bottom w:val="none" w:sz="0" w:space="0" w:color="auto"/>
            <w:right w:val="none" w:sz="0" w:space="0" w:color="auto"/>
          </w:divBdr>
        </w:div>
        <w:div w:id="904949668">
          <w:marLeft w:val="0"/>
          <w:marRight w:val="0"/>
          <w:marTop w:val="0"/>
          <w:marBottom w:val="0"/>
          <w:divBdr>
            <w:top w:val="none" w:sz="0" w:space="0" w:color="auto"/>
            <w:left w:val="none" w:sz="0" w:space="0" w:color="auto"/>
            <w:bottom w:val="none" w:sz="0" w:space="0" w:color="auto"/>
            <w:right w:val="none" w:sz="0" w:space="0" w:color="auto"/>
          </w:divBdr>
        </w:div>
        <w:div w:id="1041781381">
          <w:marLeft w:val="0"/>
          <w:marRight w:val="0"/>
          <w:marTop w:val="0"/>
          <w:marBottom w:val="0"/>
          <w:divBdr>
            <w:top w:val="none" w:sz="0" w:space="0" w:color="auto"/>
            <w:left w:val="none" w:sz="0" w:space="0" w:color="auto"/>
            <w:bottom w:val="none" w:sz="0" w:space="0" w:color="auto"/>
            <w:right w:val="none" w:sz="0" w:space="0" w:color="auto"/>
          </w:divBdr>
        </w:div>
        <w:div w:id="1120687699">
          <w:marLeft w:val="0"/>
          <w:marRight w:val="0"/>
          <w:marTop w:val="0"/>
          <w:marBottom w:val="0"/>
          <w:divBdr>
            <w:top w:val="none" w:sz="0" w:space="0" w:color="auto"/>
            <w:left w:val="none" w:sz="0" w:space="0" w:color="auto"/>
            <w:bottom w:val="none" w:sz="0" w:space="0" w:color="auto"/>
            <w:right w:val="none" w:sz="0" w:space="0" w:color="auto"/>
          </w:divBdr>
        </w:div>
        <w:div w:id="1423918188">
          <w:marLeft w:val="0"/>
          <w:marRight w:val="0"/>
          <w:marTop w:val="0"/>
          <w:marBottom w:val="0"/>
          <w:divBdr>
            <w:top w:val="none" w:sz="0" w:space="0" w:color="auto"/>
            <w:left w:val="none" w:sz="0" w:space="0" w:color="auto"/>
            <w:bottom w:val="none" w:sz="0" w:space="0" w:color="auto"/>
            <w:right w:val="none" w:sz="0" w:space="0" w:color="auto"/>
          </w:divBdr>
        </w:div>
        <w:div w:id="1626959256">
          <w:marLeft w:val="0"/>
          <w:marRight w:val="0"/>
          <w:marTop w:val="0"/>
          <w:marBottom w:val="0"/>
          <w:divBdr>
            <w:top w:val="none" w:sz="0" w:space="0" w:color="auto"/>
            <w:left w:val="none" w:sz="0" w:space="0" w:color="auto"/>
            <w:bottom w:val="none" w:sz="0" w:space="0" w:color="auto"/>
            <w:right w:val="none" w:sz="0" w:space="0" w:color="auto"/>
          </w:divBdr>
        </w:div>
        <w:div w:id="1641887079">
          <w:marLeft w:val="0"/>
          <w:marRight w:val="0"/>
          <w:marTop w:val="0"/>
          <w:marBottom w:val="0"/>
          <w:divBdr>
            <w:top w:val="none" w:sz="0" w:space="0" w:color="auto"/>
            <w:left w:val="none" w:sz="0" w:space="0" w:color="auto"/>
            <w:bottom w:val="none" w:sz="0" w:space="0" w:color="auto"/>
            <w:right w:val="none" w:sz="0" w:space="0" w:color="auto"/>
          </w:divBdr>
        </w:div>
        <w:div w:id="1795715852">
          <w:marLeft w:val="0"/>
          <w:marRight w:val="0"/>
          <w:marTop w:val="0"/>
          <w:marBottom w:val="0"/>
          <w:divBdr>
            <w:top w:val="none" w:sz="0" w:space="0" w:color="auto"/>
            <w:left w:val="none" w:sz="0" w:space="0" w:color="auto"/>
            <w:bottom w:val="none" w:sz="0" w:space="0" w:color="auto"/>
            <w:right w:val="none" w:sz="0" w:space="0" w:color="auto"/>
          </w:divBdr>
        </w:div>
        <w:div w:id="2032880047">
          <w:marLeft w:val="0"/>
          <w:marRight w:val="0"/>
          <w:marTop w:val="0"/>
          <w:marBottom w:val="0"/>
          <w:divBdr>
            <w:top w:val="none" w:sz="0" w:space="0" w:color="auto"/>
            <w:left w:val="none" w:sz="0" w:space="0" w:color="auto"/>
            <w:bottom w:val="none" w:sz="0" w:space="0" w:color="auto"/>
            <w:right w:val="none" w:sz="0" w:space="0" w:color="auto"/>
          </w:divBdr>
        </w:div>
        <w:div w:id="2107574415">
          <w:marLeft w:val="0"/>
          <w:marRight w:val="0"/>
          <w:marTop w:val="0"/>
          <w:marBottom w:val="0"/>
          <w:divBdr>
            <w:top w:val="none" w:sz="0" w:space="0" w:color="auto"/>
            <w:left w:val="none" w:sz="0" w:space="0" w:color="auto"/>
            <w:bottom w:val="none" w:sz="0" w:space="0" w:color="auto"/>
            <w:right w:val="none" w:sz="0" w:space="0" w:color="auto"/>
          </w:divBdr>
        </w:div>
      </w:divsChild>
    </w:div>
    <w:div w:id="185482315">
      <w:bodyDiv w:val="1"/>
      <w:marLeft w:val="0"/>
      <w:marRight w:val="0"/>
      <w:marTop w:val="0"/>
      <w:marBottom w:val="0"/>
      <w:divBdr>
        <w:top w:val="none" w:sz="0" w:space="0" w:color="auto"/>
        <w:left w:val="none" w:sz="0" w:space="0" w:color="auto"/>
        <w:bottom w:val="none" w:sz="0" w:space="0" w:color="auto"/>
        <w:right w:val="none" w:sz="0" w:space="0" w:color="auto"/>
      </w:divBdr>
    </w:div>
    <w:div w:id="229926637">
      <w:bodyDiv w:val="1"/>
      <w:marLeft w:val="0"/>
      <w:marRight w:val="0"/>
      <w:marTop w:val="0"/>
      <w:marBottom w:val="0"/>
      <w:divBdr>
        <w:top w:val="none" w:sz="0" w:space="0" w:color="auto"/>
        <w:left w:val="none" w:sz="0" w:space="0" w:color="auto"/>
        <w:bottom w:val="none" w:sz="0" w:space="0" w:color="auto"/>
        <w:right w:val="none" w:sz="0" w:space="0" w:color="auto"/>
      </w:divBdr>
    </w:div>
    <w:div w:id="231430341">
      <w:bodyDiv w:val="1"/>
      <w:marLeft w:val="0"/>
      <w:marRight w:val="0"/>
      <w:marTop w:val="0"/>
      <w:marBottom w:val="0"/>
      <w:divBdr>
        <w:top w:val="none" w:sz="0" w:space="0" w:color="auto"/>
        <w:left w:val="none" w:sz="0" w:space="0" w:color="auto"/>
        <w:bottom w:val="none" w:sz="0" w:space="0" w:color="auto"/>
        <w:right w:val="none" w:sz="0" w:space="0" w:color="auto"/>
      </w:divBdr>
      <w:divsChild>
        <w:div w:id="264465956">
          <w:marLeft w:val="0"/>
          <w:marRight w:val="0"/>
          <w:marTop w:val="0"/>
          <w:marBottom w:val="0"/>
          <w:divBdr>
            <w:top w:val="none" w:sz="0" w:space="0" w:color="auto"/>
            <w:left w:val="none" w:sz="0" w:space="0" w:color="auto"/>
            <w:bottom w:val="none" w:sz="0" w:space="0" w:color="auto"/>
            <w:right w:val="none" w:sz="0" w:space="0" w:color="auto"/>
          </w:divBdr>
        </w:div>
        <w:div w:id="349990205">
          <w:marLeft w:val="0"/>
          <w:marRight w:val="0"/>
          <w:marTop w:val="0"/>
          <w:marBottom w:val="0"/>
          <w:divBdr>
            <w:top w:val="none" w:sz="0" w:space="0" w:color="auto"/>
            <w:left w:val="none" w:sz="0" w:space="0" w:color="auto"/>
            <w:bottom w:val="none" w:sz="0" w:space="0" w:color="auto"/>
            <w:right w:val="none" w:sz="0" w:space="0" w:color="auto"/>
          </w:divBdr>
        </w:div>
        <w:div w:id="847250861">
          <w:marLeft w:val="0"/>
          <w:marRight w:val="0"/>
          <w:marTop w:val="0"/>
          <w:marBottom w:val="0"/>
          <w:divBdr>
            <w:top w:val="none" w:sz="0" w:space="0" w:color="auto"/>
            <w:left w:val="none" w:sz="0" w:space="0" w:color="auto"/>
            <w:bottom w:val="none" w:sz="0" w:space="0" w:color="auto"/>
            <w:right w:val="none" w:sz="0" w:space="0" w:color="auto"/>
          </w:divBdr>
        </w:div>
        <w:div w:id="1434130933">
          <w:marLeft w:val="0"/>
          <w:marRight w:val="0"/>
          <w:marTop w:val="0"/>
          <w:marBottom w:val="0"/>
          <w:divBdr>
            <w:top w:val="none" w:sz="0" w:space="0" w:color="auto"/>
            <w:left w:val="none" w:sz="0" w:space="0" w:color="auto"/>
            <w:bottom w:val="none" w:sz="0" w:space="0" w:color="auto"/>
            <w:right w:val="none" w:sz="0" w:space="0" w:color="auto"/>
          </w:divBdr>
        </w:div>
        <w:div w:id="1546025378">
          <w:marLeft w:val="0"/>
          <w:marRight w:val="0"/>
          <w:marTop w:val="0"/>
          <w:marBottom w:val="0"/>
          <w:divBdr>
            <w:top w:val="none" w:sz="0" w:space="0" w:color="auto"/>
            <w:left w:val="none" w:sz="0" w:space="0" w:color="auto"/>
            <w:bottom w:val="none" w:sz="0" w:space="0" w:color="auto"/>
            <w:right w:val="none" w:sz="0" w:space="0" w:color="auto"/>
          </w:divBdr>
        </w:div>
        <w:div w:id="1586527774">
          <w:marLeft w:val="0"/>
          <w:marRight w:val="0"/>
          <w:marTop w:val="0"/>
          <w:marBottom w:val="0"/>
          <w:divBdr>
            <w:top w:val="none" w:sz="0" w:space="0" w:color="auto"/>
            <w:left w:val="none" w:sz="0" w:space="0" w:color="auto"/>
            <w:bottom w:val="none" w:sz="0" w:space="0" w:color="auto"/>
            <w:right w:val="none" w:sz="0" w:space="0" w:color="auto"/>
          </w:divBdr>
        </w:div>
        <w:div w:id="1629361944">
          <w:marLeft w:val="0"/>
          <w:marRight w:val="0"/>
          <w:marTop w:val="0"/>
          <w:marBottom w:val="0"/>
          <w:divBdr>
            <w:top w:val="none" w:sz="0" w:space="0" w:color="auto"/>
            <w:left w:val="none" w:sz="0" w:space="0" w:color="auto"/>
            <w:bottom w:val="none" w:sz="0" w:space="0" w:color="auto"/>
            <w:right w:val="none" w:sz="0" w:space="0" w:color="auto"/>
          </w:divBdr>
        </w:div>
        <w:div w:id="1832863293">
          <w:marLeft w:val="0"/>
          <w:marRight w:val="0"/>
          <w:marTop w:val="0"/>
          <w:marBottom w:val="0"/>
          <w:divBdr>
            <w:top w:val="none" w:sz="0" w:space="0" w:color="auto"/>
            <w:left w:val="none" w:sz="0" w:space="0" w:color="auto"/>
            <w:bottom w:val="none" w:sz="0" w:space="0" w:color="auto"/>
            <w:right w:val="none" w:sz="0" w:space="0" w:color="auto"/>
          </w:divBdr>
        </w:div>
        <w:div w:id="1970478384">
          <w:marLeft w:val="0"/>
          <w:marRight w:val="0"/>
          <w:marTop w:val="0"/>
          <w:marBottom w:val="0"/>
          <w:divBdr>
            <w:top w:val="none" w:sz="0" w:space="0" w:color="auto"/>
            <w:left w:val="none" w:sz="0" w:space="0" w:color="auto"/>
            <w:bottom w:val="none" w:sz="0" w:space="0" w:color="auto"/>
            <w:right w:val="none" w:sz="0" w:space="0" w:color="auto"/>
          </w:divBdr>
        </w:div>
        <w:div w:id="2003971199">
          <w:marLeft w:val="0"/>
          <w:marRight w:val="0"/>
          <w:marTop w:val="0"/>
          <w:marBottom w:val="0"/>
          <w:divBdr>
            <w:top w:val="none" w:sz="0" w:space="0" w:color="auto"/>
            <w:left w:val="none" w:sz="0" w:space="0" w:color="auto"/>
            <w:bottom w:val="none" w:sz="0" w:space="0" w:color="auto"/>
            <w:right w:val="none" w:sz="0" w:space="0" w:color="auto"/>
          </w:divBdr>
        </w:div>
        <w:div w:id="2062092954">
          <w:marLeft w:val="0"/>
          <w:marRight w:val="0"/>
          <w:marTop w:val="0"/>
          <w:marBottom w:val="0"/>
          <w:divBdr>
            <w:top w:val="none" w:sz="0" w:space="0" w:color="auto"/>
            <w:left w:val="none" w:sz="0" w:space="0" w:color="auto"/>
            <w:bottom w:val="none" w:sz="0" w:space="0" w:color="auto"/>
            <w:right w:val="none" w:sz="0" w:space="0" w:color="auto"/>
          </w:divBdr>
        </w:div>
        <w:div w:id="2102556472">
          <w:marLeft w:val="0"/>
          <w:marRight w:val="0"/>
          <w:marTop w:val="0"/>
          <w:marBottom w:val="0"/>
          <w:divBdr>
            <w:top w:val="none" w:sz="0" w:space="0" w:color="auto"/>
            <w:left w:val="none" w:sz="0" w:space="0" w:color="auto"/>
            <w:bottom w:val="none" w:sz="0" w:space="0" w:color="auto"/>
            <w:right w:val="none" w:sz="0" w:space="0" w:color="auto"/>
          </w:divBdr>
        </w:div>
      </w:divsChild>
    </w:div>
    <w:div w:id="251545765">
      <w:bodyDiv w:val="1"/>
      <w:marLeft w:val="0"/>
      <w:marRight w:val="0"/>
      <w:marTop w:val="0"/>
      <w:marBottom w:val="0"/>
      <w:divBdr>
        <w:top w:val="none" w:sz="0" w:space="0" w:color="auto"/>
        <w:left w:val="none" w:sz="0" w:space="0" w:color="auto"/>
        <w:bottom w:val="none" w:sz="0" w:space="0" w:color="auto"/>
        <w:right w:val="none" w:sz="0" w:space="0" w:color="auto"/>
      </w:divBdr>
      <w:divsChild>
        <w:div w:id="282729743">
          <w:marLeft w:val="0"/>
          <w:marRight w:val="0"/>
          <w:marTop w:val="0"/>
          <w:marBottom w:val="0"/>
          <w:divBdr>
            <w:top w:val="none" w:sz="0" w:space="0" w:color="auto"/>
            <w:left w:val="none" w:sz="0" w:space="0" w:color="auto"/>
            <w:bottom w:val="none" w:sz="0" w:space="0" w:color="auto"/>
            <w:right w:val="none" w:sz="0" w:space="0" w:color="auto"/>
          </w:divBdr>
        </w:div>
        <w:div w:id="1296567619">
          <w:marLeft w:val="0"/>
          <w:marRight w:val="0"/>
          <w:marTop w:val="0"/>
          <w:marBottom w:val="0"/>
          <w:divBdr>
            <w:top w:val="none" w:sz="0" w:space="0" w:color="auto"/>
            <w:left w:val="none" w:sz="0" w:space="0" w:color="auto"/>
            <w:bottom w:val="none" w:sz="0" w:space="0" w:color="auto"/>
            <w:right w:val="none" w:sz="0" w:space="0" w:color="auto"/>
          </w:divBdr>
        </w:div>
        <w:div w:id="1153834622">
          <w:marLeft w:val="0"/>
          <w:marRight w:val="0"/>
          <w:marTop w:val="0"/>
          <w:marBottom w:val="0"/>
          <w:divBdr>
            <w:top w:val="none" w:sz="0" w:space="0" w:color="auto"/>
            <w:left w:val="none" w:sz="0" w:space="0" w:color="auto"/>
            <w:bottom w:val="none" w:sz="0" w:space="0" w:color="auto"/>
            <w:right w:val="none" w:sz="0" w:space="0" w:color="auto"/>
          </w:divBdr>
        </w:div>
        <w:div w:id="1797871390">
          <w:marLeft w:val="0"/>
          <w:marRight w:val="0"/>
          <w:marTop w:val="0"/>
          <w:marBottom w:val="0"/>
          <w:divBdr>
            <w:top w:val="none" w:sz="0" w:space="0" w:color="auto"/>
            <w:left w:val="none" w:sz="0" w:space="0" w:color="auto"/>
            <w:bottom w:val="none" w:sz="0" w:space="0" w:color="auto"/>
            <w:right w:val="none" w:sz="0" w:space="0" w:color="auto"/>
          </w:divBdr>
        </w:div>
        <w:div w:id="1086849538">
          <w:marLeft w:val="0"/>
          <w:marRight w:val="0"/>
          <w:marTop w:val="0"/>
          <w:marBottom w:val="0"/>
          <w:divBdr>
            <w:top w:val="none" w:sz="0" w:space="0" w:color="auto"/>
            <w:left w:val="none" w:sz="0" w:space="0" w:color="auto"/>
            <w:bottom w:val="none" w:sz="0" w:space="0" w:color="auto"/>
            <w:right w:val="none" w:sz="0" w:space="0" w:color="auto"/>
          </w:divBdr>
          <w:divsChild>
            <w:div w:id="686709402">
              <w:marLeft w:val="0"/>
              <w:marRight w:val="0"/>
              <w:marTop w:val="0"/>
              <w:marBottom w:val="0"/>
              <w:divBdr>
                <w:top w:val="none" w:sz="0" w:space="0" w:color="auto"/>
                <w:left w:val="none" w:sz="0" w:space="0" w:color="auto"/>
                <w:bottom w:val="none" w:sz="0" w:space="0" w:color="auto"/>
                <w:right w:val="none" w:sz="0" w:space="0" w:color="auto"/>
              </w:divBdr>
            </w:div>
            <w:div w:id="1892109324">
              <w:marLeft w:val="0"/>
              <w:marRight w:val="0"/>
              <w:marTop w:val="0"/>
              <w:marBottom w:val="0"/>
              <w:divBdr>
                <w:top w:val="none" w:sz="0" w:space="0" w:color="auto"/>
                <w:left w:val="none" w:sz="0" w:space="0" w:color="auto"/>
                <w:bottom w:val="none" w:sz="0" w:space="0" w:color="auto"/>
                <w:right w:val="none" w:sz="0" w:space="0" w:color="auto"/>
              </w:divBdr>
            </w:div>
            <w:div w:id="1057320834">
              <w:marLeft w:val="0"/>
              <w:marRight w:val="0"/>
              <w:marTop w:val="0"/>
              <w:marBottom w:val="0"/>
              <w:divBdr>
                <w:top w:val="none" w:sz="0" w:space="0" w:color="auto"/>
                <w:left w:val="none" w:sz="0" w:space="0" w:color="auto"/>
                <w:bottom w:val="none" w:sz="0" w:space="0" w:color="auto"/>
                <w:right w:val="none" w:sz="0" w:space="0" w:color="auto"/>
              </w:divBdr>
            </w:div>
            <w:div w:id="1917936592">
              <w:marLeft w:val="0"/>
              <w:marRight w:val="0"/>
              <w:marTop w:val="0"/>
              <w:marBottom w:val="0"/>
              <w:divBdr>
                <w:top w:val="none" w:sz="0" w:space="0" w:color="auto"/>
                <w:left w:val="none" w:sz="0" w:space="0" w:color="auto"/>
                <w:bottom w:val="none" w:sz="0" w:space="0" w:color="auto"/>
                <w:right w:val="none" w:sz="0" w:space="0" w:color="auto"/>
              </w:divBdr>
            </w:div>
            <w:div w:id="717972828">
              <w:marLeft w:val="0"/>
              <w:marRight w:val="0"/>
              <w:marTop w:val="0"/>
              <w:marBottom w:val="0"/>
              <w:divBdr>
                <w:top w:val="none" w:sz="0" w:space="0" w:color="auto"/>
                <w:left w:val="none" w:sz="0" w:space="0" w:color="auto"/>
                <w:bottom w:val="none" w:sz="0" w:space="0" w:color="auto"/>
                <w:right w:val="none" w:sz="0" w:space="0" w:color="auto"/>
              </w:divBdr>
            </w:div>
            <w:div w:id="248664570">
              <w:marLeft w:val="0"/>
              <w:marRight w:val="0"/>
              <w:marTop w:val="0"/>
              <w:marBottom w:val="0"/>
              <w:divBdr>
                <w:top w:val="none" w:sz="0" w:space="0" w:color="auto"/>
                <w:left w:val="none" w:sz="0" w:space="0" w:color="auto"/>
                <w:bottom w:val="none" w:sz="0" w:space="0" w:color="auto"/>
                <w:right w:val="none" w:sz="0" w:space="0" w:color="auto"/>
              </w:divBdr>
            </w:div>
            <w:div w:id="2067102099">
              <w:marLeft w:val="0"/>
              <w:marRight w:val="0"/>
              <w:marTop w:val="0"/>
              <w:marBottom w:val="0"/>
              <w:divBdr>
                <w:top w:val="none" w:sz="0" w:space="0" w:color="auto"/>
                <w:left w:val="none" w:sz="0" w:space="0" w:color="auto"/>
                <w:bottom w:val="none" w:sz="0" w:space="0" w:color="auto"/>
                <w:right w:val="none" w:sz="0" w:space="0" w:color="auto"/>
              </w:divBdr>
            </w:div>
            <w:div w:id="1889803839">
              <w:marLeft w:val="0"/>
              <w:marRight w:val="0"/>
              <w:marTop w:val="0"/>
              <w:marBottom w:val="0"/>
              <w:divBdr>
                <w:top w:val="none" w:sz="0" w:space="0" w:color="auto"/>
                <w:left w:val="none" w:sz="0" w:space="0" w:color="auto"/>
                <w:bottom w:val="none" w:sz="0" w:space="0" w:color="auto"/>
                <w:right w:val="none" w:sz="0" w:space="0" w:color="auto"/>
              </w:divBdr>
            </w:div>
            <w:div w:id="1084303042">
              <w:marLeft w:val="0"/>
              <w:marRight w:val="0"/>
              <w:marTop w:val="0"/>
              <w:marBottom w:val="0"/>
              <w:divBdr>
                <w:top w:val="none" w:sz="0" w:space="0" w:color="auto"/>
                <w:left w:val="none" w:sz="0" w:space="0" w:color="auto"/>
                <w:bottom w:val="none" w:sz="0" w:space="0" w:color="auto"/>
                <w:right w:val="none" w:sz="0" w:space="0" w:color="auto"/>
              </w:divBdr>
            </w:div>
            <w:div w:id="627972205">
              <w:marLeft w:val="0"/>
              <w:marRight w:val="0"/>
              <w:marTop w:val="0"/>
              <w:marBottom w:val="0"/>
              <w:divBdr>
                <w:top w:val="none" w:sz="0" w:space="0" w:color="auto"/>
                <w:left w:val="none" w:sz="0" w:space="0" w:color="auto"/>
                <w:bottom w:val="none" w:sz="0" w:space="0" w:color="auto"/>
                <w:right w:val="none" w:sz="0" w:space="0" w:color="auto"/>
              </w:divBdr>
            </w:div>
            <w:div w:id="693729911">
              <w:marLeft w:val="0"/>
              <w:marRight w:val="0"/>
              <w:marTop w:val="0"/>
              <w:marBottom w:val="0"/>
              <w:divBdr>
                <w:top w:val="none" w:sz="0" w:space="0" w:color="auto"/>
                <w:left w:val="none" w:sz="0" w:space="0" w:color="auto"/>
                <w:bottom w:val="none" w:sz="0" w:space="0" w:color="auto"/>
                <w:right w:val="none" w:sz="0" w:space="0" w:color="auto"/>
              </w:divBdr>
            </w:div>
            <w:div w:id="1096632757">
              <w:marLeft w:val="0"/>
              <w:marRight w:val="0"/>
              <w:marTop w:val="0"/>
              <w:marBottom w:val="0"/>
              <w:divBdr>
                <w:top w:val="none" w:sz="0" w:space="0" w:color="auto"/>
                <w:left w:val="none" w:sz="0" w:space="0" w:color="auto"/>
                <w:bottom w:val="none" w:sz="0" w:space="0" w:color="auto"/>
                <w:right w:val="none" w:sz="0" w:space="0" w:color="auto"/>
              </w:divBdr>
            </w:div>
            <w:div w:id="229849940">
              <w:marLeft w:val="0"/>
              <w:marRight w:val="0"/>
              <w:marTop w:val="0"/>
              <w:marBottom w:val="0"/>
              <w:divBdr>
                <w:top w:val="none" w:sz="0" w:space="0" w:color="auto"/>
                <w:left w:val="none" w:sz="0" w:space="0" w:color="auto"/>
                <w:bottom w:val="none" w:sz="0" w:space="0" w:color="auto"/>
                <w:right w:val="none" w:sz="0" w:space="0" w:color="auto"/>
              </w:divBdr>
            </w:div>
            <w:div w:id="1367828956">
              <w:marLeft w:val="0"/>
              <w:marRight w:val="0"/>
              <w:marTop w:val="0"/>
              <w:marBottom w:val="0"/>
              <w:divBdr>
                <w:top w:val="none" w:sz="0" w:space="0" w:color="auto"/>
                <w:left w:val="none" w:sz="0" w:space="0" w:color="auto"/>
                <w:bottom w:val="none" w:sz="0" w:space="0" w:color="auto"/>
                <w:right w:val="none" w:sz="0" w:space="0" w:color="auto"/>
              </w:divBdr>
            </w:div>
            <w:div w:id="926957621">
              <w:marLeft w:val="0"/>
              <w:marRight w:val="0"/>
              <w:marTop w:val="0"/>
              <w:marBottom w:val="0"/>
              <w:divBdr>
                <w:top w:val="none" w:sz="0" w:space="0" w:color="auto"/>
                <w:left w:val="none" w:sz="0" w:space="0" w:color="auto"/>
                <w:bottom w:val="none" w:sz="0" w:space="0" w:color="auto"/>
                <w:right w:val="none" w:sz="0" w:space="0" w:color="auto"/>
              </w:divBdr>
            </w:div>
            <w:div w:id="1165172879">
              <w:marLeft w:val="0"/>
              <w:marRight w:val="0"/>
              <w:marTop w:val="0"/>
              <w:marBottom w:val="0"/>
              <w:divBdr>
                <w:top w:val="none" w:sz="0" w:space="0" w:color="auto"/>
                <w:left w:val="none" w:sz="0" w:space="0" w:color="auto"/>
                <w:bottom w:val="none" w:sz="0" w:space="0" w:color="auto"/>
                <w:right w:val="none" w:sz="0" w:space="0" w:color="auto"/>
              </w:divBdr>
            </w:div>
            <w:div w:id="483396553">
              <w:marLeft w:val="0"/>
              <w:marRight w:val="0"/>
              <w:marTop w:val="0"/>
              <w:marBottom w:val="0"/>
              <w:divBdr>
                <w:top w:val="none" w:sz="0" w:space="0" w:color="auto"/>
                <w:left w:val="none" w:sz="0" w:space="0" w:color="auto"/>
                <w:bottom w:val="none" w:sz="0" w:space="0" w:color="auto"/>
                <w:right w:val="none" w:sz="0" w:space="0" w:color="auto"/>
              </w:divBdr>
            </w:div>
            <w:div w:id="851794987">
              <w:marLeft w:val="0"/>
              <w:marRight w:val="0"/>
              <w:marTop w:val="0"/>
              <w:marBottom w:val="0"/>
              <w:divBdr>
                <w:top w:val="none" w:sz="0" w:space="0" w:color="auto"/>
                <w:left w:val="none" w:sz="0" w:space="0" w:color="auto"/>
                <w:bottom w:val="none" w:sz="0" w:space="0" w:color="auto"/>
                <w:right w:val="none" w:sz="0" w:space="0" w:color="auto"/>
              </w:divBdr>
            </w:div>
            <w:div w:id="1930311748">
              <w:marLeft w:val="0"/>
              <w:marRight w:val="0"/>
              <w:marTop w:val="0"/>
              <w:marBottom w:val="0"/>
              <w:divBdr>
                <w:top w:val="none" w:sz="0" w:space="0" w:color="auto"/>
                <w:left w:val="none" w:sz="0" w:space="0" w:color="auto"/>
                <w:bottom w:val="none" w:sz="0" w:space="0" w:color="auto"/>
                <w:right w:val="none" w:sz="0" w:space="0" w:color="auto"/>
              </w:divBdr>
            </w:div>
            <w:div w:id="338506740">
              <w:marLeft w:val="0"/>
              <w:marRight w:val="0"/>
              <w:marTop w:val="0"/>
              <w:marBottom w:val="0"/>
              <w:divBdr>
                <w:top w:val="none" w:sz="0" w:space="0" w:color="auto"/>
                <w:left w:val="none" w:sz="0" w:space="0" w:color="auto"/>
                <w:bottom w:val="none" w:sz="0" w:space="0" w:color="auto"/>
                <w:right w:val="none" w:sz="0" w:space="0" w:color="auto"/>
              </w:divBdr>
            </w:div>
          </w:divsChild>
        </w:div>
        <w:div w:id="2144349800">
          <w:marLeft w:val="0"/>
          <w:marRight w:val="0"/>
          <w:marTop w:val="0"/>
          <w:marBottom w:val="0"/>
          <w:divBdr>
            <w:top w:val="none" w:sz="0" w:space="0" w:color="auto"/>
            <w:left w:val="none" w:sz="0" w:space="0" w:color="auto"/>
            <w:bottom w:val="none" w:sz="0" w:space="0" w:color="auto"/>
            <w:right w:val="none" w:sz="0" w:space="0" w:color="auto"/>
          </w:divBdr>
        </w:div>
        <w:div w:id="1755475143">
          <w:marLeft w:val="0"/>
          <w:marRight w:val="0"/>
          <w:marTop w:val="0"/>
          <w:marBottom w:val="0"/>
          <w:divBdr>
            <w:top w:val="none" w:sz="0" w:space="0" w:color="auto"/>
            <w:left w:val="none" w:sz="0" w:space="0" w:color="auto"/>
            <w:bottom w:val="none" w:sz="0" w:space="0" w:color="auto"/>
            <w:right w:val="none" w:sz="0" w:space="0" w:color="auto"/>
          </w:divBdr>
        </w:div>
        <w:div w:id="803161431">
          <w:marLeft w:val="0"/>
          <w:marRight w:val="0"/>
          <w:marTop w:val="0"/>
          <w:marBottom w:val="0"/>
          <w:divBdr>
            <w:top w:val="none" w:sz="0" w:space="0" w:color="auto"/>
            <w:left w:val="none" w:sz="0" w:space="0" w:color="auto"/>
            <w:bottom w:val="none" w:sz="0" w:space="0" w:color="auto"/>
            <w:right w:val="none" w:sz="0" w:space="0" w:color="auto"/>
          </w:divBdr>
        </w:div>
        <w:div w:id="1210920055">
          <w:marLeft w:val="0"/>
          <w:marRight w:val="0"/>
          <w:marTop w:val="0"/>
          <w:marBottom w:val="0"/>
          <w:divBdr>
            <w:top w:val="none" w:sz="0" w:space="0" w:color="auto"/>
            <w:left w:val="none" w:sz="0" w:space="0" w:color="auto"/>
            <w:bottom w:val="none" w:sz="0" w:space="0" w:color="auto"/>
            <w:right w:val="none" w:sz="0" w:space="0" w:color="auto"/>
          </w:divBdr>
        </w:div>
        <w:div w:id="1724283855">
          <w:marLeft w:val="0"/>
          <w:marRight w:val="0"/>
          <w:marTop w:val="0"/>
          <w:marBottom w:val="0"/>
          <w:divBdr>
            <w:top w:val="none" w:sz="0" w:space="0" w:color="auto"/>
            <w:left w:val="none" w:sz="0" w:space="0" w:color="auto"/>
            <w:bottom w:val="none" w:sz="0" w:space="0" w:color="auto"/>
            <w:right w:val="none" w:sz="0" w:space="0" w:color="auto"/>
          </w:divBdr>
        </w:div>
        <w:div w:id="1583298713">
          <w:marLeft w:val="0"/>
          <w:marRight w:val="0"/>
          <w:marTop w:val="0"/>
          <w:marBottom w:val="0"/>
          <w:divBdr>
            <w:top w:val="none" w:sz="0" w:space="0" w:color="auto"/>
            <w:left w:val="none" w:sz="0" w:space="0" w:color="auto"/>
            <w:bottom w:val="none" w:sz="0" w:space="0" w:color="auto"/>
            <w:right w:val="none" w:sz="0" w:space="0" w:color="auto"/>
          </w:divBdr>
        </w:div>
        <w:div w:id="1784961751">
          <w:marLeft w:val="0"/>
          <w:marRight w:val="0"/>
          <w:marTop w:val="0"/>
          <w:marBottom w:val="0"/>
          <w:divBdr>
            <w:top w:val="none" w:sz="0" w:space="0" w:color="auto"/>
            <w:left w:val="none" w:sz="0" w:space="0" w:color="auto"/>
            <w:bottom w:val="none" w:sz="0" w:space="0" w:color="auto"/>
            <w:right w:val="none" w:sz="0" w:space="0" w:color="auto"/>
          </w:divBdr>
        </w:div>
      </w:divsChild>
    </w:div>
    <w:div w:id="252210125">
      <w:bodyDiv w:val="1"/>
      <w:marLeft w:val="0"/>
      <w:marRight w:val="0"/>
      <w:marTop w:val="0"/>
      <w:marBottom w:val="0"/>
      <w:divBdr>
        <w:top w:val="none" w:sz="0" w:space="0" w:color="auto"/>
        <w:left w:val="none" w:sz="0" w:space="0" w:color="auto"/>
        <w:bottom w:val="none" w:sz="0" w:space="0" w:color="auto"/>
        <w:right w:val="none" w:sz="0" w:space="0" w:color="auto"/>
      </w:divBdr>
      <w:divsChild>
        <w:div w:id="124324551">
          <w:marLeft w:val="0"/>
          <w:marRight w:val="0"/>
          <w:marTop w:val="0"/>
          <w:marBottom w:val="0"/>
          <w:divBdr>
            <w:top w:val="none" w:sz="0" w:space="0" w:color="auto"/>
            <w:left w:val="none" w:sz="0" w:space="0" w:color="auto"/>
            <w:bottom w:val="none" w:sz="0" w:space="0" w:color="auto"/>
            <w:right w:val="none" w:sz="0" w:space="0" w:color="auto"/>
          </w:divBdr>
        </w:div>
        <w:div w:id="354814597">
          <w:marLeft w:val="0"/>
          <w:marRight w:val="0"/>
          <w:marTop w:val="0"/>
          <w:marBottom w:val="0"/>
          <w:divBdr>
            <w:top w:val="none" w:sz="0" w:space="0" w:color="auto"/>
            <w:left w:val="none" w:sz="0" w:space="0" w:color="auto"/>
            <w:bottom w:val="none" w:sz="0" w:space="0" w:color="auto"/>
            <w:right w:val="none" w:sz="0" w:space="0" w:color="auto"/>
          </w:divBdr>
        </w:div>
        <w:div w:id="429591490">
          <w:marLeft w:val="0"/>
          <w:marRight w:val="0"/>
          <w:marTop w:val="0"/>
          <w:marBottom w:val="0"/>
          <w:divBdr>
            <w:top w:val="none" w:sz="0" w:space="0" w:color="auto"/>
            <w:left w:val="none" w:sz="0" w:space="0" w:color="auto"/>
            <w:bottom w:val="none" w:sz="0" w:space="0" w:color="auto"/>
            <w:right w:val="none" w:sz="0" w:space="0" w:color="auto"/>
          </w:divBdr>
        </w:div>
        <w:div w:id="433207423">
          <w:marLeft w:val="0"/>
          <w:marRight w:val="0"/>
          <w:marTop w:val="0"/>
          <w:marBottom w:val="0"/>
          <w:divBdr>
            <w:top w:val="none" w:sz="0" w:space="0" w:color="auto"/>
            <w:left w:val="none" w:sz="0" w:space="0" w:color="auto"/>
            <w:bottom w:val="none" w:sz="0" w:space="0" w:color="auto"/>
            <w:right w:val="none" w:sz="0" w:space="0" w:color="auto"/>
          </w:divBdr>
        </w:div>
        <w:div w:id="460348756">
          <w:marLeft w:val="0"/>
          <w:marRight w:val="0"/>
          <w:marTop w:val="0"/>
          <w:marBottom w:val="0"/>
          <w:divBdr>
            <w:top w:val="none" w:sz="0" w:space="0" w:color="auto"/>
            <w:left w:val="none" w:sz="0" w:space="0" w:color="auto"/>
            <w:bottom w:val="none" w:sz="0" w:space="0" w:color="auto"/>
            <w:right w:val="none" w:sz="0" w:space="0" w:color="auto"/>
          </w:divBdr>
        </w:div>
        <w:div w:id="628165657">
          <w:marLeft w:val="0"/>
          <w:marRight w:val="0"/>
          <w:marTop w:val="0"/>
          <w:marBottom w:val="0"/>
          <w:divBdr>
            <w:top w:val="none" w:sz="0" w:space="0" w:color="auto"/>
            <w:left w:val="none" w:sz="0" w:space="0" w:color="auto"/>
            <w:bottom w:val="none" w:sz="0" w:space="0" w:color="auto"/>
            <w:right w:val="none" w:sz="0" w:space="0" w:color="auto"/>
          </w:divBdr>
        </w:div>
        <w:div w:id="645355924">
          <w:marLeft w:val="0"/>
          <w:marRight w:val="0"/>
          <w:marTop w:val="0"/>
          <w:marBottom w:val="0"/>
          <w:divBdr>
            <w:top w:val="none" w:sz="0" w:space="0" w:color="auto"/>
            <w:left w:val="none" w:sz="0" w:space="0" w:color="auto"/>
            <w:bottom w:val="none" w:sz="0" w:space="0" w:color="auto"/>
            <w:right w:val="none" w:sz="0" w:space="0" w:color="auto"/>
          </w:divBdr>
        </w:div>
        <w:div w:id="747504821">
          <w:marLeft w:val="0"/>
          <w:marRight w:val="0"/>
          <w:marTop w:val="0"/>
          <w:marBottom w:val="0"/>
          <w:divBdr>
            <w:top w:val="none" w:sz="0" w:space="0" w:color="auto"/>
            <w:left w:val="none" w:sz="0" w:space="0" w:color="auto"/>
            <w:bottom w:val="none" w:sz="0" w:space="0" w:color="auto"/>
            <w:right w:val="none" w:sz="0" w:space="0" w:color="auto"/>
          </w:divBdr>
        </w:div>
        <w:div w:id="773862657">
          <w:marLeft w:val="0"/>
          <w:marRight w:val="0"/>
          <w:marTop w:val="0"/>
          <w:marBottom w:val="0"/>
          <w:divBdr>
            <w:top w:val="none" w:sz="0" w:space="0" w:color="auto"/>
            <w:left w:val="none" w:sz="0" w:space="0" w:color="auto"/>
            <w:bottom w:val="none" w:sz="0" w:space="0" w:color="auto"/>
            <w:right w:val="none" w:sz="0" w:space="0" w:color="auto"/>
          </w:divBdr>
        </w:div>
        <w:div w:id="795103455">
          <w:marLeft w:val="0"/>
          <w:marRight w:val="0"/>
          <w:marTop w:val="0"/>
          <w:marBottom w:val="0"/>
          <w:divBdr>
            <w:top w:val="none" w:sz="0" w:space="0" w:color="auto"/>
            <w:left w:val="none" w:sz="0" w:space="0" w:color="auto"/>
            <w:bottom w:val="none" w:sz="0" w:space="0" w:color="auto"/>
            <w:right w:val="none" w:sz="0" w:space="0" w:color="auto"/>
          </w:divBdr>
        </w:div>
        <w:div w:id="812410273">
          <w:marLeft w:val="0"/>
          <w:marRight w:val="0"/>
          <w:marTop w:val="0"/>
          <w:marBottom w:val="0"/>
          <w:divBdr>
            <w:top w:val="none" w:sz="0" w:space="0" w:color="auto"/>
            <w:left w:val="none" w:sz="0" w:space="0" w:color="auto"/>
            <w:bottom w:val="none" w:sz="0" w:space="0" w:color="auto"/>
            <w:right w:val="none" w:sz="0" w:space="0" w:color="auto"/>
          </w:divBdr>
        </w:div>
        <w:div w:id="829098534">
          <w:marLeft w:val="0"/>
          <w:marRight w:val="0"/>
          <w:marTop w:val="0"/>
          <w:marBottom w:val="0"/>
          <w:divBdr>
            <w:top w:val="none" w:sz="0" w:space="0" w:color="auto"/>
            <w:left w:val="none" w:sz="0" w:space="0" w:color="auto"/>
            <w:bottom w:val="none" w:sz="0" w:space="0" w:color="auto"/>
            <w:right w:val="none" w:sz="0" w:space="0" w:color="auto"/>
          </w:divBdr>
        </w:div>
        <w:div w:id="853149257">
          <w:marLeft w:val="0"/>
          <w:marRight w:val="0"/>
          <w:marTop w:val="0"/>
          <w:marBottom w:val="0"/>
          <w:divBdr>
            <w:top w:val="none" w:sz="0" w:space="0" w:color="auto"/>
            <w:left w:val="none" w:sz="0" w:space="0" w:color="auto"/>
            <w:bottom w:val="none" w:sz="0" w:space="0" w:color="auto"/>
            <w:right w:val="none" w:sz="0" w:space="0" w:color="auto"/>
          </w:divBdr>
        </w:div>
        <w:div w:id="869997389">
          <w:marLeft w:val="0"/>
          <w:marRight w:val="0"/>
          <w:marTop w:val="0"/>
          <w:marBottom w:val="0"/>
          <w:divBdr>
            <w:top w:val="none" w:sz="0" w:space="0" w:color="auto"/>
            <w:left w:val="none" w:sz="0" w:space="0" w:color="auto"/>
            <w:bottom w:val="none" w:sz="0" w:space="0" w:color="auto"/>
            <w:right w:val="none" w:sz="0" w:space="0" w:color="auto"/>
          </w:divBdr>
        </w:div>
        <w:div w:id="892276645">
          <w:marLeft w:val="0"/>
          <w:marRight w:val="0"/>
          <w:marTop w:val="0"/>
          <w:marBottom w:val="0"/>
          <w:divBdr>
            <w:top w:val="none" w:sz="0" w:space="0" w:color="auto"/>
            <w:left w:val="none" w:sz="0" w:space="0" w:color="auto"/>
            <w:bottom w:val="none" w:sz="0" w:space="0" w:color="auto"/>
            <w:right w:val="none" w:sz="0" w:space="0" w:color="auto"/>
          </w:divBdr>
        </w:div>
        <w:div w:id="910195152">
          <w:marLeft w:val="0"/>
          <w:marRight w:val="0"/>
          <w:marTop w:val="0"/>
          <w:marBottom w:val="0"/>
          <w:divBdr>
            <w:top w:val="none" w:sz="0" w:space="0" w:color="auto"/>
            <w:left w:val="none" w:sz="0" w:space="0" w:color="auto"/>
            <w:bottom w:val="none" w:sz="0" w:space="0" w:color="auto"/>
            <w:right w:val="none" w:sz="0" w:space="0" w:color="auto"/>
          </w:divBdr>
        </w:div>
        <w:div w:id="937908447">
          <w:marLeft w:val="0"/>
          <w:marRight w:val="0"/>
          <w:marTop w:val="0"/>
          <w:marBottom w:val="0"/>
          <w:divBdr>
            <w:top w:val="none" w:sz="0" w:space="0" w:color="auto"/>
            <w:left w:val="none" w:sz="0" w:space="0" w:color="auto"/>
            <w:bottom w:val="none" w:sz="0" w:space="0" w:color="auto"/>
            <w:right w:val="none" w:sz="0" w:space="0" w:color="auto"/>
          </w:divBdr>
        </w:div>
        <w:div w:id="971598212">
          <w:marLeft w:val="0"/>
          <w:marRight w:val="0"/>
          <w:marTop w:val="0"/>
          <w:marBottom w:val="0"/>
          <w:divBdr>
            <w:top w:val="none" w:sz="0" w:space="0" w:color="auto"/>
            <w:left w:val="none" w:sz="0" w:space="0" w:color="auto"/>
            <w:bottom w:val="none" w:sz="0" w:space="0" w:color="auto"/>
            <w:right w:val="none" w:sz="0" w:space="0" w:color="auto"/>
          </w:divBdr>
        </w:div>
        <w:div w:id="995494101">
          <w:marLeft w:val="0"/>
          <w:marRight w:val="0"/>
          <w:marTop w:val="0"/>
          <w:marBottom w:val="0"/>
          <w:divBdr>
            <w:top w:val="none" w:sz="0" w:space="0" w:color="auto"/>
            <w:left w:val="none" w:sz="0" w:space="0" w:color="auto"/>
            <w:bottom w:val="none" w:sz="0" w:space="0" w:color="auto"/>
            <w:right w:val="none" w:sz="0" w:space="0" w:color="auto"/>
          </w:divBdr>
        </w:div>
        <w:div w:id="1084035719">
          <w:marLeft w:val="0"/>
          <w:marRight w:val="0"/>
          <w:marTop w:val="0"/>
          <w:marBottom w:val="0"/>
          <w:divBdr>
            <w:top w:val="none" w:sz="0" w:space="0" w:color="auto"/>
            <w:left w:val="none" w:sz="0" w:space="0" w:color="auto"/>
            <w:bottom w:val="none" w:sz="0" w:space="0" w:color="auto"/>
            <w:right w:val="none" w:sz="0" w:space="0" w:color="auto"/>
          </w:divBdr>
        </w:div>
        <w:div w:id="1388843720">
          <w:marLeft w:val="0"/>
          <w:marRight w:val="0"/>
          <w:marTop w:val="0"/>
          <w:marBottom w:val="0"/>
          <w:divBdr>
            <w:top w:val="none" w:sz="0" w:space="0" w:color="auto"/>
            <w:left w:val="none" w:sz="0" w:space="0" w:color="auto"/>
            <w:bottom w:val="none" w:sz="0" w:space="0" w:color="auto"/>
            <w:right w:val="none" w:sz="0" w:space="0" w:color="auto"/>
          </w:divBdr>
        </w:div>
        <w:div w:id="1550149404">
          <w:marLeft w:val="0"/>
          <w:marRight w:val="0"/>
          <w:marTop w:val="0"/>
          <w:marBottom w:val="0"/>
          <w:divBdr>
            <w:top w:val="none" w:sz="0" w:space="0" w:color="auto"/>
            <w:left w:val="none" w:sz="0" w:space="0" w:color="auto"/>
            <w:bottom w:val="none" w:sz="0" w:space="0" w:color="auto"/>
            <w:right w:val="none" w:sz="0" w:space="0" w:color="auto"/>
          </w:divBdr>
        </w:div>
        <w:div w:id="1708142322">
          <w:marLeft w:val="0"/>
          <w:marRight w:val="0"/>
          <w:marTop w:val="0"/>
          <w:marBottom w:val="0"/>
          <w:divBdr>
            <w:top w:val="none" w:sz="0" w:space="0" w:color="auto"/>
            <w:left w:val="none" w:sz="0" w:space="0" w:color="auto"/>
            <w:bottom w:val="none" w:sz="0" w:space="0" w:color="auto"/>
            <w:right w:val="none" w:sz="0" w:space="0" w:color="auto"/>
          </w:divBdr>
        </w:div>
        <w:div w:id="1747343375">
          <w:marLeft w:val="0"/>
          <w:marRight w:val="0"/>
          <w:marTop w:val="0"/>
          <w:marBottom w:val="0"/>
          <w:divBdr>
            <w:top w:val="none" w:sz="0" w:space="0" w:color="auto"/>
            <w:left w:val="none" w:sz="0" w:space="0" w:color="auto"/>
            <w:bottom w:val="none" w:sz="0" w:space="0" w:color="auto"/>
            <w:right w:val="none" w:sz="0" w:space="0" w:color="auto"/>
          </w:divBdr>
        </w:div>
        <w:div w:id="1772705164">
          <w:marLeft w:val="0"/>
          <w:marRight w:val="0"/>
          <w:marTop w:val="0"/>
          <w:marBottom w:val="0"/>
          <w:divBdr>
            <w:top w:val="none" w:sz="0" w:space="0" w:color="auto"/>
            <w:left w:val="none" w:sz="0" w:space="0" w:color="auto"/>
            <w:bottom w:val="none" w:sz="0" w:space="0" w:color="auto"/>
            <w:right w:val="none" w:sz="0" w:space="0" w:color="auto"/>
          </w:divBdr>
        </w:div>
        <w:div w:id="1906138778">
          <w:marLeft w:val="0"/>
          <w:marRight w:val="0"/>
          <w:marTop w:val="0"/>
          <w:marBottom w:val="0"/>
          <w:divBdr>
            <w:top w:val="none" w:sz="0" w:space="0" w:color="auto"/>
            <w:left w:val="none" w:sz="0" w:space="0" w:color="auto"/>
            <w:bottom w:val="none" w:sz="0" w:space="0" w:color="auto"/>
            <w:right w:val="none" w:sz="0" w:space="0" w:color="auto"/>
          </w:divBdr>
        </w:div>
        <w:div w:id="1920753484">
          <w:marLeft w:val="0"/>
          <w:marRight w:val="0"/>
          <w:marTop w:val="0"/>
          <w:marBottom w:val="0"/>
          <w:divBdr>
            <w:top w:val="none" w:sz="0" w:space="0" w:color="auto"/>
            <w:left w:val="none" w:sz="0" w:space="0" w:color="auto"/>
            <w:bottom w:val="none" w:sz="0" w:space="0" w:color="auto"/>
            <w:right w:val="none" w:sz="0" w:space="0" w:color="auto"/>
          </w:divBdr>
        </w:div>
        <w:div w:id="1978563842">
          <w:marLeft w:val="0"/>
          <w:marRight w:val="0"/>
          <w:marTop w:val="0"/>
          <w:marBottom w:val="0"/>
          <w:divBdr>
            <w:top w:val="none" w:sz="0" w:space="0" w:color="auto"/>
            <w:left w:val="none" w:sz="0" w:space="0" w:color="auto"/>
            <w:bottom w:val="none" w:sz="0" w:space="0" w:color="auto"/>
            <w:right w:val="none" w:sz="0" w:space="0" w:color="auto"/>
          </w:divBdr>
        </w:div>
        <w:div w:id="2058355572">
          <w:marLeft w:val="0"/>
          <w:marRight w:val="0"/>
          <w:marTop w:val="0"/>
          <w:marBottom w:val="0"/>
          <w:divBdr>
            <w:top w:val="none" w:sz="0" w:space="0" w:color="auto"/>
            <w:left w:val="none" w:sz="0" w:space="0" w:color="auto"/>
            <w:bottom w:val="none" w:sz="0" w:space="0" w:color="auto"/>
            <w:right w:val="none" w:sz="0" w:space="0" w:color="auto"/>
          </w:divBdr>
        </w:div>
        <w:div w:id="2119592739">
          <w:marLeft w:val="0"/>
          <w:marRight w:val="0"/>
          <w:marTop w:val="0"/>
          <w:marBottom w:val="0"/>
          <w:divBdr>
            <w:top w:val="none" w:sz="0" w:space="0" w:color="auto"/>
            <w:left w:val="none" w:sz="0" w:space="0" w:color="auto"/>
            <w:bottom w:val="none" w:sz="0" w:space="0" w:color="auto"/>
            <w:right w:val="none" w:sz="0" w:space="0" w:color="auto"/>
          </w:divBdr>
        </w:div>
      </w:divsChild>
    </w:div>
    <w:div w:id="277639969">
      <w:bodyDiv w:val="1"/>
      <w:marLeft w:val="0"/>
      <w:marRight w:val="0"/>
      <w:marTop w:val="0"/>
      <w:marBottom w:val="0"/>
      <w:divBdr>
        <w:top w:val="none" w:sz="0" w:space="0" w:color="auto"/>
        <w:left w:val="none" w:sz="0" w:space="0" w:color="auto"/>
        <w:bottom w:val="none" w:sz="0" w:space="0" w:color="auto"/>
        <w:right w:val="none" w:sz="0" w:space="0" w:color="auto"/>
      </w:divBdr>
    </w:div>
    <w:div w:id="281159875">
      <w:bodyDiv w:val="1"/>
      <w:marLeft w:val="0"/>
      <w:marRight w:val="0"/>
      <w:marTop w:val="0"/>
      <w:marBottom w:val="0"/>
      <w:divBdr>
        <w:top w:val="none" w:sz="0" w:space="0" w:color="auto"/>
        <w:left w:val="none" w:sz="0" w:space="0" w:color="auto"/>
        <w:bottom w:val="none" w:sz="0" w:space="0" w:color="auto"/>
        <w:right w:val="none" w:sz="0" w:space="0" w:color="auto"/>
      </w:divBdr>
    </w:div>
    <w:div w:id="286399320">
      <w:bodyDiv w:val="1"/>
      <w:marLeft w:val="0"/>
      <w:marRight w:val="0"/>
      <w:marTop w:val="0"/>
      <w:marBottom w:val="0"/>
      <w:divBdr>
        <w:top w:val="none" w:sz="0" w:space="0" w:color="auto"/>
        <w:left w:val="none" w:sz="0" w:space="0" w:color="auto"/>
        <w:bottom w:val="none" w:sz="0" w:space="0" w:color="auto"/>
        <w:right w:val="none" w:sz="0" w:space="0" w:color="auto"/>
      </w:divBdr>
    </w:div>
    <w:div w:id="299191871">
      <w:bodyDiv w:val="1"/>
      <w:marLeft w:val="0"/>
      <w:marRight w:val="0"/>
      <w:marTop w:val="0"/>
      <w:marBottom w:val="0"/>
      <w:divBdr>
        <w:top w:val="none" w:sz="0" w:space="0" w:color="auto"/>
        <w:left w:val="none" w:sz="0" w:space="0" w:color="auto"/>
        <w:bottom w:val="none" w:sz="0" w:space="0" w:color="auto"/>
        <w:right w:val="none" w:sz="0" w:space="0" w:color="auto"/>
      </w:divBdr>
      <w:divsChild>
        <w:div w:id="188035832">
          <w:marLeft w:val="0"/>
          <w:marRight w:val="0"/>
          <w:marTop w:val="0"/>
          <w:marBottom w:val="0"/>
          <w:divBdr>
            <w:top w:val="none" w:sz="0" w:space="0" w:color="auto"/>
            <w:left w:val="none" w:sz="0" w:space="0" w:color="auto"/>
            <w:bottom w:val="none" w:sz="0" w:space="0" w:color="auto"/>
            <w:right w:val="none" w:sz="0" w:space="0" w:color="auto"/>
          </w:divBdr>
          <w:divsChild>
            <w:div w:id="305671388">
              <w:marLeft w:val="0"/>
              <w:marRight w:val="0"/>
              <w:marTop w:val="0"/>
              <w:marBottom w:val="0"/>
              <w:divBdr>
                <w:top w:val="none" w:sz="0" w:space="0" w:color="auto"/>
                <w:left w:val="none" w:sz="0" w:space="0" w:color="auto"/>
                <w:bottom w:val="none" w:sz="0" w:space="0" w:color="auto"/>
                <w:right w:val="none" w:sz="0" w:space="0" w:color="auto"/>
              </w:divBdr>
            </w:div>
            <w:div w:id="266816998">
              <w:marLeft w:val="0"/>
              <w:marRight w:val="0"/>
              <w:marTop w:val="0"/>
              <w:marBottom w:val="0"/>
              <w:divBdr>
                <w:top w:val="none" w:sz="0" w:space="0" w:color="auto"/>
                <w:left w:val="none" w:sz="0" w:space="0" w:color="auto"/>
                <w:bottom w:val="none" w:sz="0" w:space="0" w:color="auto"/>
                <w:right w:val="none" w:sz="0" w:space="0" w:color="auto"/>
              </w:divBdr>
            </w:div>
            <w:div w:id="226501979">
              <w:marLeft w:val="0"/>
              <w:marRight w:val="0"/>
              <w:marTop w:val="0"/>
              <w:marBottom w:val="0"/>
              <w:divBdr>
                <w:top w:val="none" w:sz="0" w:space="0" w:color="auto"/>
                <w:left w:val="none" w:sz="0" w:space="0" w:color="auto"/>
                <w:bottom w:val="none" w:sz="0" w:space="0" w:color="auto"/>
                <w:right w:val="none" w:sz="0" w:space="0" w:color="auto"/>
              </w:divBdr>
            </w:div>
            <w:div w:id="429475672">
              <w:marLeft w:val="0"/>
              <w:marRight w:val="0"/>
              <w:marTop w:val="0"/>
              <w:marBottom w:val="0"/>
              <w:divBdr>
                <w:top w:val="none" w:sz="0" w:space="0" w:color="auto"/>
                <w:left w:val="none" w:sz="0" w:space="0" w:color="auto"/>
                <w:bottom w:val="none" w:sz="0" w:space="0" w:color="auto"/>
                <w:right w:val="none" w:sz="0" w:space="0" w:color="auto"/>
              </w:divBdr>
            </w:div>
            <w:div w:id="396779374">
              <w:marLeft w:val="0"/>
              <w:marRight w:val="0"/>
              <w:marTop w:val="0"/>
              <w:marBottom w:val="0"/>
              <w:divBdr>
                <w:top w:val="none" w:sz="0" w:space="0" w:color="auto"/>
                <w:left w:val="none" w:sz="0" w:space="0" w:color="auto"/>
                <w:bottom w:val="none" w:sz="0" w:space="0" w:color="auto"/>
                <w:right w:val="none" w:sz="0" w:space="0" w:color="auto"/>
              </w:divBdr>
            </w:div>
            <w:div w:id="1326781002">
              <w:marLeft w:val="0"/>
              <w:marRight w:val="0"/>
              <w:marTop w:val="0"/>
              <w:marBottom w:val="0"/>
              <w:divBdr>
                <w:top w:val="none" w:sz="0" w:space="0" w:color="auto"/>
                <w:left w:val="none" w:sz="0" w:space="0" w:color="auto"/>
                <w:bottom w:val="none" w:sz="0" w:space="0" w:color="auto"/>
                <w:right w:val="none" w:sz="0" w:space="0" w:color="auto"/>
              </w:divBdr>
            </w:div>
            <w:div w:id="1452087148">
              <w:marLeft w:val="0"/>
              <w:marRight w:val="0"/>
              <w:marTop w:val="0"/>
              <w:marBottom w:val="0"/>
              <w:divBdr>
                <w:top w:val="none" w:sz="0" w:space="0" w:color="auto"/>
                <w:left w:val="none" w:sz="0" w:space="0" w:color="auto"/>
                <w:bottom w:val="none" w:sz="0" w:space="0" w:color="auto"/>
                <w:right w:val="none" w:sz="0" w:space="0" w:color="auto"/>
              </w:divBdr>
            </w:div>
          </w:divsChild>
        </w:div>
        <w:div w:id="1219972132">
          <w:marLeft w:val="0"/>
          <w:marRight w:val="0"/>
          <w:marTop w:val="0"/>
          <w:marBottom w:val="0"/>
          <w:divBdr>
            <w:top w:val="none" w:sz="0" w:space="0" w:color="auto"/>
            <w:left w:val="none" w:sz="0" w:space="0" w:color="auto"/>
            <w:bottom w:val="none" w:sz="0" w:space="0" w:color="auto"/>
            <w:right w:val="none" w:sz="0" w:space="0" w:color="auto"/>
          </w:divBdr>
          <w:divsChild>
            <w:div w:id="1690332202">
              <w:marLeft w:val="0"/>
              <w:marRight w:val="0"/>
              <w:marTop w:val="0"/>
              <w:marBottom w:val="0"/>
              <w:divBdr>
                <w:top w:val="none" w:sz="0" w:space="0" w:color="auto"/>
                <w:left w:val="none" w:sz="0" w:space="0" w:color="auto"/>
                <w:bottom w:val="none" w:sz="0" w:space="0" w:color="auto"/>
                <w:right w:val="none" w:sz="0" w:space="0" w:color="auto"/>
              </w:divBdr>
            </w:div>
            <w:div w:id="861481679">
              <w:marLeft w:val="0"/>
              <w:marRight w:val="0"/>
              <w:marTop w:val="0"/>
              <w:marBottom w:val="0"/>
              <w:divBdr>
                <w:top w:val="none" w:sz="0" w:space="0" w:color="auto"/>
                <w:left w:val="none" w:sz="0" w:space="0" w:color="auto"/>
                <w:bottom w:val="none" w:sz="0" w:space="0" w:color="auto"/>
                <w:right w:val="none" w:sz="0" w:space="0" w:color="auto"/>
              </w:divBdr>
            </w:div>
            <w:div w:id="1762986350">
              <w:marLeft w:val="0"/>
              <w:marRight w:val="0"/>
              <w:marTop w:val="0"/>
              <w:marBottom w:val="0"/>
              <w:divBdr>
                <w:top w:val="none" w:sz="0" w:space="0" w:color="auto"/>
                <w:left w:val="none" w:sz="0" w:space="0" w:color="auto"/>
                <w:bottom w:val="none" w:sz="0" w:space="0" w:color="auto"/>
                <w:right w:val="none" w:sz="0" w:space="0" w:color="auto"/>
              </w:divBdr>
            </w:div>
            <w:div w:id="2139300174">
              <w:marLeft w:val="0"/>
              <w:marRight w:val="0"/>
              <w:marTop w:val="0"/>
              <w:marBottom w:val="0"/>
              <w:divBdr>
                <w:top w:val="none" w:sz="0" w:space="0" w:color="auto"/>
                <w:left w:val="none" w:sz="0" w:space="0" w:color="auto"/>
                <w:bottom w:val="none" w:sz="0" w:space="0" w:color="auto"/>
                <w:right w:val="none" w:sz="0" w:space="0" w:color="auto"/>
              </w:divBdr>
            </w:div>
            <w:div w:id="692849278">
              <w:marLeft w:val="0"/>
              <w:marRight w:val="0"/>
              <w:marTop w:val="0"/>
              <w:marBottom w:val="0"/>
              <w:divBdr>
                <w:top w:val="none" w:sz="0" w:space="0" w:color="auto"/>
                <w:left w:val="none" w:sz="0" w:space="0" w:color="auto"/>
                <w:bottom w:val="none" w:sz="0" w:space="0" w:color="auto"/>
                <w:right w:val="none" w:sz="0" w:space="0" w:color="auto"/>
              </w:divBdr>
            </w:div>
            <w:div w:id="862284747">
              <w:marLeft w:val="0"/>
              <w:marRight w:val="0"/>
              <w:marTop w:val="0"/>
              <w:marBottom w:val="0"/>
              <w:divBdr>
                <w:top w:val="none" w:sz="0" w:space="0" w:color="auto"/>
                <w:left w:val="none" w:sz="0" w:space="0" w:color="auto"/>
                <w:bottom w:val="none" w:sz="0" w:space="0" w:color="auto"/>
                <w:right w:val="none" w:sz="0" w:space="0" w:color="auto"/>
              </w:divBdr>
            </w:div>
            <w:div w:id="37358891">
              <w:marLeft w:val="0"/>
              <w:marRight w:val="0"/>
              <w:marTop w:val="0"/>
              <w:marBottom w:val="0"/>
              <w:divBdr>
                <w:top w:val="none" w:sz="0" w:space="0" w:color="auto"/>
                <w:left w:val="none" w:sz="0" w:space="0" w:color="auto"/>
                <w:bottom w:val="none" w:sz="0" w:space="0" w:color="auto"/>
                <w:right w:val="none" w:sz="0" w:space="0" w:color="auto"/>
              </w:divBdr>
            </w:div>
            <w:div w:id="687677062">
              <w:marLeft w:val="0"/>
              <w:marRight w:val="0"/>
              <w:marTop w:val="0"/>
              <w:marBottom w:val="0"/>
              <w:divBdr>
                <w:top w:val="none" w:sz="0" w:space="0" w:color="auto"/>
                <w:left w:val="none" w:sz="0" w:space="0" w:color="auto"/>
                <w:bottom w:val="none" w:sz="0" w:space="0" w:color="auto"/>
                <w:right w:val="none" w:sz="0" w:space="0" w:color="auto"/>
              </w:divBdr>
            </w:div>
            <w:div w:id="21732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17774">
      <w:bodyDiv w:val="1"/>
      <w:marLeft w:val="0"/>
      <w:marRight w:val="0"/>
      <w:marTop w:val="0"/>
      <w:marBottom w:val="0"/>
      <w:divBdr>
        <w:top w:val="none" w:sz="0" w:space="0" w:color="auto"/>
        <w:left w:val="none" w:sz="0" w:space="0" w:color="auto"/>
        <w:bottom w:val="none" w:sz="0" w:space="0" w:color="auto"/>
        <w:right w:val="none" w:sz="0" w:space="0" w:color="auto"/>
      </w:divBdr>
      <w:divsChild>
        <w:div w:id="153030634">
          <w:marLeft w:val="0"/>
          <w:marRight w:val="0"/>
          <w:marTop w:val="0"/>
          <w:marBottom w:val="0"/>
          <w:divBdr>
            <w:top w:val="none" w:sz="0" w:space="0" w:color="auto"/>
            <w:left w:val="none" w:sz="0" w:space="0" w:color="auto"/>
            <w:bottom w:val="none" w:sz="0" w:space="0" w:color="auto"/>
            <w:right w:val="none" w:sz="0" w:space="0" w:color="auto"/>
          </w:divBdr>
        </w:div>
        <w:div w:id="289481286">
          <w:marLeft w:val="0"/>
          <w:marRight w:val="0"/>
          <w:marTop w:val="0"/>
          <w:marBottom w:val="0"/>
          <w:divBdr>
            <w:top w:val="none" w:sz="0" w:space="0" w:color="auto"/>
            <w:left w:val="none" w:sz="0" w:space="0" w:color="auto"/>
            <w:bottom w:val="none" w:sz="0" w:space="0" w:color="auto"/>
            <w:right w:val="none" w:sz="0" w:space="0" w:color="auto"/>
          </w:divBdr>
          <w:divsChild>
            <w:div w:id="432627387">
              <w:marLeft w:val="0"/>
              <w:marRight w:val="0"/>
              <w:marTop w:val="0"/>
              <w:marBottom w:val="0"/>
              <w:divBdr>
                <w:top w:val="none" w:sz="0" w:space="0" w:color="auto"/>
                <w:left w:val="none" w:sz="0" w:space="0" w:color="auto"/>
                <w:bottom w:val="none" w:sz="0" w:space="0" w:color="auto"/>
                <w:right w:val="none" w:sz="0" w:space="0" w:color="auto"/>
              </w:divBdr>
            </w:div>
            <w:div w:id="611666571">
              <w:marLeft w:val="0"/>
              <w:marRight w:val="0"/>
              <w:marTop w:val="0"/>
              <w:marBottom w:val="0"/>
              <w:divBdr>
                <w:top w:val="none" w:sz="0" w:space="0" w:color="auto"/>
                <w:left w:val="none" w:sz="0" w:space="0" w:color="auto"/>
                <w:bottom w:val="none" w:sz="0" w:space="0" w:color="auto"/>
                <w:right w:val="none" w:sz="0" w:space="0" w:color="auto"/>
              </w:divBdr>
            </w:div>
            <w:div w:id="1450860161">
              <w:marLeft w:val="0"/>
              <w:marRight w:val="0"/>
              <w:marTop w:val="0"/>
              <w:marBottom w:val="0"/>
              <w:divBdr>
                <w:top w:val="none" w:sz="0" w:space="0" w:color="auto"/>
                <w:left w:val="none" w:sz="0" w:space="0" w:color="auto"/>
                <w:bottom w:val="none" w:sz="0" w:space="0" w:color="auto"/>
                <w:right w:val="none" w:sz="0" w:space="0" w:color="auto"/>
              </w:divBdr>
            </w:div>
            <w:div w:id="1629776394">
              <w:marLeft w:val="0"/>
              <w:marRight w:val="0"/>
              <w:marTop w:val="0"/>
              <w:marBottom w:val="0"/>
              <w:divBdr>
                <w:top w:val="none" w:sz="0" w:space="0" w:color="auto"/>
                <w:left w:val="none" w:sz="0" w:space="0" w:color="auto"/>
                <w:bottom w:val="none" w:sz="0" w:space="0" w:color="auto"/>
                <w:right w:val="none" w:sz="0" w:space="0" w:color="auto"/>
              </w:divBdr>
            </w:div>
          </w:divsChild>
        </w:div>
        <w:div w:id="449664835">
          <w:marLeft w:val="0"/>
          <w:marRight w:val="0"/>
          <w:marTop w:val="0"/>
          <w:marBottom w:val="0"/>
          <w:divBdr>
            <w:top w:val="none" w:sz="0" w:space="0" w:color="auto"/>
            <w:left w:val="none" w:sz="0" w:space="0" w:color="auto"/>
            <w:bottom w:val="none" w:sz="0" w:space="0" w:color="auto"/>
            <w:right w:val="none" w:sz="0" w:space="0" w:color="auto"/>
          </w:divBdr>
        </w:div>
        <w:div w:id="456097626">
          <w:marLeft w:val="0"/>
          <w:marRight w:val="0"/>
          <w:marTop w:val="0"/>
          <w:marBottom w:val="0"/>
          <w:divBdr>
            <w:top w:val="none" w:sz="0" w:space="0" w:color="auto"/>
            <w:left w:val="none" w:sz="0" w:space="0" w:color="auto"/>
            <w:bottom w:val="none" w:sz="0" w:space="0" w:color="auto"/>
            <w:right w:val="none" w:sz="0" w:space="0" w:color="auto"/>
          </w:divBdr>
        </w:div>
        <w:div w:id="837423409">
          <w:marLeft w:val="0"/>
          <w:marRight w:val="0"/>
          <w:marTop w:val="0"/>
          <w:marBottom w:val="0"/>
          <w:divBdr>
            <w:top w:val="none" w:sz="0" w:space="0" w:color="auto"/>
            <w:left w:val="none" w:sz="0" w:space="0" w:color="auto"/>
            <w:bottom w:val="none" w:sz="0" w:space="0" w:color="auto"/>
            <w:right w:val="none" w:sz="0" w:space="0" w:color="auto"/>
          </w:divBdr>
        </w:div>
        <w:div w:id="965235056">
          <w:marLeft w:val="0"/>
          <w:marRight w:val="0"/>
          <w:marTop w:val="0"/>
          <w:marBottom w:val="0"/>
          <w:divBdr>
            <w:top w:val="none" w:sz="0" w:space="0" w:color="auto"/>
            <w:left w:val="none" w:sz="0" w:space="0" w:color="auto"/>
            <w:bottom w:val="none" w:sz="0" w:space="0" w:color="auto"/>
            <w:right w:val="none" w:sz="0" w:space="0" w:color="auto"/>
          </w:divBdr>
        </w:div>
        <w:div w:id="1062555323">
          <w:marLeft w:val="0"/>
          <w:marRight w:val="0"/>
          <w:marTop w:val="0"/>
          <w:marBottom w:val="0"/>
          <w:divBdr>
            <w:top w:val="none" w:sz="0" w:space="0" w:color="auto"/>
            <w:left w:val="none" w:sz="0" w:space="0" w:color="auto"/>
            <w:bottom w:val="none" w:sz="0" w:space="0" w:color="auto"/>
            <w:right w:val="none" w:sz="0" w:space="0" w:color="auto"/>
          </w:divBdr>
        </w:div>
        <w:div w:id="1101954550">
          <w:marLeft w:val="0"/>
          <w:marRight w:val="0"/>
          <w:marTop w:val="0"/>
          <w:marBottom w:val="0"/>
          <w:divBdr>
            <w:top w:val="none" w:sz="0" w:space="0" w:color="auto"/>
            <w:left w:val="none" w:sz="0" w:space="0" w:color="auto"/>
            <w:bottom w:val="none" w:sz="0" w:space="0" w:color="auto"/>
            <w:right w:val="none" w:sz="0" w:space="0" w:color="auto"/>
          </w:divBdr>
        </w:div>
        <w:div w:id="1273627152">
          <w:marLeft w:val="0"/>
          <w:marRight w:val="0"/>
          <w:marTop w:val="0"/>
          <w:marBottom w:val="0"/>
          <w:divBdr>
            <w:top w:val="none" w:sz="0" w:space="0" w:color="auto"/>
            <w:left w:val="none" w:sz="0" w:space="0" w:color="auto"/>
            <w:bottom w:val="none" w:sz="0" w:space="0" w:color="auto"/>
            <w:right w:val="none" w:sz="0" w:space="0" w:color="auto"/>
          </w:divBdr>
        </w:div>
        <w:div w:id="1303660000">
          <w:marLeft w:val="0"/>
          <w:marRight w:val="0"/>
          <w:marTop w:val="0"/>
          <w:marBottom w:val="0"/>
          <w:divBdr>
            <w:top w:val="none" w:sz="0" w:space="0" w:color="auto"/>
            <w:left w:val="none" w:sz="0" w:space="0" w:color="auto"/>
            <w:bottom w:val="none" w:sz="0" w:space="0" w:color="auto"/>
            <w:right w:val="none" w:sz="0" w:space="0" w:color="auto"/>
          </w:divBdr>
          <w:divsChild>
            <w:div w:id="75711610">
              <w:marLeft w:val="0"/>
              <w:marRight w:val="0"/>
              <w:marTop w:val="0"/>
              <w:marBottom w:val="0"/>
              <w:divBdr>
                <w:top w:val="none" w:sz="0" w:space="0" w:color="auto"/>
                <w:left w:val="none" w:sz="0" w:space="0" w:color="auto"/>
                <w:bottom w:val="none" w:sz="0" w:space="0" w:color="auto"/>
                <w:right w:val="none" w:sz="0" w:space="0" w:color="auto"/>
              </w:divBdr>
            </w:div>
            <w:div w:id="490027907">
              <w:marLeft w:val="0"/>
              <w:marRight w:val="0"/>
              <w:marTop w:val="0"/>
              <w:marBottom w:val="0"/>
              <w:divBdr>
                <w:top w:val="none" w:sz="0" w:space="0" w:color="auto"/>
                <w:left w:val="none" w:sz="0" w:space="0" w:color="auto"/>
                <w:bottom w:val="none" w:sz="0" w:space="0" w:color="auto"/>
                <w:right w:val="none" w:sz="0" w:space="0" w:color="auto"/>
              </w:divBdr>
            </w:div>
            <w:div w:id="817065570">
              <w:marLeft w:val="0"/>
              <w:marRight w:val="0"/>
              <w:marTop w:val="0"/>
              <w:marBottom w:val="0"/>
              <w:divBdr>
                <w:top w:val="none" w:sz="0" w:space="0" w:color="auto"/>
                <w:left w:val="none" w:sz="0" w:space="0" w:color="auto"/>
                <w:bottom w:val="none" w:sz="0" w:space="0" w:color="auto"/>
                <w:right w:val="none" w:sz="0" w:space="0" w:color="auto"/>
              </w:divBdr>
            </w:div>
          </w:divsChild>
        </w:div>
        <w:div w:id="1429423252">
          <w:marLeft w:val="0"/>
          <w:marRight w:val="0"/>
          <w:marTop w:val="0"/>
          <w:marBottom w:val="0"/>
          <w:divBdr>
            <w:top w:val="none" w:sz="0" w:space="0" w:color="auto"/>
            <w:left w:val="none" w:sz="0" w:space="0" w:color="auto"/>
            <w:bottom w:val="none" w:sz="0" w:space="0" w:color="auto"/>
            <w:right w:val="none" w:sz="0" w:space="0" w:color="auto"/>
          </w:divBdr>
        </w:div>
        <w:div w:id="1435977051">
          <w:marLeft w:val="0"/>
          <w:marRight w:val="0"/>
          <w:marTop w:val="0"/>
          <w:marBottom w:val="0"/>
          <w:divBdr>
            <w:top w:val="none" w:sz="0" w:space="0" w:color="auto"/>
            <w:left w:val="none" w:sz="0" w:space="0" w:color="auto"/>
            <w:bottom w:val="none" w:sz="0" w:space="0" w:color="auto"/>
            <w:right w:val="none" w:sz="0" w:space="0" w:color="auto"/>
          </w:divBdr>
        </w:div>
        <w:div w:id="1548839191">
          <w:marLeft w:val="0"/>
          <w:marRight w:val="0"/>
          <w:marTop w:val="0"/>
          <w:marBottom w:val="0"/>
          <w:divBdr>
            <w:top w:val="none" w:sz="0" w:space="0" w:color="auto"/>
            <w:left w:val="none" w:sz="0" w:space="0" w:color="auto"/>
            <w:bottom w:val="none" w:sz="0" w:space="0" w:color="auto"/>
            <w:right w:val="none" w:sz="0" w:space="0" w:color="auto"/>
          </w:divBdr>
        </w:div>
        <w:div w:id="1562517487">
          <w:marLeft w:val="0"/>
          <w:marRight w:val="0"/>
          <w:marTop w:val="0"/>
          <w:marBottom w:val="0"/>
          <w:divBdr>
            <w:top w:val="none" w:sz="0" w:space="0" w:color="auto"/>
            <w:left w:val="none" w:sz="0" w:space="0" w:color="auto"/>
            <w:bottom w:val="none" w:sz="0" w:space="0" w:color="auto"/>
            <w:right w:val="none" w:sz="0" w:space="0" w:color="auto"/>
          </w:divBdr>
        </w:div>
        <w:div w:id="1622805122">
          <w:marLeft w:val="0"/>
          <w:marRight w:val="0"/>
          <w:marTop w:val="0"/>
          <w:marBottom w:val="0"/>
          <w:divBdr>
            <w:top w:val="none" w:sz="0" w:space="0" w:color="auto"/>
            <w:left w:val="none" w:sz="0" w:space="0" w:color="auto"/>
            <w:bottom w:val="none" w:sz="0" w:space="0" w:color="auto"/>
            <w:right w:val="none" w:sz="0" w:space="0" w:color="auto"/>
          </w:divBdr>
        </w:div>
        <w:div w:id="1756710055">
          <w:marLeft w:val="0"/>
          <w:marRight w:val="0"/>
          <w:marTop w:val="0"/>
          <w:marBottom w:val="0"/>
          <w:divBdr>
            <w:top w:val="none" w:sz="0" w:space="0" w:color="auto"/>
            <w:left w:val="none" w:sz="0" w:space="0" w:color="auto"/>
            <w:bottom w:val="none" w:sz="0" w:space="0" w:color="auto"/>
            <w:right w:val="none" w:sz="0" w:space="0" w:color="auto"/>
          </w:divBdr>
        </w:div>
        <w:div w:id="1953435664">
          <w:marLeft w:val="0"/>
          <w:marRight w:val="0"/>
          <w:marTop w:val="0"/>
          <w:marBottom w:val="0"/>
          <w:divBdr>
            <w:top w:val="none" w:sz="0" w:space="0" w:color="auto"/>
            <w:left w:val="none" w:sz="0" w:space="0" w:color="auto"/>
            <w:bottom w:val="none" w:sz="0" w:space="0" w:color="auto"/>
            <w:right w:val="none" w:sz="0" w:space="0" w:color="auto"/>
          </w:divBdr>
        </w:div>
        <w:div w:id="2007199469">
          <w:marLeft w:val="0"/>
          <w:marRight w:val="0"/>
          <w:marTop w:val="0"/>
          <w:marBottom w:val="0"/>
          <w:divBdr>
            <w:top w:val="none" w:sz="0" w:space="0" w:color="auto"/>
            <w:left w:val="none" w:sz="0" w:space="0" w:color="auto"/>
            <w:bottom w:val="none" w:sz="0" w:space="0" w:color="auto"/>
            <w:right w:val="none" w:sz="0" w:space="0" w:color="auto"/>
          </w:divBdr>
        </w:div>
      </w:divsChild>
    </w:div>
    <w:div w:id="358898302">
      <w:bodyDiv w:val="1"/>
      <w:marLeft w:val="0"/>
      <w:marRight w:val="0"/>
      <w:marTop w:val="0"/>
      <w:marBottom w:val="0"/>
      <w:divBdr>
        <w:top w:val="none" w:sz="0" w:space="0" w:color="auto"/>
        <w:left w:val="none" w:sz="0" w:space="0" w:color="auto"/>
        <w:bottom w:val="none" w:sz="0" w:space="0" w:color="auto"/>
        <w:right w:val="none" w:sz="0" w:space="0" w:color="auto"/>
      </w:divBdr>
      <w:divsChild>
        <w:div w:id="672610708">
          <w:marLeft w:val="0"/>
          <w:marRight w:val="0"/>
          <w:marTop w:val="0"/>
          <w:marBottom w:val="0"/>
          <w:divBdr>
            <w:top w:val="none" w:sz="0" w:space="0" w:color="auto"/>
            <w:left w:val="none" w:sz="0" w:space="0" w:color="auto"/>
            <w:bottom w:val="none" w:sz="0" w:space="0" w:color="auto"/>
            <w:right w:val="none" w:sz="0" w:space="0" w:color="auto"/>
          </w:divBdr>
          <w:divsChild>
            <w:div w:id="1348098416">
              <w:marLeft w:val="0"/>
              <w:marRight w:val="0"/>
              <w:marTop w:val="0"/>
              <w:marBottom w:val="0"/>
              <w:divBdr>
                <w:top w:val="none" w:sz="0" w:space="0" w:color="auto"/>
                <w:left w:val="none" w:sz="0" w:space="0" w:color="auto"/>
                <w:bottom w:val="none" w:sz="0" w:space="0" w:color="auto"/>
                <w:right w:val="none" w:sz="0" w:space="0" w:color="auto"/>
              </w:divBdr>
            </w:div>
            <w:div w:id="1025055268">
              <w:marLeft w:val="0"/>
              <w:marRight w:val="0"/>
              <w:marTop w:val="0"/>
              <w:marBottom w:val="0"/>
              <w:divBdr>
                <w:top w:val="none" w:sz="0" w:space="0" w:color="auto"/>
                <w:left w:val="none" w:sz="0" w:space="0" w:color="auto"/>
                <w:bottom w:val="none" w:sz="0" w:space="0" w:color="auto"/>
                <w:right w:val="none" w:sz="0" w:space="0" w:color="auto"/>
              </w:divBdr>
            </w:div>
            <w:div w:id="328600966">
              <w:marLeft w:val="0"/>
              <w:marRight w:val="0"/>
              <w:marTop w:val="0"/>
              <w:marBottom w:val="0"/>
              <w:divBdr>
                <w:top w:val="none" w:sz="0" w:space="0" w:color="auto"/>
                <w:left w:val="none" w:sz="0" w:space="0" w:color="auto"/>
                <w:bottom w:val="none" w:sz="0" w:space="0" w:color="auto"/>
                <w:right w:val="none" w:sz="0" w:space="0" w:color="auto"/>
              </w:divBdr>
            </w:div>
            <w:div w:id="1958903514">
              <w:marLeft w:val="0"/>
              <w:marRight w:val="0"/>
              <w:marTop w:val="0"/>
              <w:marBottom w:val="0"/>
              <w:divBdr>
                <w:top w:val="none" w:sz="0" w:space="0" w:color="auto"/>
                <w:left w:val="none" w:sz="0" w:space="0" w:color="auto"/>
                <w:bottom w:val="none" w:sz="0" w:space="0" w:color="auto"/>
                <w:right w:val="none" w:sz="0" w:space="0" w:color="auto"/>
              </w:divBdr>
            </w:div>
            <w:div w:id="833645726">
              <w:marLeft w:val="0"/>
              <w:marRight w:val="0"/>
              <w:marTop w:val="0"/>
              <w:marBottom w:val="0"/>
              <w:divBdr>
                <w:top w:val="none" w:sz="0" w:space="0" w:color="auto"/>
                <w:left w:val="none" w:sz="0" w:space="0" w:color="auto"/>
                <w:bottom w:val="none" w:sz="0" w:space="0" w:color="auto"/>
                <w:right w:val="none" w:sz="0" w:space="0" w:color="auto"/>
              </w:divBdr>
            </w:div>
            <w:div w:id="428623845">
              <w:marLeft w:val="0"/>
              <w:marRight w:val="0"/>
              <w:marTop w:val="0"/>
              <w:marBottom w:val="0"/>
              <w:divBdr>
                <w:top w:val="none" w:sz="0" w:space="0" w:color="auto"/>
                <w:left w:val="none" w:sz="0" w:space="0" w:color="auto"/>
                <w:bottom w:val="none" w:sz="0" w:space="0" w:color="auto"/>
                <w:right w:val="none" w:sz="0" w:space="0" w:color="auto"/>
              </w:divBdr>
            </w:div>
            <w:div w:id="658506146">
              <w:marLeft w:val="0"/>
              <w:marRight w:val="0"/>
              <w:marTop w:val="0"/>
              <w:marBottom w:val="0"/>
              <w:divBdr>
                <w:top w:val="none" w:sz="0" w:space="0" w:color="auto"/>
                <w:left w:val="none" w:sz="0" w:space="0" w:color="auto"/>
                <w:bottom w:val="none" w:sz="0" w:space="0" w:color="auto"/>
                <w:right w:val="none" w:sz="0" w:space="0" w:color="auto"/>
              </w:divBdr>
            </w:div>
            <w:div w:id="622924481">
              <w:marLeft w:val="0"/>
              <w:marRight w:val="0"/>
              <w:marTop w:val="0"/>
              <w:marBottom w:val="0"/>
              <w:divBdr>
                <w:top w:val="none" w:sz="0" w:space="0" w:color="auto"/>
                <w:left w:val="none" w:sz="0" w:space="0" w:color="auto"/>
                <w:bottom w:val="none" w:sz="0" w:space="0" w:color="auto"/>
                <w:right w:val="none" w:sz="0" w:space="0" w:color="auto"/>
              </w:divBdr>
            </w:div>
            <w:div w:id="1421025645">
              <w:marLeft w:val="0"/>
              <w:marRight w:val="0"/>
              <w:marTop w:val="0"/>
              <w:marBottom w:val="0"/>
              <w:divBdr>
                <w:top w:val="none" w:sz="0" w:space="0" w:color="auto"/>
                <w:left w:val="none" w:sz="0" w:space="0" w:color="auto"/>
                <w:bottom w:val="none" w:sz="0" w:space="0" w:color="auto"/>
                <w:right w:val="none" w:sz="0" w:space="0" w:color="auto"/>
              </w:divBdr>
            </w:div>
            <w:div w:id="484515199">
              <w:marLeft w:val="0"/>
              <w:marRight w:val="0"/>
              <w:marTop w:val="0"/>
              <w:marBottom w:val="0"/>
              <w:divBdr>
                <w:top w:val="none" w:sz="0" w:space="0" w:color="auto"/>
                <w:left w:val="none" w:sz="0" w:space="0" w:color="auto"/>
                <w:bottom w:val="none" w:sz="0" w:space="0" w:color="auto"/>
                <w:right w:val="none" w:sz="0" w:space="0" w:color="auto"/>
              </w:divBdr>
            </w:div>
            <w:div w:id="1473593421">
              <w:marLeft w:val="0"/>
              <w:marRight w:val="0"/>
              <w:marTop w:val="0"/>
              <w:marBottom w:val="0"/>
              <w:divBdr>
                <w:top w:val="none" w:sz="0" w:space="0" w:color="auto"/>
                <w:left w:val="none" w:sz="0" w:space="0" w:color="auto"/>
                <w:bottom w:val="none" w:sz="0" w:space="0" w:color="auto"/>
                <w:right w:val="none" w:sz="0" w:space="0" w:color="auto"/>
              </w:divBdr>
            </w:div>
            <w:div w:id="1276711018">
              <w:marLeft w:val="0"/>
              <w:marRight w:val="0"/>
              <w:marTop w:val="0"/>
              <w:marBottom w:val="0"/>
              <w:divBdr>
                <w:top w:val="none" w:sz="0" w:space="0" w:color="auto"/>
                <w:left w:val="none" w:sz="0" w:space="0" w:color="auto"/>
                <w:bottom w:val="none" w:sz="0" w:space="0" w:color="auto"/>
                <w:right w:val="none" w:sz="0" w:space="0" w:color="auto"/>
              </w:divBdr>
            </w:div>
            <w:div w:id="1007172143">
              <w:marLeft w:val="0"/>
              <w:marRight w:val="0"/>
              <w:marTop w:val="0"/>
              <w:marBottom w:val="0"/>
              <w:divBdr>
                <w:top w:val="none" w:sz="0" w:space="0" w:color="auto"/>
                <w:left w:val="none" w:sz="0" w:space="0" w:color="auto"/>
                <w:bottom w:val="none" w:sz="0" w:space="0" w:color="auto"/>
                <w:right w:val="none" w:sz="0" w:space="0" w:color="auto"/>
              </w:divBdr>
            </w:div>
            <w:div w:id="1898972770">
              <w:marLeft w:val="0"/>
              <w:marRight w:val="0"/>
              <w:marTop w:val="0"/>
              <w:marBottom w:val="0"/>
              <w:divBdr>
                <w:top w:val="none" w:sz="0" w:space="0" w:color="auto"/>
                <w:left w:val="none" w:sz="0" w:space="0" w:color="auto"/>
                <w:bottom w:val="none" w:sz="0" w:space="0" w:color="auto"/>
                <w:right w:val="none" w:sz="0" w:space="0" w:color="auto"/>
              </w:divBdr>
            </w:div>
            <w:div w:id="1936013614">
              <w:marLeft w:val="0"/>
              <w:marRight w:val="0"/>
              <w:marTop w:val="0"/>
              <w:marBottom w:val="0"/>
              <w:divBdr>
                <w:top w:val="none" w:sz="0" w:space="0" w:color="auto"/>
                <w:left w:val="none" w:sz="0" w:space="0" w:color="auto"/>
                <w:bottom w:val="none" w:sz="0" w:space="0" w:color="auto"/>
                <w:right w:val="none" w:sz="0" w:space="0" w:color="auto"/>
              </w:divBdr>
            </w:div>
            <w:div w:id="1667438547">
              <w:marLeft w:val="0"/>
              <w:marRight w:val="0"/>
              <w:marTop w:val="0"/>
              <w:marBottom w:val="0"/>
              <w:divBdr>
                <w:top w:val="none" w:sz="0" w:space="0" w:color="auto"/>
                <w:left w:val="none" w:sz="0" w:space="0" w:color="auto"/>
                <w:bottom w:val="none" w:sz="0" w:space="0" w:color="auto"/>
                <w:right w:val="none" w:sz="0" w:space="0" w:color="auto"/>
              </w:divBdr>
            </w:div>
            <w:div w:id="2066945791">
              <w:marLeft w:val="0"/>
              <w:marRight w:val="0"/>
              <w:marTop w:val="0"/>
              <w:marBottom w:val="0"/>
              <w:divBdr>
                <w:top w:val="none" w:sz="0" w:space="0" w:color="auto"/>
                <w:left w:val="none" w:sz="0" w:space="0" w:color="auto"/>
                <w:bottom w:val="none" w:sz="0" w:space="0" w:color="auto"/>
                <w:right w:val="none" w:sz="0" w:space="0" w:color="auto"/>
              </w:divBdr>
            </w:div>
            <w:div w:id="904296377">
              <w:marLeft w:val="0"/>
              <w:marRight w:val="0"/>
              <w:marTop w:val="0"/>
              <w:marBottom w:val="0"/>
              <w:divBdr>
                <w:top w:val="none" w:sz="0" w:space="0" w:color="auto"/>
                <w:left w:val="none" w:sz="0" w:space="0" w:color="auto"/>
                <w:bottom w:val="none" w:sz="0" w:space="0" w:color="auto"/>
                <w:right w:val="none" w:sz="0" w:space="0" w:color="auto"/>
              </w:divBdr>
            </w:div>
          </w:divsChild>
        </w:div>
        <w:div w:id="783428707">
          <w:marLeft w:val="0"/>
          <w:marRight w:val="0"/>
          <w:marTop w:val="0"/>
          <w:marBottom w:val="0"/>
          <w:divBdr>
            <w:top w:val="none" w:sz="0" w:space="0" w:color="auto"/>
            <w:left w:val="none" w:sz="0" w:space="0" w:color="auto"/>
            <w:bottom w:val="none" w:sz="0" w:space="0" w:color="auto"/>
            <w:right w:val="none" w:sz="0" w:space="0" w:color="auto"/>
          </w:divBdr>
          <w:divsChild>
            <w:div w:id="1207642093">
              <w:marLeft w:val="0"/>
              <w:marRight w:val="0"/>
              <w:marTop w:val="0"/>
              <w:marBottom w:val="0"/>
              <w:divBdr>
                <w:top w:val="none" w:sz="0" w:space="0" w:color="auto"/>
                <w:left w:val="none" w:sz="0" w:space="0" w:color="auto"/>
                <w:bottom w:val="none" w:sz="0" w:space="0" w:color="auto"/>
                <w:right w:val="none" w:sz="0" w:space="0" w:color="auto"/>
              </w:divBdr>
            </w:div>
            <w:div w:id="1852865583">
              <w:marLeft w:val="0"/>
              <w:marRight w:val="0"/>
              <w:marTop w:val="0"/>
              <w:marBottom w:val="0"/>
              <w:divBdr>
                <w:top w:val="none" w:sz="0" w:space="0" w:color="auto"/>
                <w:left w:val="none" w:sz="0" w:space="0" w:color="auto"/>
                <w:bottom w:val="none" w:sz="0" w:space="0" w:color="auto"/>
                <w:right w:val="none" w:sz="0" w:space="0" w:color="auto"/>
              </w:divBdr>
            </w:div>
            <w:div w:id="1121845539">
              <w:marLeft w:val="0"/>
              <w:marRight w:val="0"/>
              <w:marTop w:val="0"/>
              <w:marBottom w:val="0"/>
              <w:divBdr>
                <w:top w:val="none" w:sz="0" w:space="0" w:color="auto"/>
                <w:left w:val="none" w:sz="0" w:space="0" w:color="auto"/>
                <w:bottom w:val="none" w:sz="0" w:space="0" w:color="auto"/>
                <w:right w:val="none" w:sz="0" w:space="0" w:color="auto"/>
              </w:divBdr>
            </w:div>
            <w:div w:id="47000759">
              <w:marLeft w:val="0"/>
              <w:marRight w:val="0"/>
              <w:marTop w:val="0"/>
              <w:marBottom w:val="0"/>
              <w:divBdr>
                <w:top w:val="none" w:sz="0" w:space="0" w:color="auto"/>
                <w:left w:val="none" w:sz="0" w:space="0" w:color="auto"/>
                <w:bottom w:val="none" w:sz="0" w:space="0" w:color="auto"/>
                <w:right w:val="none" w:sz="0" w:space="0" w:color="auto"/>
              </w:divBdr>
            </w:div>
            <w:div w:id="186722005">
              <w:marLeft w:val="0"/>
              <w:marRight w:val="0"/>
              <w:marTop w:val="0"/>
              <w:marBottom w:val="0"/>
              <w:divBdr>
                <w:top w:val="none" w:sz="0" w:space="0" w:color="auto"/>
                <w:left w:val="none" w:sz="0" w:space="0" w:color="auto"/>
                <w:bottom w:val="none" w:sz="0" w:space="0" w:color="auto"/>
                <w:right w:val="none" w:sz="0" w:space="0" w:color="auto"/>
              </w:divBdr>
            </w:div>
            <w:div w:id="218513698">
              <w:marLeft w:val="0"/>
              <w:marRight w:val="0"/>
              <w:marTop w:val="0"/>
              <w:marBottom w:val="0"/>
              <w:divBdr>
                <w:top w:val="none" w:sz="0" w:space="0" w:color="auto"/>
                <w:left w:val="none" w:sz="0" w:space="0" w:color="auto"/>
                <w:bottom w:val="none" w:sz="0" w:space="0" w:color="auto"/>
                <w:right w:val="none" w:sz="0" w:space="0" w:color="auto"/>
              </w:divBdr>
            </w:div>
            <w:div w:id="2026327279">
              <w:marLeft w:val="0"/>
              <w:marRight w:val="0"/>
              <w:marTop w:val="0"/>
              <w:marBottom w:val="0"/>
              <w:divBdr>
                <w:top w:val="none" w:sz="0" w:space="0" w:color="auto"/>
                <w:left w:val="none" w:sz="0" w:space="0" w:color="auto"/>
                <w:bottom w:val="none" w:sz="0" w:space="0" w:color="auto"/>
                <w:right w:val="none" w:sz="0" w:space="0" w:color="auto"/>
              </w:divBdr>
            </w:div>
            <w:div w:id="2035575965">
              <w:marLeft w:val="0"/>
              <w:marRight w:val="0"/>
              <w:marTop w:val="0"/>
              <w:marBottom w:val="0"/>
              <w:divBdr>
                <w:top w:val="none" w:sz="0" w:space="0" w:color="auto"/>
                <w:left w:val="none" w:sz="0" w:space="0" w:color="auto"/>
                <w:bottom w:val="none" w:sz="0" w:space="0" w:color="auto"/>
                <w:right w:val="none" w:sz="0" w:space="0" w:color="auto"/>
              </w:divBdr>
            </w:div>
            <w:div w:id="1622153047">
              <w:marLeft w:val="0"/>
              <w:marRight w:val="0"/>
              <w:marTop w:val="0"/>
              <w:marBottom w:val="0"/>
              <w:divBdr>
                <w:top w:val="none" w:sz="0" w:space="0" w:color="auto"/>
                <w:left w:val="none" w:sz="0" w:space="0" w:color="auto"/>
                <w:bottom w:val="none" w:sz="0" w:space="0" w:color="auto"/>
                <w:right w:val="none" w:sz="0" w:space="0" w:color="auto"/>
              </w:divBdr>
            </w:div>
            <w:div w:id="2067677692">
              <w:marLeft w:val="0"/>
              <w:marRight w:val="0"/>
              <w:marTop w:val="0"/>
              <w:marBottom w:val="0"/>
              <w:divBdr>
                <w:top w:val="none" w:sz="0" w:space="0" w:color="auto"/>
                <w:left w:val="none" w:sz="0" w:space="0" w:color="auto"/>
                <w:bottom w:val="none" w:sz="0" w:space="0" w:color="auto"/>
                <w:right w:val="none" w:sz="0" w:space="0" w:color="auto"/>
              </w:divBdr>
            </w:div>
            <w:div w:id="1796560330">
              <w:marLeft w:val="0"/>
              <w:marRight w:val="0"/>
              <w:marTop w:val="0"/>
              <w:marBottom w:val="0"/>
              <w:divBdr>
                <w:top w:val="none" w:sz="0" w:space="0" w:color="auto"/>
                <w:left w:val="none" w:sz="0" w:space="0" w:color="auto"/>
                <w:bottom w:val="none" w:sz="0" w:space="0" w:color="auto"/>
                <w:right w:val="none" w:sz="0" w:space="0" w:color="auto"/>
              </w:divBdr>
            </w:div>
            <w:div w:id="1056975011">
              <w:marLeft w:val="0"/>
              <w:marRight w:val="0"/>
              <w:marTop w:val="0"/>
              <w:marBottom w:val="0"/>
              <w:divBdr>
                <w:top w:val="none" w:sz="0" w:space="0" w:color="auto"/>
                <w:left w:val="none" w:sz="0" w:space="0" w:color="auto"/>
                <w:bottom w:val="none" w:sz="0" w:space="0" w:color="auto"/>
                <w:right w:val="none" w:sz="0" w:space="0" w:color="auto"/>
              </w:divBdr>
            </w:div>
            <w:div w:id="267736665">
              <w:marLeft w:val="0"/>
              <w:marRight w:val="0"/>
              <w:marTop w:val="0"/>
              <w:marBottom w:val="0"/>
              <w:divBdr>
                <w:top w:val="none" w:sz="0" w:space="0" w:color="auto"/>
                <w:left w:val="none" w:sz="0" w:space="0" w:color="auto"/>
                <w:bottom w:val="none" w:sz="0" w:space="0" w:color="auto"/>
                <w:right w:val="none" w:sz="0" w:space="0" w:color="auto"/>
              </w:divBdr>
            </w:div>
            <w:div w:id="755326606">
              <w:marLeft w:val="0"/>
              <w:marRight w:val="0"/>
              <w:marTop w:val="0"/>
              <w:marBottom w:val="0"/>
              <w:divBdr>
                <w:top w:val="none" w:sz="0" w:space="0" w:color="auto"/>
                <w:left w:val="none" w:sz="0" w:space="0" w:color="auto"/>
                <w:bottom w:val="none" w:sz="0" w:space="0" w:color="auto"/>
                <w:right w:val="none" w:sz="0" w:space="0" w:color="auto"/>
              </w:divBdr>
            </w:div>
            <w:div w:id="414859150">
              <w:marLeft w:val="0"/>
              <w:marRight w:val="0"/>
              <w:marTop w:val="0"/>
              <w:marBottom w:val="0"/>
              <w:divBdr>
                <w:top w:val="none" w:sz="0" w:space="0" w:color="auto"/>
                <w:left w:val="none" w:sz="0" w:space="0" w:color="auto"/>
                <w:bottom w:val="none" w:sz="0" w:space="0" w:color="auto"/>
                <w:right w:val="none" w:sz="0" w:space="0" w:color="auto"/>
              </w:divBdr>
            </w:div>
            <w:div w:id="1107965545">
              <w:marLeft w:val="0"/>
              <w:marRight w:val="0"/>
              <w:marTop w:val="0"/>
              <w:marBottom w:val="0"/>
              <w:divBdr>
                <w:top w:val="none" w:sz="0" w:space="0" w:color="auto"/>
                <w:left w:val="none" w:sz="0" w:space="0" w:color="auto"/>
                <w:bottom w:val="none" w:sz="0" w:space="0" w:color="auto"/>
                <w:right w:val="none" w:sz="0" w:space="0" w:color="auto"/>
              </w:divBdr>
            </w:div>
            <w:div w:id="1797022660">
              <w:marLeft w:val="0"/>
              <w:marRight w:val="0"/>
              <w:marTop w:val="0"/>
              <w:marBottom w:val="0"/>
              <w:divBdr>
                <w:top w:val="none" w:sz="0" w:space="0" w:color="auto"/>
                <w:left w:val="none" w:sz="0" w:space="0" w:color="auto"/>
                <w:bottom w:val="none" w:sz="0" w:space="0" w:color="auto"/>
                <w:right w:val="none" w:sz="0" w:space="0" w:color="auto"/>
              </w:divBdr>
            </w:div>
            <w:div w:id="2147042340">
              <w:marLeft w:val="0"/>
              <w:marRight w:val="0"/>
              <w:marTop w:val="0"/>
              <w:marBottom w:val="0"/>
              <w:divBdr>
                <w:top w:val="none" w:sz="0" w:space="0" w:color="auto"/>
                <w:left w:val="none" w:sz="0" w:space="0" w:color="auto"/>
                <w:bottom w:val="none" w:sz="0" w:space="0" w:color="auto"/>
                <w:right w:val="none" w:sz="0" w:space="0" w:color="auto"/>
              </w:divBdr>
            </w:div>
            <w:div w:id="970785792">
              <w:marLeft w:val="0"/>
              <w:marRight w:val="0"/>
              <w:marTop w:val="0"/>
              <w:marBottom w:val="0"/>
              <w:divBdr>
                <w:top w:val="none" w:sz="0" w:space="0" w:color="auto"/>
                <w:left w:val="none" w:sz="0" w:space="0" w:color="auto"/>
                <w:bottom w:val="none" w:sz="0" w:space="0" w:color="auto"/>
                <w:right w:val="none" w:sz="0" w:space="0" w:color="auto"/>
              </w:divBdr>
            </w:div>
            <w:div w:id="173351773">
              <w:marLeft w:val="0"/>
              <w:marRight w:val="0"/>
              <w:marTop w:val="0"/>
              <w:marBottom w:val="0"/>
              <w:divBdr>
                <w:top w:val="none" w:sz="0" w:space="0" w:color="auto"/>
                <w:left w:val="none" w:sz="0" w:space="0" w:color="auto"/>
                <w:bottom w:val="none" w:sz="0" w:space="0" w:color="auto"/>
                <w:right w:val="none" w:sz="0" w:space="0" w:color="auto"/>
              </w:divBdr>
            </w:div>
          </w:divsChild>
        </w:div>
        <w:div w:id="230581262">
          <w:marLeft w:val="0"/>
          <w:marRight w:val="0"/>
          <w:marTop w:val="0"/>
          <w:marBottom w:val="0"/>
          <w:divBdr>
            <w:top w:val="none" w:sz="0" w:space="0" w:color="auto"/>
            <w:left w:val="none" w:sz="0" w:space="0" w:color="auto"/>
            <w:bottom w:val="none" w:sz="0" w:space="0" w:color="auto"/>
            <w:right w:val="none" w:sz="0" w:space="0" w:color="auto"/>
          </w:divBdr>
          <w:divsChild>
            <w:div w:id="1436444356">
              <w:marLeft w:val="0"/>
              <w:marRight w:val="0"/>
              <w:marTop w:val="0"/>
              <w:marBottom w:val="0"/>
              <w:divBdr>
                <w:top w:val="none" w:sz="0" w:space="0" w:color="auto"/>
                <w:left w:val="none" w:sz="0" w:space="0" w:color="auto"/>
                <w:bottom w:val="none" w:sz="0" w:space="0" w:color="auto"/>
                <w:right w:val="none" w:sz="0" w:space="0" w:color="auto"/>
              </w:divBdr>
            </w:div>
            <w:div w:id="573860519">
              <w:marLeft w:val="0"/>
              <w:marRight w:val="0"/>
              <w:marTop w:val="0"/>
              <w:marBottom w:val="0"/>
              <w:divBdr>
                <w:top w:val="none" w:sz="0" w:space="0" w:color="auto"/>
                <w:left w:val="none" w:sz="0" w:space="0" w:color="auto"/>
                <w:bottom w:val="none" w:sz="0" w:space="0" w:color="auto"/>
                <w:right w:val="none" w:sz="0" w:space="0" w:color="auto"/>
              </w:divBdr>
            </w:div>
            <w:div w:id="1051004198">
              <w:marLeft w:val="0"/>
              <w:marRight w:val="0"/>
              <w:marTop w:val="0"/>
              <w:marBottom w:val="0"/>
              <w:divBdr>
                <w:top w:val="none" w:sz="0" w:space="0" w:color="auto"/>
                <w:left w:val="none" w:sz="0" w:space="0" w:color="auto"/>
                <w:bottom w:val="none" w:sz="0" w:space="0" w:color="auto"/>
                <w:right w:val="none" w:sz="0" w:space="0" w:color="auto"/>
              </w:divBdr>
            </w:div>
            <w:div w:id="858010558">
              <w:marLeft w:val="0"/>
              <w:marRight w:val="0"/>
              <w:marTop w:val="0"/>
              <w:marBottom w:val="0"/>
              <w:divBdr>
                <w:top w:val="none" w:sz="0" w:space="0" w:color="auto"/>
                <w:left w:val="none" w:sz="0" w:space="0" w:color="auto"/>
                <w:bottom w:val="none" w:sz="0" w:space="0" w:color="auto"/>
                <w:right w:val="none" w:sz="0" w:space="0" w:color="auto"/>
              </w:divBdr>
            </w:div>
            <w:div w:id="1300919616">
              <w:marLeft w:val="0"/>
              <w:marRight w:val="0"/>
              <w:marTop w:val="0"/>
              <w:marBottom w:val="0"/>
              <w:divBdr>
                <w:top w:val="none" w:sz="0" w:space="0" w:color="auto"/>
                <w:left w:val="none" w:sz="0" w:space="0" w:color="auto"/>
                <w:bottom w:val="none" w:sz="0" w:space="0" w:color="auto"/>
                <w:right w:val="none" w:sz="0" w:space="0" w:color="auto"/>
              </w:divBdr>
            </w:div>
            <w:div w:id="1572929774">
              <w:marLeft w:val="0"/>
              <w:marRight w:val="0"/>
              <w:marTop w:val="0"/>
              <w:marBottom w:val="0"/>
              <w:divBdr>
                <w:top w:val="none" w:sz="0" w:space="0" w:color="auto"/>
                <w:left w:val="none" w:sz="0" w:space="0" w:color="auto"/>
                <w:bottom w:val="none" w:sz="0" w:space="0" w:color="auto"/>
                <w:right w:val="none" w:sz="0" w:space="0" w:color="auto"/>
              </w:divBdr>
            </w:div>
            <w:div w:id="1385909664">
              <w:marLeft w:val="0"/>
              <w:marRight w:val="0"/>
              <w:marTop w:val="0"/>
              <w:marBottom w:val="0"/>
              <w:divBdr>
                <w:top w:val="none" w:sz="0" w:space="0" w:color="auto"/>
                <w:left w:val="none" w:sz="0" w:space="0" w:color="auto"/>
                <w:bottom w:val="none" w:sz="0" w:space="0" w:color="auto"/>
                <w:right w:val="none" w:sz="0" w:space="0" w:color="auto"/>
              </w:divBdr>
            </w:div>
            <w:div w:id="2021547645">
              <w:marLeft w:val="0"/>
              <w:marRight w:val="0"/>
              <w:marTop w:val="0"/>
              <w:marBottom w:val="0"/>
              <w:divBdr>
                <w:top w:val="none" w:sz="0" w:space="0" w:color="auto"/>
                <w:left w:val="none" w:sz="0" w:space="0" w:color="auto"/>
                <w:bottom w:val="none" w:sz="0" w:space="0" w:color="auto"/>
                <w:right w:val="none" w:sz="0" w:space="0" w:color="auto"/>
              </w:divBdr>
            </w:div>
            <w:div w:id="1216892534">
              <w:marLeft w:val="0"/>
              <w:marRight w:val="0"/>
              <w:marTop w:val="0"/>
              <w:marBottom w:val="0"/>
              <w:divBdr>
                <w:top w:val="none" w:sz="0" w:space="0" w:color="auto"/>
                <w:left w:val="none" w:sz="0" w:space="0" w:color="auto"/>
                <w:bottom w:val="none" w:sz="0" w:space="0" w:color="auto"/>
                <w:right w:val="none" w:sz="0" w:space="0" w:color="auto"/>
              </w:divBdr>
            </w:div>
            <w:div w:id="923687566">
              <w:marLeft w:val="0"/>
              <w:marRight w:val="0"/>
              <w:marTop w:val="0"/>
              <w:marBottom w:val="0"/>
              <w:divBdr>
                <w:top w:val="none" w:sz="0" w:space="0" w:color="auto"/>
                <w:left w:val="none" w:sz="0" w:space="0" w:color="auto"/>
                <w:bottom w:val="none" w:sz="0" w:space="0" w:color="auto"/>
                <w:right w:val="none" w:sz="0" w:space="0" w:color="auto"/>
              </w:divBdr>
            </w:div>
            <w:div w:id="752316217">
              <w:marLeft w:val="0"/>
              <w:marRight w:val="0"/>
              <w:marTop w:val="0"/>
              <w:marBottom w:val="0"/>
              <w:divBdr>
                <w:top w:val="none" w:sz="0" w:space="0" w:color="auto"/>
                <w:left w:val="none" w:sz="0" w:space="0" w:color="auto"/>
                <w:bottom w:val="none" w:sz="0" w:space="0" w:color="auto"/>
                <w:right w:val="none" w:sz="0" w:space="0" w:color="auto"/>
              </w:divBdr>
            </w:div>
            <w:div w:id="57486235">
              <w:marLeft w:val="0"/>
              <w:marRight w:val="0"/>
              <w:marTop w:val="0"/>
              <w:marBottom w:val="0"/>
              <w:divBdr>
                <w:top w:val="none" w:sz="0" w:space="0" w:color="auto"/>
                <w:left w:val="none" w:sz="0" w:space="0" w:color="auto"/>
                <w:bottom w:val="none" w:sz="0" w:space="0" w:color="auto"/>
                <w:right w:val="none" w:sz="0" w:space="0" w:color="auto"/>
              </w:divBdr>
            </w:div>
            <w:div w:id="1412000755">
              <w:marLeft w:val="0"/>
              <w:marRight w:val="0"/>
              <w:marTop w:val="0"/>
              <w:marBottom w:val="0"/>
              <w:divBdr>
                <w:top w:val="none" w:sz="0" w:space="0" w:color="auto"/>
                <w:left w:val="none" w:sz="0" w:space="0" w:color="auto"/>
                <w:bottom w:val="none" w:sz="0" w:space="0" w:color="auto"/>
                <w:right w:val="none" w:sz="0" w:space="0" w:color="auto"/>
              </w:divBdr>
            </w:div>
            <w:div w:id="1904440294">
              <w:marLeft w:val="0"/>
              <w:marRight w:val="0"/>
              <w:marTop w:val="0"/>
              <w:marBottom w:val="0"/>
              <w:divBdr>
                <w:top w:val="none" w:sz="0" w:space="0" w:color="auto"/>
                <w:left w:val="none" w:sz="0" w:space="0" w:color="auto"/>
                <w:bottom w:val="none" w:sz="0" w:space="0" w:color="auto"/>
                <w:right w:val="none" w:sz="0" w:space="0" w:color="auto"/>
              </w:divBdr>
            </w:div>
            <w:div w:id="1569609351">
              <w:marLeft w:val="0"/>
              <w:marRight w:val="0"/>
              <w:marTop w:val="0"/>
              <w:marBottom w:val="0"/>
              <w:divBdr>
                <w:top w:val="none" w:sz="0" w:space="0" w:color="auto"/>
                <w:left w:val="none" w:sz="0" w:space="0" w:color="auto"/>
                <w:bottom w:val="none" w:sz="0" w:space="0" w:color="auto"/>
                <w:right w:val="none" w:sz="0" w:space="0" w:color="auto"/>
              </w:divBdr>
            </w:div>
            <w:div w:id="1976984724">
              <w:marLeft w:val="0"/>
              <w:marRight w:val="0"/>
              <w:marTop w:val="0"/>
              <w:marBottom w:val="0"/>
              <w:divBdr>
                <w:top w:val="none" w:sz="0" w:space="0" w:color="auto"/>
                <w:left w:val="none" w:sz="0" w:space="0" w:color="auto"/>
                <w:bottom w:val="none" w:sz="0" w:space="0" w:color="auto"/>
                <w:right w:val="none" w:sz="0" w:space="0" w:color="auto"/>
              </w:divBdr>
            </w:div>
            <w:div w:id="939066744">
              <w:marLeft w:val="0"/>
              <w:marRight w:val="0"/>
              <w:marTop w:val="0"/>
              <w:marBottom w:val="0"/>
              <w:divBdr>
                <w:top w:val="none" w:sz="0" w:space="0" w:color="auto"/>
                <w:left w:val="none" w:sz="0" w:space="0" w:color="auto"/>
                <w:bottom w:val="none" w:sz="0" w:space="0" w:color="auto"/>
                <w:right w:val="none" w:sz="0" w:space="0" w:color="auto"/>
              </w:divBdr>
            </w:div>
            <w:div w:id="1159996999">
              <w:marLeft w:val="0"/>
              <w:marRight w:val="0"/>
              <w:marTop w:val="0"/>
              <w:marBottom w:val="0"/>
              <w:divBdr>
                <w:top w:val="none" w:sz="0" w:space="0" w:color="auto"/>
                <w:left w:val="none" w:sz="0" w:space="0" w:color="auto"/>
                <w:bottom w:val="none" w:sz="0" w:space="0" w:color="auto"/>
                <w:right w:val="none" w:sz="0" w:space="0" w:color="auto"/>
              </w:divBdr>
            </w:div>
            <w:div w:id="297876716">
              <w:marLeft w:val="0"/>
              <w:marRight w:val="0"/>
              <w:marTop w:val="0"/>
              <w:marBottom w:val="0"/>
              <w:divBdr>
                <w:top w:val="none" w:sz="0" w:space="0" w:color="auto"/>
                <w:left w:val="none" w:sz="0" w:space="0" w:color="auto"/>
                <w:bottom w:val="none" w:sz="0" w:space="0" w:color="auto"/>
                <w:right w:val="none" w:sz="0" w:space="0" w:color="auto"/>
              </w:divBdr>
            </w:div>
            <w:div w:id="1245839387">
              <w:marLeft w:val="0"/>
              <w:marRight w:val="0"/>
              <w:marTop w:val="0"/>
              <w:marBottom w:val="0"/>
              <w:divBdr>
                <w:top w:val="none" w:sz="0" w:space="0" w:color="auto"/>
                <w:left w:val="none" w:sz="0" w:space="0" w:color="auto"/>
                <w:bottom w:val="none" w:sz="0" w:space="0" w:color="auto"/>
                <w:right w:val="none" w:sz="0" w:space="0" w:color="auto"/>
              </w:divBdr>
            </w:div>
          </w:divsChild>
        </w:div>
        <w:div w:id="605505534">
          <w:marLeft w:val="0"/>
          <w:marRight w:val="0"/>
          <w:marTop w:val="0"/>
          <w:marBottom w:val="0"/>
          <w:divBdr>
            <w:top w:val="none" w:sz="0" w:space="0" w:color="auto"/>
            <w:left w:val="none" w:sz="0" w:space="0" w:color="auto"/>
            <w:bottom w:val="none" w:sz="0" w:space="0" w:color="auto"/>
            <w:right w:val="none" w:sz="0" w:space="0" w:color="auto"/>
          </w:divBdr>
        </w:div>
        <w:div w:id="1782871300">
          <w:marLeft w:val="0"/>
          <w:marRight w:val="0"/>
          <w:marTop w:val="0"/>
          <w:marBottom w:val="0"/>
          <w:divBdr>
            <w:top w:val="none" w:sz="0" w:space="0" w:color="auto"/>
            <w:left w:val="none" w:sz="0" w:space="0" w:color="auto"/>
            <w:bottom w:val="none" w:sz="0" w:space="0" w:color="auto"/>
            <w:right w:val="none" w:sz="0" w:space="0" w:color="auto"/>
          </w:divBdr>
        </w:div>
        <w:div w:id="1456828402">
          <w:marLeft w:val="0"/>
          <w:marRight w:val="0"/>
          <w:marTop w:val="0"/>
          <w:marBottom w:val="0"/>
          <w:divBdr>
            <w:top w:val="none" w:sz="0" w:space="0" w:color="auto"/>
            <w:left w:val="none" w:sz="0" w:space="0" w:color="auto"/>
            <w:bottom w:val="none" w:sz="0" w:space="0" w:color="auto"/>
            <w:right w:val="none" w:sz="0" w:space="0" w:color="auto"/>
          </w:divBdr>
        </w:div>
        <w:div w:id="895244828">
          <w:marLeft w:val="0"/>
          <w:marRight w:val="0"/>
          <w:marTop w:val="0"/>
          <w:marBottom w:val="0"/>
          <w:divBdr>
            <w:top w:val="none" w:sz="0" w:space="0" w:color="auto"/>
            <w:left w:val="none" w:sz="0" w:space="0" w:color="auto"/>
            <w:bottom w:val="none" w:sz="0" w:space="0" w:color="auto"/>
            <w:right w:val="none" w:sz="0" w:space="0" w:color="auto"/>
          </w:divBdr>
        </w:div>
        <w:div w:id="296036414">
          <w:marLeft w:val="0"/>
          <w:marRight w:val="0"/>
          <w:marTop w:val="0"/>
          <w:marBottom w:val="0"/>
          <w:divBdr>
            <w:top w:val="none" w:sz="0" w:space="0" w:color="auto"/>
            <w:left w:val="none" w:sz="0" w:space="0" w:color="auto"/>
            <w:bottom w:val="none" w:sz="0" w:space="0" w:color="auto"/>
            <w:right w:val="none" w:sz="0" w:space="0" w:color="auto"/>
          </w:divBdr>
        </w:div>
        <w:div w:id="1660109222">
          <w:marLeft w:val="0"/>
          <w:marRight w:val="0"/>
          <w:marTop w:val="0"/>
          <w:marBottom w:val="0"/>
          <w:divBdr>
            <w:top w:val="none" w:sz="0" w:space="0" w:color="auto"/>
            <w:left w:val="none" w:sz="0" w:space="0" w:color="auto"/>
            <w:bottom w:val="none" w:sz="0" w:space="0" w:color="auto"/>
            <w:right w:val="none" w:sz="0" w:space="0" w:color="auto"/>
          </w:divBdr>
        </w:div>
        <w:div w:id="505822395">
          <w:marLeft w:val="0"/>
          <w:marRight w:val="0"/>
          <w:marTop w:val="0"/>
          <w:marBottom w:val="0"/>
          <w:divBdr>
            <w:top w:val="none" w:sz="0" w:space="0" w:color="auto"/>
            <w:left w:val="none" w:sz="0" w:space="0" w:color="auto"/>
            <w:bottom w:val="none" w:sz="0" w:space="0" w:color="auto"/>
            <w:right w:val="none" w:sz="0" w:space="0" w:color="auto"/>
          </w:divBdr>
        </w:div>
        <w:div w:id="1598366146">
          <w:marLeft w:val="0"/>
          <w:marRight w:val="0"/>
          <w:marTop w:val="0"/>
          <w:marBottom w:val="0"/>
          <w:divBdr>
            <w:top w:val="none" w:sz="0" w:space="0" w:color="auto"/>
            <w:left w:val="none" w:sz="0" w:space="0" w:color="auto"/>
            <w:bottom w:val="none" w:sz="0" w:space="0" w:color="auto"/>
            <w:right w:val="none" w:sz="0" w:space="0" w:color="auto"/>
          </w:divBdr>
        </w:div>
      </w:divsChild>
    </w:div>
    <w:div w:id="363677051">
      <w:bodyDiv w:val="1"/>
      <w:marLeft w:val="0"/>
      <w:marRight w:val="0"/>
      <w:marTop w:val="0"/>
      <w:marBottom w:val="0"/>
      <w:divBdr>
        <w:top w:val="none" w:sz="0" w:space="0" w:color="auto"/>
        <w:left w:val="none" w:sz="0" w:space="0" w:color="auto"/>
        <w:bottom w:val="none" w:sz="0" w:space="0" w:color="auto"/>
        <w:right w:val="none" w:sz="0" w:space="0" w:color="auto"/>
      </w:divBdr>
      <w:divsChild>
        <w:div w:id="54940422">
          <w:marLeft w:val="0"/>
          <w:marRight w:val="0"/>
          <w:marTop w:val="0"/>
          <w:marBottom w:val="0"/>
          <w:divBdr>
            <w:top w:val="none" w:sz="0" w:space="0" w:color="auto"/>
            <w:left w:val="none" w:sz="0" w:space="0" w:color="auto"/>
            <w:bottom w:val="none" w:sz="0" w:space="0" w:color="auto"/>
            <w:right w:val="none" w:sz="0" w:space="0" w:color="auto"/>
          </w:divBdr>
        </w:div>
        <w:div w:id="158690452">
          <w:marLeft w:val="0"/>
          <w:marRight w:val="0"/>
          <w:marTop w:val="0"/>
          <w:marBottom w:val="0"/>
          <w:divBdr>
            <w:top w:val="none" w:sz="0" w:space="0" w:color="auto"/>
            <w:left w:val="none" w:sz="0" w:space="0" w:color="auto"/>
            <w:bottom w:val="none" w:sz="0" w:space="0" w:color="auto"/>
            <w:right w:val="none" w:sz="0" w:space="0" w:color="auto"/>
          </w:divBdr>
        </w:div>
        <w:div w:id="279266279">
          <w:marLeft w:val="0"/>
          <w:marRight w:val="0"/>
          <w:marTop w:val="0"/>
          <w:marBottom w:val="0"/>
          <w:divBdr>
            <w:top w:val="none" w:sz="0" w:space="0" w:color="auto"/>
            <w:left w:val="none" w:sz="0" w:space="0" w:color="auto"/>
            <w:bottom w:val="none" w:sz="0" w:space="0" w:color="auto"/>
            <w:right w:val="none" w:sz="0" w:space="0" w:color="auto"/>
          </w:divBdr>
        </w:div>
        <w:div w:id="324095404">
          <w:marLeft w:val="0"/>
          <w:marRight w:val="0"/>
          <w:marTop w:val="0"/>
          <w:marBottom w:val="0"/>
          <w:divBdr>
            <w:top w:val="none" w:sz="0" w:space="0" w:color="auto"/>
            <w:left w:val="none" w:sz="0" w:space="0" w:color="auto"/>
            <w:bottom w:val="none" w:sz="0" w:space="0" w:color="auto"/>
            <w:right w:val="none" w:sz="0" w:space="0" w:color="auto"/>
          </w:divBdr>
        </w:div>
        <w:div w:id="495534697">
          <w:marLeft w:val="0"/>
          <w:marRight w:val="0"/>
          <w:marTop w:val="0"/>
          <w:marBottom w:val="0"/>
          <w:divBdr>
            <w:top w:val="none" w:sz="0" w:space="0" w:color="auto"/>
            <w:left w:val="none" w:sz="0" w:space="0" w:color="auto"/>
            <w:bottom w:val="none" w:sz="0" w:space="0" w:color="auto"/>
            <w:right w:val="none" w:sz="0" w:space="0" w:color="auto"/>
          </w:divBdr>
        </w:div>
        <w:div w:id="532887540">
          <w:marLeft w:val="0"/>
          <w:marRight w:val="0"/>
          <w:marTop w:val="0"/>
          <w:marBottom w:val="0"/>
          <w:divBdr>
            <w:top w:val="none" w:sz="0" w:space="0" w:color="auto"/>
            <w:left w:val="none" w:sz="0" w:space="0" w:color="auto"/>
            <w:bottom w:val="none" w:sz="0" w:space="0" w:color="auto"/>
            <w:right w:val="none" w:sz="0" w:space="0" w:color="auto"/>
          </w:divBdr>
        </w:div>
        <w:div w:id="544751870">
          <w:marLeft w:val="0"/>
          <w:marRight w:val="0"/>
          <w:marTop w:val="0"/>
          <w:marBottom w:val="0"/>
          <w:divBdr>
            <w:top w:val="none" w:sz="0" w:space="0" w:color="auto"/>
            <w:left w:val="none" w:sz="0" w:space="0" w:color="auto"/>
            <w:bottom w:val="none" w:sz="0" w:space="0" w:color="auto"/>
            <w:right w:val="none" w:sz="0" w:space="0" w:color="auto"/>
          </w:divBdr>
        </w:div>
        <w:div w:id="567770694">
          <w:marLeft w:val="0"/>
          <w:marRight w:val="0"/>
          <w:marTop w:val="0"/>
          <w:marBottom w:val="0"/>
          <w:divBdr>
            <w:top w:val="none" w:sz="0" w:space="0" w:color="auto"/>
            <w:left w:val="none" w:sz="0" w:space="0" w:color="auto"/>
            <w:bottom w:val="none" w:sz="0" w:space="0" w:color="auto"/>
            <w:right w:val="none" w:sz="0" w:space="0" w:color="auto"/>
          </w:divBdr>
        </w:div>
        <w:div w:id="756755767">
          <w:marLeft w:val="0"/>
          <w:marRight w:val="0"/>
          <w:marTop w:val="0"/>
          <w:marBottom w:val="0"/>
          <w:divBdr>
            <w:top w:val="none" w:sz="0" w:space="0" w:color="auto"/>
            <w:left w:val="none" w:sz="0" w:space="0" w:color="auto"/>
            <w:bottom w:val="none" w:sz="0" w:space="0" w:color="auto"/>
            <w:right w:val="none" w:sz="0" w:space="0" w:color="auto"/>
          </w:divBdr>
        </w:div>
        <w:div w:id="783304101">
          <w:marLeft w:val="0"/>
          <w:marRight w:val="0"/>
          <w:marTop w:val="0"/>
          <w:marBottom w:val="0"/>
          <w:divBdr>
            <w:top w:val="none" w:sz="0" w:space="0" w:color="auto"/>
            <w:left w:val="none" w:sz="0" w:space="0" w:color="auto"/>
            <w:bottom w:val="none" w:sz="0" w:space="0" w:color="auto"/>
            <w:right w:val="none" w:sz="0" w:space="0" w:color="auto"/>
          </w:divBdr>
        </w:div>
        <w:div w:id="857045230">
          <w:marLeft w:val="0"/>
          <w:marRight w:val="0"/>
          <w:marTop w:val="0"/>
          <w:marBottom w:val="0"/>
          <w:divBdr>
            <w:top w:val="none" w:sz="0" w:space="0" w:color="auto"/>
            <w:left w:val="none" w:sz="0" w:space="0" w:color="auto"/>
            <w:bottom w:val="none" w:sz="0" w:space="0" w:color="auto"/>
            <w:right w:val="none" w:sz="0" w:space="0" w:color="auto"/>
          </w:divBdr>
        </w:div>
        <w:div w:id="958537340">
          <w:marLeft w:val="0"/>
          <w:marRight w:val="0"/>
          <w:marTop w:val="0"/>
          <w:marBottom w:val="0"/>
          <w:divBdr>
            <w:top w:val="none" w:sz="0" w:space="0" w:color="auto"/>
            <w:left w:val="none" w:sz="0" w:space="0" w:color="auto"/>
            <w:bottom w:val="none" w:sz="0" w:space="0" w:color="auto"/>
            <w:right w:val="none" w:sz="0" w:space="0" w:color="auto"/>
          </w:divBdr>
        </w:div>
        <w:div w:id="974679810">
          <w:marLeft w:val="0"/>
          <w:marRight w:val="0"/>
          <w:marTop w:val="0"/>
          <w:marBottom w:val="0"/>
          <w:divBdr>
            <w:top w:val="none" w:sz="0" w:space="0" w:color="auto"/>
            <w:left w:val="none" w:sz="0" w:space="0" w:color="auto"/>
            <w:bottom w:val="none" w:sz="0" w:space="0" w:color="auto"/>
            <w:right w:val="none" w:sz="0" w:space="0" w:color="auto"/>
          </w:divBdr>
        </w:div>
        <w:div w:id="986738303">
          <w:marLeft w:val="0"/>
          <w:marRight w:val="0"/>
          <w:marTop w:val="0"/>
          <w:marBottom w:val="0"/>
          <w:divBdr>
            <w:top w:val="none" w:sz="0" w:space="0" w:color="auto"/>
            <w:left w:val="none" w:sz="0" w:space="0" w:color="auto"/>
            <w:bottom w:val="none" w:sz="0" w:space="0" w:color="auto"/>
            <w:right w:val="none" w:sz="0" w:space="0" w:color="auto"/>
          </w:divBdr>
        </w:div>
        <w:div w:id="1298297388">
          <w:marLeft w:val="0"/>
          <w:marRight w:val="0"/>
          <w:marTop w:val="0"/>
          <w:marBottom w:val="0"/>
          <w:divBdr>
            <w:top w:val="none" w:sz="0" w:space="0" w:color="auto"/>
            <w:left w:val="none" w:sz="0" w:space="0" w:color="auto"/>
            <w:bottom w:val="none" w:sz="0" w:space="0" w:color="auto"/>
            <w:right w:val="none" w:sz="0" w:space="0" w:color="auto"/>
          </w:divBdr>
        </w:div>
        <w:div w:id="1347901310">
          <w:marLeft w:val="0"/>
          <w:marRight w:val="0"/>
          <w:marTop w:val="0"/>
          <w:marBottom w:val="0"/>
          <w:divBdr>
            <w:top w:val="none" w:sz="0" w:space="0" w:color="auto"/>
            <w:left w:val="none" w:sz="0" w:space="0" w:color="auto"/>
            <w:bottom w:val="none" w:sz="0" w:space="0" w:color="auto"/>
            <w:right w:val="none" w:sz="0" w:space="0" w:color="auto"/>
          </w:divBdr>
        </w:div>
        <w:div w:id="1516993542">
          <w:marLeft w:val="0"/>
          <w:marRight w:val="0"/>
          <w:marTop w:val="0"/>
          <w:marBottom w:val="0"/>
          <w:divBdr>
            <w:top w:val="none" w:sz="0" w:space="0" w:color="auto"/>
            <w:left w:val="none" w:sz="0" w:space="0" w:color="auto"/>
            <w:bottom w:val="none" w:sz="0" w:space="0" w:color="auto"/>
            <w:right w:val="none" w:sz="0" w:space="0" w:color="auto"/>
          </w:divBdr>
        </w:div>
        <w:div w:id="1524249869">
          <w:marLeft w:val="0"/>
          <w:marRight w:val="0"/>
          <w:marTop w:val="0"/>
          <w:marBottom w:val="0"/>
          <w:divBdr>
            <w:top w:val="none" w:sz="0" w:space="0" w:color="auto"/>
            <w:left w:val="none" w:sz="0" w:space="0" w:color="auto"/>
            <w:bottom w:val="none" w:sz="0" w:space="0" w:color="auto"/>
            <w:right w:val="none" w:sz="0" w:space="0" w:color="auto"/>
          </w:divBdr>
        </w:div>
        <w:div w:id="1555506531">
          <w:marLeft w:val="0"/>
          <w:marRight w:val="0"/>
          <w:marTop w:val="0"/>
          <w:marBottom w:val="0"/>
          <w:divBdr>
            <w:top w:val="none" w:sz="0" w:space="0" w:color="auto"/>
            <w:left w:val="none" w:sz="0" w:space="0" w:color="auto"/>
            <w:bottom w:val="none" w:sz="0" w:space="0" w:color="auto"/>
            <w:right w:val="none" w:sz="0" w:space="0" w:color="auto"/>
          </w:divBdr>
        </w:div>
        <w:div w:id="1807383752">
          <w:marLeft w:val="0"/>
          <w:marRight w:val="0"/>
          <w:marTop w:val="0"/>
          <w:marBottom w:val="0"/>
          <w:divBdr>
            <w:top w:val="none" w:sz="0" w:space="0" w:color="auto"/>
            <w:left w:val="none" w:sz="0" w:space="0" w:color="auto"/>
            <w:bottom w:val="none" w:sz="0" w:space="0" w:color="auto"/>
            <w:right w:val="none" w:sz="0" w:space="0" w:color="auto"/>
          </w:divBdr>
        </w:div>
        <w:div w:id="1900744758">
          <w:marLeft w:val="0"/>
          <w:marRight w:val="0"/>
          <w:marTop w:val="0"/>
          <w:marBottom w:val="0"/>
          <w:divBdr>
            <w:top w:val="none" w:sz="0" w:space="0" w:color="auto"/>
            <w:left w:val="none" w:sz="0" w:space="0" w:color="auto"/>
            <w:bottom w:val="none" w:sz="0" w:space="0" w:color="auto"/>
            <w:right w:val="none" w:sz="0" w:space="0" w:color="auto"/>
          </w:divBdr>
        </w:div>
        <w:div w:id="2030598218">
          <w:marLeft w:val="0"/>
          <w:marRight w:val="0"/>
          <w:marTop w:val="0"/>
          <w:marBottom w:val="0"/>
          <w:divBdr>
            <w:top w:val="none" w:sz="0" w:space="0" w:color="auto"/>
            <w:left w:val="none" w:sz="0" w:space="0" w:color="auto"/>
            <w:bottom w:val="none" w:sz="0" w:space="0" w:color="auto"/>
            <w:right w:val="none" w:sz="0" w:space="0" w:color="auto"/>
          </w:divBdr>
        </w:div>
        <w:div w:id="2033606500">
          <w:marLeft w:val="0"/>
          <w:marRight w:val="0"/>
          <w:marTop w:val="0"/>
          <w:marBottom w:val="0"/>
          <w:divBdr>
            <w:top w:val="none" w:sz="0" w:space="0" w:color="auto"/>
            <w:left w:val="none" w:sz="0" w:space="0" w:color="auto"/>
            <w:bottom w:val="none" w:sz="0" w:space="0" w:color="auto"/>
            <w:right w:val="none" w:sz="0" w:space="0" w:color="auto"/>
          </w:divBdr>
        </w:div>
      </w:divsChild>
    </w:div>
    <w:div w:id="371268114">
      <w:bodyDiv w:val="1"/>
      <w:marLeft w:val="0"/>
      <w:marRight w:val="0"/>
      <w:marTop w:val="0"/>
      <w:marBottom w:val="0"/>
      <w:divBdr>
        <w:top w:val="none" w:sz="0" w:space="0" w:color="auto"/>
        <w:left w:val="none" w:sz="0" w:space="0" w:color="auto"/>
        <w:bottom w:val="none" w:sz="0" w:space="0" w:color="auto"/>
        <w:right w:val="none" w:sz="0" w:space="0" w:color="auto"/>
      </w:divBdr>
      <w:divsChild>
        <w:div w:id="1872451147">
          <w:marLeft w:val="0"/>
          <w:marRight w:val="0"/>
          <w:marTop w:val="0"/>
          <w:marBottom w:val="0"/>
          <w:divBdr>
            <w:top w:val="none" w:sz="0" w:space="0" w:color="auto"/>
            <w:left w:val="none" w:sz="0" w:space="0" w:color="auto"/>
            <w:bottom w:val="none" w:sz="0" w:space="0" w:color="auto"/>
            <w:right w:val="none" w:sz="0" w:space="0" w:color="auto"/>
          </w:divBdr>
        </w:div>
      </w:divsChild>
    </w:div>
    <w:div w:id="381946422">
      <w:bodyDiv w:val="1"/>
      <w:marLeft w:val="0"/>
      <w:marRight w:val="0"/>
      <w:marTop w:val="0"/>
      <w:marBottom w:val="0"/>
      <w:divBdr>
        <w:top w:val="none" w:sz="0" w:space="0" w:color="auto"/>
        <w:left w:val="none" w:sz="0" w:space="0" w:color="auto"/>
        <w:bottom w:val="none" w:sz="0" w:space="0" w:color="auto"/>
        <w:right w:val="none" w:sz="0" w:space="0" w:color="auto"/>
      </w:divBdr>
      <w:divsChild>
        <w:div w:id="65349869">
          <w:marLeft w:val="0"/>
          <w:marRight w:val="0"/>
          <w:marTop w:val="0"/>
          <w:marBottom w:val="0"/>
          <w:divBdr>
            <w:top w:val="none" w:sz="0" w:space="0" w:color="auto"/>
            <w:left w:val="none" w:sz="0" w:space="0" w:color="auto"/>
            <w:bottom w:val="none" w:sz="0" w:space="0" w:color="auto"/>
            <w:right w:val="none" w:sz="0" w:space="0" w:color="auto"/>
          </w:divBdr>
        </w:div>
        <w:div w:id="68550971">
          <w:marLeft w:val="0"/>
          <w:marRight w:val="0"/>
          <w:marTop w:val="0"/>
          <w:marBottom w:val="0"/>
          <w:divBdr>
            <w:top w:val="none" w:sz="0" w:space="0" w:color="auto"/>
            <w:left w:val="none" w:sz="0" w:space="0" w:color="auto"/>
            <w:bottom w:val="none" w:sz="0" w:space="0" w:color="auto"/>
            <w:right w:val="none" w:sz="0" w:space="0" w:color="auto"/>
          </w:divBdr>
        </w:div>
        <w:div w:id="1695570781">
          <w:marLeft w:val="0"/>
          <w:marRight w:val="0"/>
          <w:marTop w:val="0"/>
          <w:marBottom w:val="0"/>
          <w:divBdr>
            <w:top w:val="none" w:sz="0" w:space="0" w:color="auto"/>
            <w:left w:val="none" w:sz="0" w:space="0" w:color="auto"/>
            <w:bottom w:val="none" w:sz="0" w:space="0" w:color="auto"/>
            <w:right w:val="none" w:sz="0" w:space="0" w:color="auto"/>
          </w:divBdr>
        </w:div>
      </w:divsChild>
    </w:div>
    <w:div w:id="398409389">
      <w:bodyDiv w:val="1"/>
      <w:marLeft w:val="0"/>
      <w:marRight w:val="0"/>
      <w:marTop w:val="0"/>
      <w:marBottom w:val="0"/>
      <w:divBdr>
        <w:top w:val="none" w:sz="0" w:space="0" w:color="auto"/>
        <w:left w:val="none" w:sz="0" w:space="0" w:color="auto"/>
        <w:bottom w:val="none" w:sz="0" w:space="0" w:color="auto"/>
        <w:right w:val="none" w:sz="0" w:space="0" w:color="auto"/>
      </w:divBdr>
      <w:divsChild>
        <w:div w:id="77797057">
          <w:marLeft w:val="0"/>
          <w:marRight w:val="0"/>
          <w:marTop w:val="0"/>
          <w:marBottom w:val="0"/>
          <w:divBdr>
            <w:top w:val="none" w:sz="0" w:space="0" w:color="auto"/>
            <w:left w:val="none" w:sz="0" w:space="0" w:color="auto"/>
            <w:bottom w:val="none" w:sz="0" w:space="0" w:color="auto"/>
            <w:right w:val="none" w:sz="0" w:space="0" w:color="auto"/>
          </w:divBdr>
        </w:div>
        <w:div w:id="2102871765">
          <w:marLeft w:val="0"/>
          <w:marRight w:val="0"/>
          <w:marTop w:val="0"/>
          <w:marBottom w:val="0"/>
          <w:divBdr>
            <w:top w:val="none" w:sz="0" w:space="0" w:color="auto"/>
            <w:left w:val="none" w:sz="0" w:space="0" w:color="auto"/>
            <w:bottom w:val="none" w:sz="0" w:space="0" w:color="auto"/>
            <w:right w:val="none" w:sz="0" w:space="0" w:color="auto"/>
          </w:divBdr>
        </w:div>
        <w:div w:id="20866262">
          <w:marLeft w:val="0"/>
          <w:marRight w:val="0"/>
          <w:marTop w:val="0"/>
          <w:marBottom w:val="0"/>
          <w:divBdr>
            <w:top w:val="none" w:sz="0" w:space="0" w:color="auto"/>
            <w:left w:val="none" w:sz="0" w:space="0" w:color="auto"/>
            <w:bottom w:val="none" w:sz="0" w:space="0" w:color="auto"/>
            <w:right w:val="none" w:sz="0" w:space="0" w:color="auto"/>
          </w:divBdr>
        </w:div>
        <w:div w:id="371611446">
          <w:marLeft w:val="0"/>
          <w:marRight w:val="0"/>
          <w:marTop w:val="0"/>
          <w:marBottom w:val="0"/>
          <w:divBdr>
            <w:top w:val="none" w:sz="0" w:space="0" w:color="auto"/>
            <w:left w:val="none" w:sz="0" w:space="0" w:color="auto"/>
            <w:bottom w:val="none" w:sz="0" w:space="0" w:color="auto"/>
            <w:right w:val="none" w:sz="0" w:space="0" w:color="auto"/>
          </w:divBdr>
        </w:div>
        <w:div w:id="1679695625">
          <w:marLeft w:val="0"/>
          <w:marRight w:val="0"/>
          <w:marTop w:val="0"/>
          <w:marBottom w:val="0"/>
          <w:divBdr>
            <w:top w:val="none" w:sz="0" w:space="0" w:color="auto"/>
            <w:left w:val="none" w:sz="0" w:space="0" w:color="auto"/>
            <w:bottom w:val="none" w:sz="0" w:space="0" w:color="auto"/>
            <w:right w:val="none" w:sz="0" w:space="0" w:color="auto"/>
          </w:divBdr>
        </w:div>
        <w:div w:id="757140231">
          <w:marLeft w:val="0"/>
          <w:marRight w:val="0"/>
          <w:marTop w:val="0"/>
          <w:marBottom w:val="0"/>
          <w:divBdr>
            <w:top w:val="none" w:sz="0" w:space="0" w:color="auto"/>
            <w:left w:val="none" w:sz="0" w:space="0" w:color="auto"/>
            <w:bottom w:val="none" w:sz="0" w:space="0" w:color="auto"/>
            <w:right w:val="none" w:sz="0" w:space="0" w:color="auto"/>
          </w:divBdr>
        </w:div>
        <w:div w:id="290672638">
          <w:marLeft w:val="0"/>
          <w:marRight w:val="0"/>
          <w:marTop w:val="0"/>
          <w:marBottom w:val="0"/>
          <w:divBdr>
            <w:top w:val="none" w:sz="0" w:space="0" w:color="auto"/>
            <w:left w:val="none" w:sz="0" w:space="0" w:color="auto"/>
            <w:bottom w:val="none" w:sz="0" w:space="0" w:color="auto"/>
            <w:right w:val="none" w:sz="0" w:space="0" w:color="auto"/>
          </w:divBdr>
        </w:div>
        <w:div w:id="1397165583">
          <w:marLeft w:val="0"/>
          <w:marRight w:val="0"/>
          <w:marTop w:val="0"/>
          <w:marBottom w:val="0"/>
          <w:divBdr>
            <w:top w:val="none" w:sz="0" w:space="0" w:color="auto"/>
            <w:left w:val="none" w:sz="0" w:space="0" w:color="auto"/>
            <w:bottom w:val="none" w:sz="0" w:space="0" w:color="auto"/>
            <w:right w:val="none" w:sz="0" w:space="0" w:color="auto"/>
          </w:divBdr>
        </w:div>
        <w:div w:id="1754424476">
          <w:marLeft w:val="0"/>
          <w:marRight w:val="0"/>
          <w:marTop w:val="0"/>
          <w:marBottom w:val="0"/>
          <w:divBdr>
            <w:top w:val="none" w:sz="0" w:space="0" w:color="auto"/>
            <w:left w:val="none" w:sz="0" w:space="0" w:color="auto"/>
            <w:bottom w:val="none" w:sz="0" w:space="0" w:color="auto"/>
            <w:right w:val="none" w:sz="0" w:space="0" w:color="auto"/>
          </w:divBdr>
        </w:div>
        <w:div w:id="1688367069">
          <w:marLeft w:val="0"/>
          <w:marRight w:val="0"/>
          <w:marTop w:val="0"/>
          <w:marBottom w:val="0"/>
          <w:divBdr>
            <w:top w:val="none" w:sz="0" w:space="0" w:color="auto"/>
            <w:left w:val="none" w:sz="0" w:space="0" w:color="auto"/>
            <w:bottom w:val="none" w:sz="0" w:space="0" w:color="auto"/>
            <w:right w:val="none" w:sz="0" w:space="0" w:color="auto"/>
          </w:divBdr>
        </w:div>
        <w:div w:id="288824341">
          <w:marLeft w:val="0"/>
          <w:marRight w:val="0"/>
          <w:marTop w:val="0"/>
          <w:marBottom w:val="0"/>
          <w:divBdr>
            <w:top w:val="none" w:sz="0" w:space="0" w:color="auto"/>
            <w:left w:val="none" w:sz="0" w:space="0" w:color="auto"/>
            <w:bottom w:val="none" w:sz="0" w:space="0" w:color="auto"/>
            <w:right w:val="none" w:sz="0" w:space="0" w:color="auto"/>
          </w:divBdr>
        </w:div>
        <w:div w:id="1809279009">
          <w:marLeft w:val="0"/>
          <w:marRight w:val="0"/>
          <w:marTop w:val="0"/>
          <w:marBottom w:val="0"/>
          <w:divBdr>
            <w:top w:val="none" w:sz="0" w:space="0" w:color="auto"/>
            <w:left w:val="none" w:sz="0" w:space="0" w:color="auto"/>
            <w:bottom w:val="none" w:sz="0" w:space="0" w:color="auto"/>
            <w:right w:val="none" w:sz="0" w:space="0" w:color="auto"/>
          </w:divBdr>
        </w:div>
        <w:div w:id="1361398665">
          <w:marLeft w:val="0"/>
          <w:marRight w:val="0"/>
          <w:marTop w:val="0"/>
          <w:marBottom w:val="0"/>
          <w:divBdr>
            <w:top w:val="none" w:sz="0" w:space="0" w:color="auto"/>
            <w:left w:val="none" w:sz="0" w:space="0" w:color="auto"/>
            <w:bottom w:val="none" w:sz="0" w:space="0" w:color="auto"/>
            <w:right w:val="none" w:sz="0" w:space="0" w:color="auto"/>
          </w:divBdr>
        </w:div>
        <w:div w:id="1743289976">
          <w:marLeft w:val="0"/>
          <w:marRight w:val="0"/>
          <w:marTop w:val="0"/>
          <w:marBottom w:val="0"/>
          <w:divBdr>
            <w:top w:val="none" w:sz="0" w:space="0" w:color="auto"/>
            <w:left w:val="none" w:sz="0" w:space="0" w:color="auto"/>
            <w:bottom w:val="none" w:sz="0" w:space="0" w:color="auto"/>
            <w:right w:val="none" w:sz="0" w:space="0" w:color="auto"/>
          </w:divBdr>
        </w:div>
        <w:div w:id="1661421683">
          <w:marLeft w:val="0"/>
          <w:marRight w:val="0"/>
          <w:marTop w:val="0"/>
          <w:marBottom w:val="0"/>
          <w:divBdr>
            <w:top w:val="none" w:sz="0" w:space="0" w:color="auto"/>
            <w:left w:val="none" w:sz="0" w:space="0" w:color="auto"/>
            <w:bottom w:val="none" w:sz="0" w:space="0" w:color="auto"/>
            <w:right w:val="none" w:sz="0" w:space="0" w:color="auto"/>
          </w:divBdr>
        </w:div>
        <w:div w:id="111439543">
          <w:marLeft w:val="0"/>
          <w:marRight w:val="0"/>
          <w:marTop w:val="0"/>
          <w:marBottom w:val="0"/>
          <w:divBdr>
            <w:top w:val="none" w:sz="0" w:space="0" w:color="auto"/>
            <w:left w:val="none" w:sz="0" w:space="0" w:color="auto"/>
            <w:bottom w:val="none" w:sz="0" w:space="0" w:color="auto"/>
            <w:right w:val="none" w:sz="0" w:space="0" w:color="auto"/>
          </w:divBdr>
        </w:div>
      </w:divsChild>
    </w:div>
    <w:div w:id="408768785">
      <w:bodyDiv w:val="1"/>
      <w:marLeft w:val="0"/>
      <w:marRight w:val="0"/>
      <w:marTop w:val="0"/>
      <w:marBottom w:val="0"/>
      <w:divBdr>
        <w:top w:val="none" w:sz="0" w:space="0" w:color="auto"/>
        <w:left w:val="none" w:sz="0" w:space="0" w:color="auto"/>
        <w:bottom w:val="none" w:sz="0" w:space="0" w:color="auto"/>
        <w:right w:val="none" w:sz="0" w:space="0" w:color="auto"/>
      </w:divBdr>
      <w:divsChild>
        <w:div w:id="48920569">
          <w:marLeft w:val="0"/>
          <w:marRight w:val="0"/>
          <w:marTop w:val="0"/>
          <w:marBottom w:val="0"/>
          <w:divBdr>
            <w:top w:val="none" w:sz="0" w:space="0" w:color="auto"/>
            <w:left w:val="none" w:sz="0" w:space="0" w:color="auto"/>
            <w:bottom w:val="none" w:sz="0" w:space="0" w:color="auto"/>
            <w:right w:val="none" w:sz="0" w:space="0" w:color="auto"/>
          </w:divBdr>
        </w:div>
        <w:div w:id="104662676">
          <w:marLeft w:val="0"/>
          <w:marRight w:val="0"/>
          <w:marTop w:val="0"/>
          <w:marBottom w:val="0"/>
          <w:divBdr>
            <w:top w:val="none" w:sz="0" w:space="0" w:color="auto"/>
            <w:left w:val="none" w:sz="0" w:space="0" w:color="auto"/>
            <w:bottom w:val="none" w:sz="0" w:space="0" w:color="auto"/>
            <w:right w:val="none" w:sz="0" w:space="0" w:color="auto"/>
          </w:divBdr>
        </w:div>
        <w:div w:id="180902086">
          <w:marLeft w:val="0"/>
          <w:marRight w:val="0"/>
          <w:marTop w:val="0"/>
          <w:marBottom w:val="0"/>
          <w:divBdr>
            <w:top w:val="none" w:sz="0" w:space="0" w:color="auto"/>
            <w:left w:val="none" w:sz="0" w:space="0" w:color="auto"/>
            <w:bottom w:val="none" w:sz="0" w:space="0" w:color="auto"/>
            <w:right w:val="none" w:sz="0" w:space="0" w:color="auto"/>
          </w:divBdr>
        </w:div>
        <w:div w:id="376710651">
          <w:marLeft w:val="0"/>
          <w:marRight w:val="0"/>
          <w:marTop w:val="0"/>
          <w:marBottom w:val="0"/>
          <w:divBdr>
            <w:top w:val="none" w:sz="0" w:space="0" w:color="auto"/>
            <w:left w:val="none" w:sz="0" w:space="0" w:color="auto"/>
            <w:bottom w:val="none" w:sz="0" w:space="0" w:color="auto"/>
            <w:right w:val="none" w:sz="0" w:space="0" w:color="auto"/>
          </w:divBdr>
        </w:div>
        <w:div w:id="697506907">
          <w:marLeft w:val="0"/>
          <w:marRight w:val="0"/>
          <w:marTop w:val="0"/>
          <w:marBottom w:val="0"/>
          <w:divBdr>
            <w:top w:val="none" w:sz="0" w:space="0" w:color="auto"/>
            <w:left w:val="none" w:sz="0" w:space="0" w:color="auto"/>
            <w:bottom w:val="none" w:sz="0" w:space="0" w:color="auto"/>
            <w:right w:val="none" w:sz="0" w:space="0" w:color="auto"/>
          </w:divBdr>
        </w:div>
        <w:div w:id="895895490">
          <w:marLeft w:val="0"/>
          <w:marRight w:val="0"/>
          <w:marTop w:val="0"/>
          <w:marBottom w:val="0"/>
          <w:divBdr>
            <w:top w:val="none" w:sz="0" w:space="0" w:color="auto"/>
            <w:left w:val="none" w:sz="0" w:space="0" w:color="auto"/>
            <w:bottom w:val="none" w:sz="0" w:space="0" w:color="auto"/>
            <w:right w:val="none" w:sz="0" w:space="0" w:color="auto"/>
          </w:divBdr>
        </w:div>
        <w:div w:id="1003514414">
          <w:marLeft w:val="0"/>
          <w:marRight w:val="0"/>
          <w:marTop w:val="0"/>
          <w:marBottom w:val="0"/>
          <w:divBdr>
            <w:top w:val="none" w:sz="0" w:space="0" w:color="auto"/>
            <w:left w:val="none" w:sz="0" w:space="0" w:color="auto"/>
            <w:bottom w:val="none" w:sz="0" w:space="0" w:color="auto"/>
            <w:right w:val="none" w:sz="0" w:space="0" w:color="auto"/>
          </w:divBdr>
        </w:div>
        <w:div w:id="1339426902">
          <w:marLeft w:val="0"/>
          <w:marRight w:val="0"/>
          <w:marTop w:val="0"/>
          <w:marBottom w:val="0"/>
          <w:divBdr>
            <w:top w:val="none" w:sz="0" w:space="0" w:color="auto"/>
            <w:left w:val="none" w:sz="0" w:space="0" w:color="auto"/>
            <w:bottom w:val="none" w:sz="0" w:space="0" w:color="auto"/>
            <w:right w:val="none" w:sz="0" w:space="0" w:color="auto"/>
          </w:divBdr>
        </w:div>
        <w:div w:id="1391535769">
          <w:marLeft w:val="0"/>
          <w:marRight w:val="0"/>
          <w:marTop w:val="0"/>
          <w:marBottom w:val="0"/>
          <w:divBdr>
            <w:top w:val="none" w:sz="0" w:space="0" w:color="auto"/>
            <w:left w:val="none" w:sz="0" w:space="0" w:color="auto"/>
            <w:bottom w:val="none" w:sz="0" w:space="0" w:color="auto"/>
            <w:right w:val="none" w:sz="0" w:space="0" w:color="auto"/>
          </w:divBdr>
        </w:div>
        <w:div w:id="1461655341">
          <w:marLeft w:val="0"/>
          <w:marRight w:val="0"/>
          <w:marTop w:val="0"/>
          <w:marBottom w:val="0"/>
          <w:divBdr>
            <w:top w:val="none" w:sz="0" w:space="0" w:color="auto"/>
            <w:left w:val="none" w:sz="0" w:space="0" w:color="auto"/>
            <w:bottom w:val="none" w:sz="0" w:space="0" w:color="auto"/>
            <w:right w:val="none" w:sz="0" w:space="0" w:color="auto"/>
          </w:divBdr>
        </w:div>
        <w:div w:id="1467310731">
          <w:marLeft w:val="0"/>
          <w:marRight w:val="0"/>
          <w:marTop w:val="0"/>
          <w:marBottom w:val="0"/>
          <w:divBdr>
            <w:top w:val="none" w:sz="0" w:space="0" w:color="auto"/>
            <w:left w:val="none" w:sz="0" w:space="0" w:color="auto"/>
            <w:bottom w:val="none" w:sz="0" w:space="0" w:color="auto"/>
            <w:right w:val="none" w:sz="0" w:space="0" w:color="auto"/>
          </w:divBdr>
        </w:div>
        <w:div w:id="1545799325">
          <w:marLeft w:val="0"/>
          <w:marRight w:val="0"/>
          <w:marTop w:val="0"/>
          <w:marBottom w:val="0"/>
          <w:divBdr>
            <w:top w:val="none" w:sz="0" w:space="0" w:color="auto"/>
            <w:left w:val="none" w:sz="0" w:space="0" w:color="auto"/>
            <w:bottom w:val="none" w:sz="0" w:space="0" w:color="auto"/>
            <w:right w:val="none" w:sz="0" w:space="0" w:color="auto"/>
          </w:divBdr>
        </w:div>
        <w:div w:id="1570460464">
          <w:marLeft w:val="0"/>
          <w:marRight w:val="0"/>
          <w:marTop w:val="0"/>
          <w:marBottom w:val="0"/>
          <w:divBdr>
            <w:top w:val="none" w:sz="0" w:space="0" w:color="auto"/>
            <w:left w:val="none" w:sz="0" w:space="0" w:color="auto"/>
            <w:bottom w:val="none" w:sz="0" w:space="0" w:color="auto"/>
            <w:right w:val="none" w:sz="0" w:space="0" w:color="auto"/>
          </w:divBdr>
        </w:div>
        <w:div w:id="2019310485">
          <w:marLeft w:val="0"/>
          <w:marRight w:val="0"/>
          <w:marTop w:val="0"/>
          <w:marBottom w:val="0"/>
          <w:divBdr>
            <w:top w:val="none" w:sz="0" w:space="0" w:color="auto"/>
            <w:left w:val="none" w:sz="0" w:space="0" w:color="auto"/>
            <w:bottom w:val="none" w:sz="0" w:space="0" w:color="auto"/>
            <w:right w:val="none" w:sz="0" w:space="0" w:color="auto"/>
          </w:divBdr>
        </w:div>
        <w:div w:id="2118257176">
          <w:marLeft w:val="0"/>
          <w:marRight w:val="0"/>
          <w:marTop w:val="0"/>
          <w:marBottom w:val="0"/>
          <w:divBdr>
            <w:top w:val="none" w:sz="0" w:space="0" w:color="auto"/>
            <w:left w:val="none" w:sz="0" w:space="0" w:color="auto"/>
            <w:bottom w:val="none" w:sz="0" w:space="0" w:color="auto"/>
            <w:right w:val="none" w:sz="0" w:space="0" w:color="auto"/>
          </w:divBdr>
        </w:div>
      </w:divsChild>
    </w:div>
    <w:div w:id="409886624">
      <w:bodyDiv w:val="1"/>
      <w:marLeft w:val="0"/>
      <w:marRight w:val="0"/>
      <w:marTop w:val="0"/>
      <w:marBottom w:val="0"/>
      <w:divBdr>
        <w:top w:val="none" w:sz="0" w:space="0" w:color="auto"/>
        <w:left w:val="none" w:sz="0" w:space="0" w:color="auto"/>
        <w:bottom w:val="none" w:sz="0" w:space="0" w:color="auto"/>
        <w:right w:val="none" w:sz="0" w:space="0" w:color="auto"/>
      </w:divBdr>
    </w:div>
    <w:div w:id="419328686">
      <w:bodyDiv w:val="1"/>
      <w:marLeft w:val="0"/>
      <w:marRight w:val="0"/>
      <w:marTop w:val="0"/>
      <w:marBottom w:val="0"/>
      <w:divBdr>
        <w:top w:val="none" w:sz="0" w:space="0" w:color="auto"/>
        <w:left w:val="none" w:sz="0" w:space="0" w:color="auto"/>
        <w:bottom w:val="none" w:sz="0" w:space="0" w:color="auto"/>
        <w:right w:val="none" w:sz="0" w:space="0" w:color="auto"/>
      </w:divBdr>
    </w:div>
    <w:div w:id="422073440">
      <w:bodyDiv w:val="1"/>
      <w:marLeft w:val="0"/>
      <w:marRight w:val="0"/>
      <w:marTop w:val="0"/>
      <w:marBottom w:val="0"/>
      <w:divBdr>
        <w:top w:val="none" w:sz="0" w:space="0" w:color="auto"/>
        <w:left w:val="none" w:sz="0" w:space="0" w:color="auto"/>
        <w:bottom w:val="none" w:sz="0" w:space="0" w:color="auto"/>
        <w:right w:val="none" w:sz="0" w:space="0" w:color="auto"/>
      </w:divBdr>
      <w:divsChild>
        <w:div w:id="679504989">
          <w:marLeft w:val="0"/>
          <w:marRight w:val="0"/>
          <w:marTop w:val="0"/>
          <w:marBottom w:val="0"/>
          <w:divBdr>
            <w:top w:val="none" w:sz="0" w:space="0" w:color="auto"/>
            <w:left w:val="none" w:sz="0" w:space="0" w:color="auto"/>
            <w:bottom w:val="none" w:sz="0" w:space="0" w:color="auto"/>
            <w:right w:val="none" w:sz="0" w:space="0" w:color="auto"/>
          </w:divBdr>
        </w:div>
        <w:div w:id="1391421734">
          <w:marLeft w:val="0"/>
          <w:marRight w:val="0"/>
          <w:marTop w:val="0"/>
          <w:marBottom w:val="0"/>
          <w:divBdr>
            <w:top w:val="none" w:sz="0" w:space="0" w:color="auto"/>
            <w:left w:val="none" w:sz="0" w:space="0" w:color="auto"/>
            <w:bottom w:val="none" w:sz="0" w:space="0" w:color="auto"/>
            <w:right w:val="none" w:sz="0" w:space="0" w:color="auto"/>
          </w:divBdr>
        </w:div>
        <w:div w:id="1390228458">
          <w:marLeft w:val="0"/>
          <w:marRight w:val="0"/>
          <w:marTop w:val="0"/>
          <w:marBottom w:val="0"/>
          <w:divBdr>
            <w:top w:val="none" w:sz="0" w:space="0" w:color="auto"/>
            <w:left w:val="none" w:sz="0" w:space="0" w:color="auto"/>
            <w:bottom w:val="none" w:sz="0" w:space="0" w:color="auto"/>
            <w:right w:val="none" w:sz="0" w:space="0" w:color="auto"/>
          </w:divBdr>
        </w:div>
        <w:div w:id="2117212566">
          <w:marLeft w:val="0"/>
          <w:marRight w:val="0"/>
          <w:marTop w:val="0"/>
          <w:marBottom w:val="0"/>
          <w:divBdr>
            <w:top w:val="none" w:sz="0" w:space="0" w:color="auto"/>
            <w:left w:val="none" w:sz="0" w:space="0" w:color="auto"/>
            <w:bottom w:val="none" w:sz="0" w:space="0" w:color="auto"/>
            <w:right w:val="none" w:sz="0" w:space="0" w:color="auto"/>
          </w:divBdr>
        </w:div>
        <w:div w:id="957839829">
          <w:marLeft w:val="0"/>
          <w:marRight w:val="0"/>
          <w:marTop w:val="0"/>
          <w:marBottom w:val="0"/>
          <w:divBdr>
            <w:top w:val="none" w:sz="0" w:space="0" w:color="auto"/>
            <w:left w:val="none" w:sz="0" w:space="0" w:color="auto"/>
            <w:bottom w:val="none" w:sz="0" w:space="0" w:color="auto"/>
            <w:right w:val="none" w:sz="0" w:space="0" w:color="auto"/>
          </w:divBdr>
        </w:div>
        <w:div w:id="188684683">
          <w:marLeft w:val="0"/>
          <w:marRight w:val="0"/>
          <w:marTop w:val="0"/>
          <w:marBottom w:val="0"/>
          <w:divBdr>
            <w:top w:val="none" w:sz="0" w:space="0" w:color="auto"/>
            <w:left w:val="none" w:sz="0" w:space="0" w:color="auto"/>
            <w:bottom w:val="none" w:sz="0" w:space="0" w:color="auto"/>
            <w:right w:val="none" w:sz="0" w:space="0" w:color="auto"/>
          </w:divBdr>
        </w:div>
        <w:div w:id="18049483">
          <w:marLeft w:val="0"/>
          <w:marRight w:val="0"/>
          <w:marTop w:val="0"/>
          <w:marBottom w:val="0"/>
          <w:divBdr>
            <w:top w:val="none" w:sz="0" w:space="0" w:color="auto"/>
            <w:left w:val="none" w:sz="0" w:space="0" w:color="auto"/>
            <w:bottom w:val="none" w:sz="0" w:space="0" w:color="auto"/>
            <w:right w:val="none" w:sz="0" w:space="0" w:color="auto"/>
          </w:divBdr>
        </w:div>
        <w:div w:id="995458550">
          <w:marLeft w:val="0"/>
          <w:marRight w:val="0"/>
          <w:marTop w:val="0"/>
          <w:marBottom w:val="0"/>
          <w:divBdr>
            <w:top w:val="none" w:sz="0" w:space="0" w:color="auto"/>
            <w:left w:val="none" w:sz="0" w:space="0" w:color="auto"/>
            <w:bottom w:val="none" w:sz="0" w:space="0" w:color="auto"/>
            <w:right w:val="none" w:sz="0" w:space="0" w:color="auto"/>
          </w:divBdr>
        </w:div>
        <w:div w:id="1729839910">
          <w:marLeft w:val="0"/>
          <w:marRight w:val="0"/>
          <w:marTop w:val="0"/>
          <w:marBottom w:val="0"/>
          <w:divBdr>
            <w:top w:val="none" w:sz="0" w:space="0" w:color="auto"/>
            <w:left w:val="none" w:sz="0" w:space="0" w:color="auto"/>
            <w:bottom w:val="none" w:sz="0" w:space="0" w:color="auto"/>
            <w:right w:val="none" w:sz="0" w:space="0" w:color="auto"/>
          </w:divBdr>
        </w:div>
      </w:divsChild>
    </w:div>
    <w:div w:id="430442968">
      <w:bodyDiv w:val="1"/>
      <w:marLeft w:val="0"/>
      <w:marRight w:val="0"/>
      <w:marTop w:val="0"/>
      <w:marBottom w:val="0"/>
      <w:divBdr>
        <w:top w:val="none" w:sz="0" w:space="0" w:color="auto"/>
        <w:left w:val="none" w:sz="0" w:space="0" w:color="auto"/>
        <w:bottom w:val="none" w:sz="0" w:space="0" w:color="auto"/>
        <w:right w:val="none" w:sz="0" w:space="0" w:color="auto"/>
      </w:divBdr>
    </w:div>
    <w:div w:id="443036697">
      <w:bodyDiv w:val="1"/>
      <w:marLeft w:val="0"/>
      <w:marRight w:val="0"/>
      <w:marTop w:val="0"/>
      <w:marBottom w:val="0"/>
      <w:divBdr>
        <w:top w:val="none" w:sz="0" w:space="0" w:color="auto"/>
        <w:left w:val="none" w:sz="0" w:space="0" w:color="auto"/>
        <w:bottom w:val="none" w:sz="0" w:space="0" w:color="auto"/>
        <w:right w:val="none" w:sz="0" w:space="0" w:color="auto"/>
      </w:divBdr>
      <w:divsChild>
        <w:div w:id="20130410">
          <w:marLeft w:val="0"/>
          <w:marRight w:val="0"/>
          <w:marTop w:val="0"/>
          <w:marBottom w:val="0"/>
          <w:divBdr>
            <w:top w:val="none" w:sz="0" w:space="0" w:color="auto"/>
            <w:left w:val="none" w:sz="0" w:space="0" w:color="auto"/>
            <w:bottom w:val="none" w:sz="0" w:space="0" w:color="auto"/>
            <w:right w:val="none" w:sz="0" w:space="0" w:color="auto"/>
          </w:divBdr>
          <w:divsChild>
            <w:div w:id="792603247">
              <w:marLeft w:val="0"/>
              <w:marRight w:val="0"/>
              <w:marTop w:val="0"/>
              <w:marBottom w:val="0"/>
              <w:divBdr>
                <w:top w:val="none" w:sz="0" w:space="0" w:color="auto"/>
                <w:left w:val="none" w:sz="0" w:space="0" w:color="auto"/>
                <w:bottom w:val="none" w:sz="0" w:space="0" w:color="auto"/>
                <w:right w:val="none" w:sz="0" w:space="0" w:color="auto"/>
              </w:divBdr>
            </w:div>
            <w:div w:id="2114856934">
              <w:marLeft w:val="0"/>
              <w:marRight w:val="0"/>
              <w:marTop w:val="0"/>
              <w:marBottom w:val="0"/>
              <w:divBdr>
                <w:top w:val="none" w:sz="0" w:space="0" w:color="auto"/>
                <w:left w:val="none" w:sz="0" w:space="0" w:color="auto"/>
                <w:bottom w:val="none" w:sz="0" w:space="0" w:color="auto"/>
                <w:right w:val="none" w:sz="0" w:space="0" w:color="auto"/>
              </w:divBdr>
            </w:div>
            <w:div w:id="1156071029">
              <w:marLeft w:val="0"/>
              <w:marRight w:val="0"/>
              <w:marTop w:val="0"/>
              <w:marBottom w:val="0"/>
              <w:divBdr>
                <w:top w:val="none" w:sz="0" w:space="0" w:color="auto"/>
                <w:left w:val="none" w:sz="0" w:space="0" w:color="auto"/>
                <w:bottom w:val="none" w:sz="0" w:space="0" w:color="auto"/>
                <w:right w:val="none" w:sz="0" w:space="0" w:color="auto"/>
              </w:divBdr>
            </w:div>
            <w:div w:id="560363713">
              <w:marLeft w:val="0"/>
              <w:marRight w:val="0"/>
              <w:marTop w:val="0"/>
              <w:marBottom w:val="0"/>
              <w:divBdr>
                <w:top w:val="none" w:sz="0" w:space="0" w:color="auto"/>
                <w:left w:val="none" w:sz="0" w:space="0" w:color="auto"/>
                <w:bottom w:val="none" w:sz="0" w:space="0" w:color="auto"/>
                <w:right w:val="none" w:sz="0" w:space="0" w:color="auto"/>
              </w:divBdr>
            </w:div>
            <w:div w:id="636835453">
              <w:marLeft w:val="0"/>
              <w:marRight w:val="0"/>
              <w:marTop w:val="0"/>
              <w:marBottom w:val="0"/>
              <w:divBdr>
                <w:top w:val="none" w:sz="0" w:space="0" w:color="auto"/>
                <w:left w:val="none" w:sz="0" w:space="0" w:color="auto"/>
                <w:bottom w:val="none" w:sz="0" w:space="0" w:color="auto"/>
                <w:right w:val="none" w:sz="0" w:space="0" w:color="auto"/>
              </w:divBdr>
            </w:div>
            <w:div w:id="1145701735">
              <w:marLeft w:val="0"/>
              <w:marRight w:val="0"/>
              <w:marTop w:val="0"/>
              <w:marBottom w:val="0"/>
              <w:divBdr>
                <w:top w:val="none" w:sz="0" w:space="0" w:color="auto"/>
                <w:left w:val="none" w:sz="0" w:space="0" w:color="auto"/>
                <w:bottom w:val="none" w:sz="0" w:space="0" w:color="auto"/>
                <w:right w:val="none" w:sz="0" w:space="0" w:color="auto"/>
              </w:divBdr>
            </w:div>
            <w:div w:id="1699161602">
              <w:marLeft w:val="0"/>
              <w:marRight w:val="0"/>
              <w:marTop w:val="0"/>
              <w:marBottom w:val="0"/>
              <w:divBdr>
                <w:top w:val="none" w:sz="0" w:space="0" w:color="auto"/>
                <w:left w:val="none" w:sz="0" w:space="0" w:color="auto"/>
                <w:bottom w:val="none" w:sz="0" w:space="0" w:color="auto"/>
                <w:right w:val="none" w:sz="0" w:space="0" w:color="auto"/>
              </w:divBdr>
            </w:div>
            <w:div w:id="151407065">
              <w:marLeft w:val="0"/>
              <w:marRight w:val="0"/>
              <w:marTop w:val="0"/>
              <w:marBottom w:val="0"/>
              <w:divBdr>
                <w:top w:val="none" w:sz="0" w:space="0" w:color="auto"/>
                <w:left w:val="none" w:sz="0" w:space="0" w:color="auto"/>
                <w:bottom w:val="none" w:sz="0" w:space="0" w:color="auto"/>
                <w:right w:val="none" w:sz="0" w:space="0" w:color="auto"/>
              </w:divBdr>
            </w:div>
            <w:div w:id="483595233">
              <w:marLeft w:val="0"/>
              <w:marRight w:val="0"/>
              <w:marTop w:val="0"/>
              <w:marBottom w:val="0"/>
              <w:divBdr>
                <w:top w:val="none" w:sz="0" w:space="0" w:color="auto"/>
                <w:left w:val="none" w:sz="0" w:space="0" w:color="auto"/>
                <w:bottom w:val="none" w:sz="0" w:space="0" w:color="auto"/>
                <w:right w:val="none" w:sz="0" w:space="0" w:color="auto"/>
              </w:divBdr>
            </w:div>
            <w:div w:id="576135737">
              <w:marLeft w:val="0"/>
              <w:marRight w:val="0"/>
              <w:marTop w:val="0"/>
              <w:marBottom w:val="0"/>
              <w:divBdr>
                <w:top w:val="none" w:sz="0" w:space="0" w:color="auto"/>
                <w:left w:val="none" w:sz="0" w:space="0" w:color="auto"/>
                <w:bottom w:val="none" w:sz="0" w:space="0" w:color="auto"/>
                <w:right w:val="none" w:sz="0" w:space="0" w:color="auto"/>
              </w:divBdr>
            </w:div>
          </w:divsChild>
        </w:div>
        <w:div w:id="179438566">
          <w:marLeft w:val="0"/>
          <w:marRight w:val="0"/>
          <w:marTop w:val="0"/>
          <w:marBottom w:val="0"/>
          <w:divBdr>
            <w:top w:val="none" w:sz="0" w:space="0" w:color="auto"/>
            <w:left w:val="none" w:sz="0" w:space="0" w:color="auto"/>
            <w:bottom w:val="none" w:sz="0" w:space="0" w:color="auto"/>
            <w:right w:val="none" w:sz="0" w:space="0" w:color="auto"/>
          </w:divBdr>
          <w:divsChild>
            <w:div w:id="1520967570">
              <w:marLeft w:val="0"/>
              <w:marRight w:val="0"/>
              <w:marTop w:val="0"/>
              <w:marBottom w:val="0"/>
              <w:divBdr>
                <w:top w:val="none" w:sz="0" w:space="0" w:color="auto"/>
                <w:left w:val="none" w:sz="0" w:space="0" w:color="auto"/>
                <w:bottom w:val="none" w:sz="0" w:space="0" w:color="auto"/>
                <w:right w:val="none" w:sz="0" w:space="0" w:color="auto"/>
              </w:divBdr>
            </w:div>
            <w:div w:id="1674530507">
              <w:marLeft w:val="0"/>
              <w:marRight w:val="0"/>
              <w:marTop w:val="0"/>
              <w:marBottom w:val="0"/>
              <w:divBdr>
                <w:top w:val="none" w:sz="0" w:space="0" w:color="auto"/>
                <w:left w:val="none" w:sz="0" w:space="0" w:color="auto"/>
                <w:bottom w:val="none" w:sz="0" w:space="0" w:color="auto"/>
                <w:right w:val="none" w:sz="0" w:space="0" w:color="auto"/>
              </w:divBdr>
            </w:div>
            <w:div w:id="1138962541">
              <w:marLeft w:val="0"/>
              <w:marRight w:val="0"/>
              <w:marTop w:val="0"/>
              <w:marBottom w:val="0"/>
              <w:divBdr>
                <w:top w:val="none" w:sz="0" w:space="0" w:color="auto"/>
                <w:left w:val="none" w:sz="0" w:space="0" w:color="auto"/>
                <w:bottom w:val="none" w:sz="0" w:space="0" w:color="auto"/>
                <w:right w:val="none" w:sz="0" w:space="0" w:color="auto"/>
              </w:divBdr>
            </w:div>
            <w:div w:id="835877638">
              <w:marLeft w:val="0"/>
              <w:marRight w:val="0"/>
              <w:marTop w:val="0"/>
              <w:marBottom w:val="0"/>
              <w:divBdr>
                <w:top w:val="none" w:sz="0" w:space="0" w:color="auto"/>
                <w:left w:val="none" w:sz="0" w:space="0" w:color="auto"/>
                <w:bottom w:val="none" w:sz="0" w:space="0" w:color="auto"/>
                <w:right w:val="none" w:sz="0" w:space="0" w:color="auto"/>
              </w:divBdr>
            </w:div>
            <w:div w:id="932856383">
              <w:marLeft w:val="0"/>
              <w:marRight w:val="0"/>
              <w:marTop w:val="0"/>
              <w:marBottom w:val="0"/>
              <w:divBdr>
                <w:top w:val="none" w:sz="0" w:space="0" w:color="auto"/>
                <w:left w:val="none" w:sz="0" w:space="0" w:color="auto"/>
                <w:bottom w:val="none" w:sz="0" w:space="0" w:color="auto"/>
                <w:right w:val="none" w:sz="0" w:space="0" w:color="auto"/>
              </w:divBdr>
            </w:div>
            <w:div w:id="304892372">
              <w:marLeft w:val="0"/>
              <w:marRight w:val="0"/>
              <w:marTop w:val="0"/>
              <w:marBottom w:val="0"/>
              <w:divBdr>
                <w:top w:val="none" w:sz="0" w:space="0" w:color="auto"/>
                <w:left w:val="none" w:sz="0" w:space="0" w:color="auto"/>
                <w:bottom w:val="none" w:sz="0" w:space="0" w:color="auto"/>
                <w:right w:val="none" w:sz="0" w:space="0" w:color="auto"/>
              </w:divBdr>
            </w:div>
            <w:div w:id="1756635659">
              <w:marLeft w:val="0"/>
              <w:marRight w:val="0"/>
              <w:marTop w:val="0"/>
              <w:marBottom w:val="0"/>
              <w:divBdr>
                <w:top w:val="none" w:sz="0" w:space="0" w:color="auto"/>
                <w:left w:val="none" w:sz="0" w:space="0" w:color="auto"/>
                <w:bottom w:val="none" w:sz="0" w:space="0" w:color="auto"/>
                <w:right w:val="none" w:sz="0" w:space="0" w:color="auto"/>
              </w:divBdr>
            </w:div>
            <w:div w:id="585505689">
              <w:marLeft w:val="0"/>
              <w:marRight w:val="0"/>
              <w:marTop w:val="0"/>
              <w:marBottom w:val="0"/>
              <w:divBdr>
                <w:top w:val="none" w:sz="0" w:space="0" w:color="auto"/>
                <w:left w:val="none" w:sz="0" w:space="0" w:color="auto"/>
                <w:bottom w:val="none" w:sz="0" w:space="0" w:color="auto"/>
                <w:right w:val="none" w:sz="0" w:space="0" w:color="auto"/>
              </w:divBdr>
            </w:div>
            <w:div w:id="1227644907">
              <w:marLeft w:val="0"/>
              <w:marRight w:val="0"/>
              <w:marTop w:val="0"/>
              <w:marBottom w:val="0"/>
              <w:divBdr>
                <w:top w:val="none" w:sz="0" w:space="0" w:color="auto"/>
                <w:left w:val="none" w:sz="0" w:space="0" w:color="auto"/>
                <w:bottom w:val="none" w:sz="0" w:space="0" w:color="auto"/>
                <w:right w:val="none" w:sz="0" w:space="0" w:color="auto"/>
              </w:divBdr>
            </w:div>
            <w:div w:id="1805154562">
              <w:marLeft w:val="0"/>
              <w:marRight w:val="0"/>
              <w:marTop w:val="0"/>
              <w:marBottom w:val="0"/>
              <w:divBdr>
                <w:top w:val="none" w:sz="0" w:space="0" w:color="auto"/>
                <w:left w:val="none" w:sz="0" w:space="0" w:color="auto"/>
                <w:bottom w:val="none" w:sz="0" w:space="0" w:color="auto"/>
                <w:right w:val="none" w:sz="0" w:space="0" w:color="auto"/>
              </w:divBdr>
            </w:div>
            <w:div w:id="170501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776306">
      <w:bodyDiv w:val="1"/>
      <w:marLeft w:val="0"/>
      <w:marRight w:val="0"/>
      <w:marTop w:val="0"/>
      <w:marBottom w:val="0"/>
      <w:divBdr>
        <w:top w:val="none" w:sz="0" w:space="0" w:color="auto"/>
        <w:left w:val="none" w:sz="0" w:space="0" w:color="auto"/>
        <w:bottom w:val="none" w:sz="0" w:space="0" w:color="auto"/>
        <w:right w:val="none" w:sz="0" w:space="0" w:color="auto"/>
      </w:divBdr>
      <w:divsChild>
        <w:div w:id="1907109798">
          <w:marLeft w:val="0"/>
          <w:marRight w:val="0"/>
          <w:marTop w:val="0"/>
          <w:marBottom w:val="0"/>
          <w:divBdr>
            <w:top w:val="none" w:sz="0" w:space="0" w:color="auto"/>
            <w:left w:val="none" w:sz="0" w:space="0" w:color="auto"/>
            <w:bottom w:val="none" w:sz="0" w:space="0" w:color="auto"/>
            <w:right w:val="none" w:sz="0" w:space="0" w:color="auto"/>
          </w:divBdr>
        </w:div>
        <w:div w:id="1709839955">
          <w:marLeft w:val="0"/>
          <w:marRight w:val="0"/>
          <w:marTop w:val="0"/>
          <w:marBottom w:val="0"/>
          <w:divBdr>
            <w:top w:val="none" w:sz="0" w:space="0" w:color="auto"/>
            <w:left w:val="none" w:sz="0" w:space="0" w:color="auto"/>
            <w:bottom w:val="none" w:sz="0" w:space="0" w:color="auto"/>
            <w:right w:val="none" w:sz="0" w:space="0" w:color="auto"/>
          </w:divBdr>
        </w:div>
        <w:div w:id="1706253633">
          <w:marLeft w:val="0"/>
          <w:marRight w:val="0"/>
          <w:marTop w:val="0"/>
          <w:marBottom w:val="0"/>
          <w:divBdr>
            <w:top w:val="none" w:sz="0" w:space="0" w:color="auto"/>
            <w:left w:val="none" w:sz="0" w:space="0" w:color="auto"/>
            <w:bottom w:val="none" w:sz="0" w:space="0" w:color="auto"/>
            <w:right w:val="none" w:sz="0" w:space="0" w:color="auto"/>
          </w:divBdr>
        </w:div>
        <w:div w:id="84109598">
          <w:marLeft w:val="0"/>
          <w:marRight w:val="0"/>
          <w:marTop w:val="0"/>
          <w:marBottom w:val="0"/>
          <w:divBdr>
            <w:top w:val="none" w:sz="0" w:space="0" w:color="auto"/>
            <w:left w:val="none" w:sz="0" w:space="0" w:color="auto"/>
            <w:bottom w:val="none" w:sz="0" w:space="0" w:color="auto"/>
            <w:right w:val="none" w:sz="0" w:space="0" w:color="auto"/>
          </w:divBdr>
        </w:div>
        <w:div w:id="697396351">
          <w:marLeft w:val="0"/>
          <w:marRight w:val="0"/>
          <w:marTop w:val="0"/>
          <w:marBottom w:val="0"/>
          <w:divBdr>
            <w:top w:val="none" w:sz="0" w:space="0" w:color="auto"/>
            <w:left w:val="none" w:sz="0" w:space="0" w:color="auto"/>
            <w:bottom w:val="none" w:sz="0" w:space="0" w:color="auto"/>
            <w:right w:val="none" w:sz="0" w:space="0" w:color="auto"/>
          </w:divBdr>
        </w:div>
        <w:div w:id="1744571823">
          <w:marLeft w:val="0"/>
          <w:marRight w:val="0"/>
          <w:marTop w:val="0"/>
          <w:marBottom w:val="0"/>
          <w:divBdr>
            <w:top w:val="none" w:sz="0" w:space="0" w:color="auto"/>
            <w:left w:val="none" w:sz="0" w:space="0" w:color="auto"/>
            <w:bottom w:val="none" w:sz="0" w:space="0" w:color="auto"/>
            <w:right w:val="none" w:sz="0" w:space="0" w:color="auto"/>
          </w:divBdr>
        </w:div>
        <w:div w:id="585726953">
          <w:marLeft w:val="0"/>
          <w:marRight w:val="0"/>
          <w:marTop w:val="0"/>
          <w:marBottom w:val="0"/>
          <w:divBdr>
            <w:top w:val="none" w:sz="0" w:space="0" w:color="auto"/>
            <w:left w:val="none" w:sz="0" w:space="0" w:color="auto"/>
            <w:bottom w:val="none" w:sz="0" w:space="0" w:color="auto"/>
            <w:right w:val="none" w:sz="0" w:space="0" w:color="auto"/>
          </w:divBdr>
        </w:div>
        <w:div w:id="1273703492">
          <w:marLeft w:val="0"/>
          <w:marRight w:val="0"/>
          <w:marTop w:val="0"/>
          <w:marBottom w:val="0"/>
          <w:divBdr>
            <w:top w:val="none" w:sz="0" w:space="0" w:color="auto"/>
            <w:left w:val="none" w:sz="0" w:space="0" w:color="auto"/>
            <w:bottom w:val="none" w:sz="0" w:space="0" w:color="auto"/>
            <w:right w:val="none" w:sz="0" w:space="0" w:color="auto"/>
          </w:divBdr>
        </w:div>
        <w:div w:id="1091701787">
          <w:marLeft w:val="0"/>
          <w:marRight w:val="0"/>
          <w:marTop w:val="0"/>
          <w:marBottom w:val="0"/>
          <w:divBdr>
            <w:top w:val="none" w:sz="0" w:space="0" w:color="auto"/>
            <w:left w:val="none" w:sz="0" w:space="0" w:color="auto"/>
            <w:bottom w:val="none" w:sz="0" w:space="0" w:color="auto"/>
            <w:right w:val="none" w:sz="0" w:space="0" w:color="auto"/>
          </w:divBdr>
        </w:div>
        <w:div w:id="2136172301">
          <w:marLeft w:val="0"/>
          <w:marRight w:val="0"/>
          <w:marTop w:val="0"/>
          <w:marBottom w:val="0"/>
          <w:divBdr>
            <w:top w:val="none" w:sz="0" w:space="0" w:color="auto"/>
            <w:left w:val="none" w:sz="0" w:space="0" w:color="auto"/>
            <w:bottom w:val="none" w:sz="0" w:space="0" w:color="auto"/>
            <w:right w:val="none" w:sz="0" w:space="0" w:color="auto"/>
          </w:divBdr>
        </w:div>
        <w:div w:id="172190347">
          <w:marLeft w:val="0"/>
          <w:marRight w:val="0"/>
          <w:marTop w:val="0"/>
          <w:marBottom w:val="0"/>
          <w:divBdr>
            <w:top w:val="none" w:sz="0" w:space="0" w:color="auto"/>
            <w:left w:val="none" w:sz="0" w:space="0" w:color="auto"/>
            <w:bottom w:val="none" w:sz="0" w:space="0" w:color="auto"/>
            <w:right w:val="none" w:sz="0" w:space="0" w:color="auto"/>
          </w:divBdr>
        </w:div>
        <w:div w:id="240335997">
          <w:marLeft w:val="0"/>
          <w:marRight w:val="0"/>
          <w:marTop w:val="0"/>
          <w:marBottom w:val="0"/>
          <w:divBdr>
            <w:top w:val="none" w:sz="0" w:space="0" w:color="auto"/>
            <w:left w:val="none" w:sz="0" w:space="0" w:color="auto"/>
            <w:bottom w:val="none" w:sz="0" w:space="0" w:color="auto"/>
            <w:right w:val="none" w:sz="0" w:space="0" w:color="auto"/>
          </w:divBdr>
        </w:div>
        <w:div w:id="1984456760">
          <w:marLeft w:val="0"/>
          <w:marRight w:val="0"/>
          <w:marTop w:val="0"/>
          <w:marBottom w:val="0"/>
          <w:divBdr>
            <w:top w:val="none" w:sz="0" w:space="0" w:color="auto"/>
            <w:left w:val="none" w:sz="0" w:space="0" w:color="auto"/>
            <w:bottom w:val="none" w:sz="0" w:space="0" w:color="auto"/>
            <w:right w:val="none" w:sz="0" w:space="0" w:color="auto"/>
          </w:divBdr>
        </w:div>
        <w:div w:id="343947126">
          <w:marLeft w:val="0"/>
          <w:marRight w:val="0"/>
          <w:marTop w:val="0"/>
          <w:marBottom w:val="0"/>
          <w:divBdr>
            <w:top w:val="none" w:sz="0" w:space="0" w:color="auto"/>
            <w:left w:val="none" w:sz="0" w:space="0" w:color="auto"/>
            <w:bottom w:val="none" w:sz="0" w:space="0" w:color="auto"/>
            <w:right w:val="none" w:sz="0" w:space="0" w:color="auto"/>
          </w:divBdr>
        </w:div>
        <w:div w:id="1469663779">
          <w:marLeft w:val="0"/>
          <w:marRight w:val="0"/>
          <w:marTop w:val="0"/>
          <w:marBottom w:val="0"/>
          <w:divBdr>
            <w:top w:val="none" w:sz="0" w:space="0" w:color="auto"/>
            <w:left w:val="none" w:sz="0" w:space="0" w:color="auto"/>
            <w:bottom w:val="none" w:sz="0" w:space="0" w:color="auto"/>
            <w:right w:val="none" w:sz="0" w:space="0" w:color="auto"/>
          </w:divBdr>
        </w:div>
        <w:div w:id="1855728039">
          <w:marLeft w:val="0"/>
          <w:marRight w:val="0"/>
          <w:marTop w:val="0"/>
          <w:marBottom w:val="0"/>
          <w:divBdr>
            <w:top w:val="none" w:sz="0" w:space="0" w:color="auto"/>
            <w:left w:val="none" w:sz="0" w:space="0" w:color="auto"/>
            <w:bottom w:val="none" w:sz="0" w:space="0" w:color="auto"/>
            <w:right w:val="none" w:sz="0" w:space="0" w:color="auto"/>
          </w:divBdr>
        </w:div>
        <w:div w:id="1961379295">
          <w:marLeft w:val="0"/>
          <w:marRight w:val="0"/>
          <w:marTop w:val="0"/>
          <w:marBottom w:val="0"/>
          <w:divBdr>
            <w:top w:val="none" w:sz="0" w:space="0" w:color="auto"/>
            <w:left w:val="none" w:sz="0" w:space="0" w:color="auto"/>
            <w:bottom w:val="none" w:sz="0" w:space="0" w:color="auto"/>
            <w:right w:val="none" w:sz="0" w:space="0" w:color="auto"/>
          </w:divBdr>
        </w:div>
        <w:div w:id="527841358">
          <w:marLeft w:val="0"/>
          <w:marRight w:val="0"/>
          <w:marTop w:val="0"/>
          <w:marBottom w:val="0"/>
          <w:divBdr>
            <w:top w:val="none" w:sz="0" w:space="0" w:color="auto"/>
            <w:left w:val="none" w:sz="0" w:space="0" w:color="auto"/>
            <w:bottom w:val="none" w:sz="0" w:space="0" w:color="auto"/>
            <w:right w:val="none" w:sz="0" w:space="0" w:color="auto"/>
          </w:divBdr>
        </w:div>
        <w:div w:id="446243102">
          <w:marLeft w:val="0"/>
          <w:marRight w:val="0"/>
          <w:marTop w:val="0"/>
          <w:marBottom w:val="0"/>
          <w:divBdr>
            <w:top w:val="none" w:sz="0" w:space="0" w:color="auto"/>
            <w:left w:val="none" w:sz="0" w:space="0" w:color="auto"/>
            <w:bottom w:val="none" w:sz="0" w:space="0" w:color="auto"/>
            <w:right w:val="none" w:sz="0" w:space="0" w:color="auto"/>
          </w:divBdr>
        </w:div>
        <w:div w:id="462843656">
          <w:marLeft w:val="0"/>
          <w:marRight w:val="0"/>
          <w:marTop w:val="0"/>
          <w:marBottom w:val="0"/>
          <w:divBdr>
            <w:top w:val="none" w:sz="0" w:space="0" w:color="auto"/>
            <w:left w:val="none" w:sz="0" w:space="0" w:color="auto"/>
            <w:bottom w:val="none" w:sz="0" w:space="0" w:color="auto"/>
            <w:right w:val="none" w:sz="0" w:space="0" w:color="auto"/>
          </w:divBdr>
        </w:div>
        <w:div w:id="478616226">
          <w:marLeft w:val="0"/>
          <w:marRight w:val="0"/>
          <w:marTop w:val="0"/>
          <w:marBottom w:val="0"/>
          <w:divBdr>
            <w:top w:val="none" w:sz="0" w:space="0" w:color="auto"/>
            <w:left w:val="none" w:sz="0" w:space="0" w:color="auto"/>
            <w:bottom w:val="none" w:sz="0" w:space="0" w:color="auto"/>
            <w:right w:val="none" w:sz="0" w:space="0" w:color="auto"/>
          </w:divBdr>
        </w:div>
        <w:div w:id="1431900051">
          <w:marLeft w:val="0"/>
          <w:marRight w:val="0"/>
          <w:marTop w:val="0"/>
          <w:marBottom w:val="0"/>
          <w:divBdr>
            <w:top w:val="none" w:sz="0" w:space="0" w:color="auto"/>
            <w:left w:val="none" w:sz="0" w:space="0" w:color="auto"/>
            <w:bottom w:val="none" w:sz="0" w:space="0" w:color="auto"/>
            <w:right w:val="none" w:sz="0" w:space="0" w:color="auto"/>
          </w:divBdr>
        </w:div>
        <w:div w:id="113207977">
          <w:marLeft w:val="0"/>
          <w:marRight w:val="0"/>
          <w:marTop w:val="0"/>
          <w:marBottom w:val="0"/>
          <w:divBdr>
            <w:top w:val="none" w:sz="0" w:space="0" w:color="auto"/>
            <w:left w:val="none" w:sz="0" w:space="0" w:color="auto"/>
            <w:bottom w:val="none" w:sz="0" w:space="0" w:color="auto"/>
            <w:right w:val="none" w:sz="0" w:space="0" w:color="auto"/>
          </w:divBdr>
        </w:div>
        <w:div w:id="1893038518">
          <w:marLeft w:val="0"/>
          <w:marRight w:val="0"/>
          <w:marTop w:val="0"/>
          <w:marBottom w:val="0"/>
          <w:divBdr>
            <w:top w:val="none" w:sz="0" w:space="0" w:color="auto"/>
            <w:left w:val="none" w:sz="0" w:space="0" w:color="auto"/>
            <w:bottom w:val="none" w:sz="0" w:space="0" w:color="auto"/>
            <w:right w:val="none" w:sz="0" w:space="0" w:color="auto"/>
          </w:divBdr>
        </w:div>
        <w:div w:id="1823540705">
          <w:marLeft w:val="0"/>
          <w:marRight w:val="0"/>
          <w:marTop w:val="0"/>
          <w:marBottom w:val="0"/>
          <w:divBdr>
            <w:top w:val="none" w:sz="0" w:space="0" w:color="auto"/>
            <w:left w:val="none" w:sz="0" w:space="0" w:color="auto"/>
            <w:bottom w:val="none" w:sz="0" w:space="0" w:color="auto"/>
            <w:right w:val="none" w:sz="0" w:space="0" w:color="auto"/>
          </w:divBdr>
        </w:div>
        <w:div w:id="86123199">
          <w:marLeft w:val="0"/>
          <w:marRight w:val="0"/>
          <w:marTop w:val="0"/>
          <w:marBottom w:val="0"/>
          <w:divBdr>
            <w:top w:val="none" w:sz="0" w:space="0" w:color="auto"/>
            <w:left w:val="none" w:sz="0" w:space="0" w:color="auto"/>
            <w:bottom w:val="none" w:sz="0" w:space="0" w:color="auto"/>
            <w:right w:val="none" w:sz="0" w:space="0" w:color="auto"/>
          </w:divBdr>
        </w:div>
        <w:div w:id="804738497">
          <w:marLeft w:val="0"/>
          <w:marRight w:val="0"/>
          <w:marTop w:val="0"/>
          <w:marBottom w:val="0"/>
          <w:divBdr>
            <w:top w:val="none" w:sz="0" w:space="0" w:color="auto"/>
            <w:left w:val="none" w:sz="0" w:space="0" w:color="auto"/>
            <w:bottom w:val="none" w:sz="0" w:space="0" w:color="auto"/>
            <w:right w:val="none" w:sz="0" w:space="0" w:color="auto"/>
          </w:divBdr>
        </w:div>
        <w:div w:id="163470642">
          <w:marLeft w:val="0"/>
          <w:marRight w:val="0"/>
          <w:marTop w:val="0"/>
          <w:marBottom w:val="0"/>
          <w:divBdr>
            <w:top w:val="none" w:sz="0" w:space="0" w:color="auto"/>
            <w:left w:val="none" w:sz="0" w:space="0" w:color="auto"/>
            <w:bottom w:val="none" w:sz="0" w:space="0" w:color="auto"/>
            <w:right w:val="none" w:sz="0" w:space="0" w:color="auto"/>
          </w:divBdr>
        </w:div>
        <w:div w:id="1828327547">
          <w:marLeft w:val="0"/>
          <w:marRight w:val="0"/>
          <w:marTop w:val="0"/>
          <w:marBottom w:val="0"/>
          <w:divBdr>
            <w:top w:val="none" w:sz="0" w:space="0" w:color="auto"/>
            <w:left w:val="none" w:sz="0" w:space="0" w:color="auto"/>
            <w:bottom w:val="none" w:sz="0" w:space="0" w:color="auto"/>
            <w:right w:val="none" w:sz="0" w:space="0" w:color="auto"/>
          </w:divBdr>
        </w:div>
        <w:div w:id="1804738687">
          <w:marLeft w:val="0"/>
          <w:marRight w:val="0"/>
          <w:marTop w:val="0"/>
          <w:marBottom w:val="0"/>
          <w:divBdr>
            <w:top w:val="none" w:sz="0" w:space="0" w:color="auto"/>
            <w:left w:val="none" w:sz="0" w:space="0" w:color="auto"/>
            <w:bottom w:val="none" w:sz="0" w:space="0" w:color="auto"/>
            <w:right w:val="none" w:sz="0" w:space="0" w:color="auto"/>
          </w:divBdr>
        </w:div>
        <w:div w:id="462507304">
          <w:marLeft w:val="0"/>
          <w:marRight w:val="0"/>
          <w:marTop w:val="0"/>
          <w:marBottom w:val="0"/>
          <w:divBdr>
            <w:top w:val="none" w:sz="0" w:space="0" w:color="auto"/>
            <w:left w:val="none" w:sz="0" w:space="0" w:color="auto"/>
            <w:bottom w:val="none" w:sz="0" w:space="0" w:color="auto"/>
            <w:right w:val="none" w:sz="0" w:space="0" w:color="auto"/>
          </w:divBdr>
        </w:div>
        <w:div w:id="1245072600">
          <w:marLeft w:val="0"/>
          <w:marRight w:val="0"/>
          <w:marTop w:val="0"/>
          <w:marBottom w:val="0"/>
          <w:divBdr>
            <w:top w:val="none" w:sz="0" w:space="0" w:color="auto"/>
            <w:left w:val="none" w:sz="0" w:space="0" w:color="auto"/>
            <w:bottom w:val="none" w:sz="0" w:space="0" w:color="auto"/>
            <w:right w:val="none" w:sz="0" w:space="0" w:color="auto"/>
          </w:divBdr>
        </w:div>
        <w:div w:id="1453792335">
          <w:marLeft w:val="0"/>
          <w:marRight w:val="0"/>
          <w:marTop w:val="0"/>
          <w:marBottom w:val="0"/>
          <w:divBdr>
            <w:top w:val="none" w:sz="0" w:space="0" w:color="auto"/>
            <w:left w:val="none" w:sz="0" w:space="0" w:color="auto"/>
            <w:bottom w:val="none" w:sz="0" w:space="0" w:color="auto"/>
            <w:right w:val="none" w:sz="0" w:space="0" w:color="auto"/>
          </w:divBdr>
        </w:div>
        <w:div w:id="1596940299">
          <w:marLeft w:val="0"/>
          <w:marRight w:val="0"/>
          <w:marTop w:val="0"/>
          <w:marBottom w:val="0"/>
          <w:divBdr>
            <w:top w:val="none" w:sz="0" w:space="0" w:color="auto"/>
            <w:left w:val="none" w:sz="0" w:space="0" w:color="auto"/>
            <w:bottom w:val="none" w:sz="0" w:space="0" w:color="auto"/>
            <w:right w:val="none" w:sz="0" w:space="0" w:color="auto"/>
          </w:divBdr>
        </w:div>
      </w:divsChild>
    </w:div>
    <w:div w:id="460269011">
      <w:bodyDiv w:val="1"/>
      <w:marLeft w:val="0"/>
      <w:marRight w:val="0"/>
      <w:marTop w:val="0"/>
      <w:marBottom w:val="0"/>
      <w:divBdr>
        <w:top w:val="none" w:sz="0" w:space="0" w:color="auto"/>
        <w:left w:val="none" w:sz="0" w:space="0" w:color="auto"/>
        <w:bottom w:val="none" w:sz="0" w:space="0" w:color="auto"/>
        <w:right w:val="none" w:sz="0" w:space="0" w:color="auto"/>
      </w:divBdr>
      <w:divsChild>
        <w:div w:id="473061421">
          <w:marLeft w:val="0"/>
          <w:marRight w:val="0"/>
          <w:marTop w:val="0"/>
          <w:marBottom w:val="0"/>
          <w:divBdr>
            <w:top w:val="none" w:sz="0" w:space="0" w:color="auto"/>
            <w:left w:val="none" w:sz="0" w:space="0" w:color="auto"/>
            <w:bottom w:val="none" w:sz="0" w:space="0" w:color="auto"/>
            <w:right w:val="none" w:sz="0" w:space="0" w:color="auto"/>
          </w:divBdr>
        </w:div>
        <w:div w:id="1413697460">
          <w:marLeft w:val="0"/>
          <w:marRight w:val="0"/>
          <w:marTop w:val="0"/>
          <w:marBottom w:val="0"/>
          <w:divBdr>
            <w:top w:val="none" w:sz="0" w:space="0" w:color="auto"/>
            <w:left w:val="none" w:sz="0" w:space="0" w:color="auto"/>
            <w:bottom w:val="none" w:sz="0" w:space="0" w:color="auto"/>
            <w:right w:val="none" w:sz="0" w:space="0" w:color="auto"/>
          </w:divBdr>
        </w:div>
        <w:div w:id="1730155486">
          <w:marLeft w:val="0"/>
          <w:marRight w:val="0"/>
          <w:marTop w:val="0"/>
          <w:marBottom w:val="0"/>
          <w:divBdr>
            <w:top w:val="none" w:sz="0" w:space="0" w:color="auto"/>
            <w:left w:val="none" w:sz="0" w:space="0" w:color="auto"/>
            <w:bottom w:val="none" w:sz="0" w:space="0" w:color="auto"/>
            <w:right w:val="none" w:sz="0" w:space="0" w:color="auto"/>
          </w:divBdr>
        </w:div>
        <w:div w:id="892735549">
          <w:marLeft w:val="0"/>
          <w:marRight w:val="0"/>
          <w:marTop w:val="0"/>
          <w:marBottom w:val="0"/>
          <w:divBdr>
            <w:top w:val="none" w:sz="0" w:space="0" w:color="auto"/>
            <w:left w:val="none" w:sz="0" w:space="0" w:color="auto"/>
            <w:bottom w:val="none" w:sz="0" w:space="0" w:color="auto"/>
            <w:right w:val="none" w:sz="0" w:space="0" w:color="auto"/>
          </w:divBdr>
        </w:div>
        <w:div w:id="684406564">
          <w:marLeft w:val="0"/>
          <w:marRight w:val="0"/>
          <w:marTop w:val="0"/>
          <w:marBottom w:val="0"/>
          <w:divBdr>
            <w:top w:val="none" w:sz="0" w:space="0" w:color="auto"/>
            <w:left w:val="none" w:sz="0" w:space="0" w:color="auto"/>
            <w:bottom w:val="none" w:sz="0" w:space="0" w:color="auto"/>
            <w:right w:val="none" w:sz="0" w:space="0" w:color="auto"/>
          </w:divBdr>
        </w:div>
        <w:div w:id="672496262">
          <w:marLeft w:val="0"/>
          <w:marRight w:val="0"/>
          <w:marTop w:val="0"/>
          <w:marBottom w:val="0"/>
          <w:divBdr>
            <w:top w:val="none" w:sz="0" w:space="0" w:color="auto"/>
            <w:left w:val="none" w:sz="0" w:space="0" w:color="auto"/>
            <w:bottom w:val="none" w:sz="0" w:space="0" w:color="auto"/>
            <w:right w:val="none" w:sz="0" w:space="0" w:color="auto"/>
          </w:divBdr>
        </w:div>
        <w:div w:id="135991955">
          <w:marLeft w:val="0"/>
          <w:marRight w:val="0"/>
          <w:marTop w:val="0"/>
          <w:marBottom w:val="0"/>
          <w:divBdr>
            <w:top w:val="none" w:sz="0" w:space="0" w:color="auto"/>
            <w:left w:val="none" w:sz="0" w:space="0" w:color="auto"/>
            <w:bottom w:val="none" w:sz="0" w:space="0" w:color="auto"/>
            <w:right w:val="none" w:sz="0" w:space="0" w:color="auto"/>
          </w:divBdr>
        </w:div>
        <w:div w:id="1786801782">
          <w:marLeft w:val="0"/>
          <w:marRight w:val="0"/>
          <w:marTop w:val="0"/>
          <w:marBottom w:val="0"/>
          <w:divBdr>
            <w:top w:val="none" w:sz="0" w:space="0" w:color="auto"/>
            <w:left w:val="none" w:sz="0" w:space="0" w:color="auto"/>
            <w:bottom w:val="none" w:sz="0" w:space="0" w:color="auto"/>
            <w:right w:val="none" w:sz="0" w:space="0" w:color="auto"/>
          </w:divBdr>
        </w:div>
        <w:div w:id="1422215484">
          <w:marLeft w:val="0"/>
          <w:marRight w:val="0"/>
          <w:marTop w:val="0"/>
          <w:marBottom w:val="0"/>
          <w:divBdr>
            <w:top w:val="none" w:sz="0" w:space="0" w:color="auto"/>
            <w:left w:val="none" w:sz="0" w:space="0" w:color="auto"/>
            <w:bottom w:val="none" w:sz="0" w:space="0" w:color="auto"/>
            <w:right w:val="none" w:sz="0" w:space="0" w:color="auto"/>
          </w:divBdr>
        </w:div>
        <w:div w:id="325745576">
          <w:marLeft w:val="0"/>
          <w:marRight w:val="0"/>
          <w:marTop w:val="0"/>
          <w:marBottom w:val="0"/>
          <w:divBdr>
            <w:top w:val="none" w:sz="0" w:space="0" w:color="auto"/>
            <w:left w:val="none" w:sz="0" w:space="0" w:color="auto"/>
            <w:bottom w:val="none" w:sz="0" w:space="0" w:color="auto"/>
            <w:right w:val="none" w:sz="0" w:space="0" w:color="auto"/>
          </w:divBdr>
        </w:div>
        <w:div w:id="64114665">
          <w:marLeft w:val="0"/>
          <w:marRight w:val="0"/>
          <w:marTop w:val="0"/>
          <w:marBottom w:val="0"/>
          <w:divBdr>
            <w:top w:val="none" w:sz="0" w:space="0" w:color="auto"/>
            <w:left w:val="none" w:sz="0" w:space="0" w:color="auto"/>
            <w:bottom w:val="none" w:sz="0" w:space="0" w:color="auto"/>
            <w:right w:val="none" w:sz="0" w:space="0" w:color="auto"/>
          </w:divBdr>
        </w:div>
        <w:div w:id="839734792">
          <w:marLeft w:val="0"/>
          <w:marRight w:val="0"/>
          <w:marTop w:val="0"/>
          <w:marBottom w:val="0"/>
          <w:divBdr>
            <w:top w:val="none" w:sz="0" w:space="0" w:color="auto"/>
            <w:left w:val="none" w:sz="0" w:space="0" w:color="auto"/>
            <w:bottom w:val="none" w:sz="0" w:space="0" w:color="auto"/>
            <w:right w:val="none" w:sz="0" w:space="0" w:color="auto"/>
          </w:divBdr>
        </w:div>
        <w:div w:id="1441607754">
          <w:marLeft w:val="0"/>
          <w:marRight w:val="0"/>
          <w:marTop w:val="0"/>
          <w:marBottom w:val="0"/>
          <w:divBdr>
            <w:top w:val="none" w:sz="0" w:space="0" w:color="auto"/>
            <w:left w:val="none" w:sz="0" w:space="0" w:color="auto"/>
            <w:bottom w:val="none" w:sz="0" w:space="0" w:color="auto"/>
            <w:right w:val="none" w:sz="0" w:space="0" w:color="auto"/>
          </w:divBdr>
        </w:div>
        <w:div w:id="1704212075">
          <w:marLeft w:val="0"/>
          <w:marRight w:val="0"/>
          <w:marTop w:val="0"/>
          <w:marBottom w:val="0"/>
          <w:divBdr>
            <w:top w:val="none" w:sz="0" w:space="0" w:color="auto"/>
            <w:left w:val="none" w:sz="0" w:space="0" w:color="auto"/>
            <w:bottom w:val="none" w:sz="0" w:space="0" w:color="auto"/>
            <w:right w:val="none" w:sz="0" w:space="0" w:color="auto"/>
          </w:divBdr>
        </w:div>
        <w:div w:id="699670654">
          <w:marLeft w:val="0"/>
          <w:marRight w:val="0"/>
          <w:marTop w:val="0"/>
          <w:marBottom w:val="0"/>
          <w:divBdr>
            <w:top w:val="none" w:sz="0" w:space="0" w:color="auto"/>
            <w:left w:val="none" w:sz="0" w:space="0" w:color="auto"/>
            <w:bottom w:val="none" w:sz="0" w:space="0" w:color="auto"/>
            <w:right w:val="none" w:sz="0" w:space="0" w:color="auto"/>
          </w:divBdr>
        </w:div>
        <w:div w:id="645747298">
          <w:marLeft w:val="0"/>
          <w:marRight w:val="0"/>
          <w:marTop w:val="0"/>
          <w:marBottom w:val="0"/>
          <w:divBdr>
            <w:top w:val="none" w:sz="0" w:space="0" w:color="auto"/>
            <w:left w:val="none" w:sz="0" w:space="0" w:color="auto"/>
            <w:bottom w:val="none" w:sz="0" w:space="0" w:color="auto"/>
            <w:right w:val="none" w:sz="0" w:space="0" w:color="auto"/>
          </w:divBdr>
        </w:div>
        <w:div w:id="2053337615">
          <w:marLeft w:val="0"/>
          <w:marRight w:val="0"/>
          <w:marTop w:val="0"/>
          <w:marBottom w:val="0"/>
          <w:divBdr>
            <w:top w:val="none" w:sz="0" w:space="0" w:color="auto"/>
            <w:left w:val="none" w:sz="0" w:space="0" w:color="auto"/>
            <w:bottom w:val="none" w:sz="0" w:space="0" w:color="auto"/>
            <w:right w:val="none" w:sz="0" w:space="0" w:color="auto"/>
          </w:divBdr>
        </w:div>
        <w:div w:id="1212421776">
          <w:marLeft w:val="0"/>
          <w:marRight w:val="0"/>
          <w:marTop w:val="0"/>
          <w:marBottom w:val="0"/>
          <w:divBdr>
            <w:top w:val="none" w:sz="0" w:space="0" w:color="auto"/>
            <w:left w:val="none" w:sz="0" w:space="0" w:color="auto"/>
            <w:bottom w:val="none" w:sz="0" w:space="0" w:color="auto"/>
            <w:right w:val="none" w:sz="0" w:space="0" w:color="auto"/>
          </w:divBdr>
        </w:div>
        <w:div w:id="560021574">
          <w:marLeft w:val="0"/>
          <w:marRight w:val="0"/>
          <w:marTop w:val="0"/>
          <w:marBottom w:val="0"/>
          <w:divBdr>
            <w:top w:val="none" w:sz="0" w:space="0" w:color="auto"/>
            <w:left w:val="none" w:sz="0" w:space="0" w:color="auto"/>
            <w:bottom w:val="none" w:sz="0" w:space="0" w:color="auto"/>
            <w:right w:val="none" w:sz="0" w:space="0" w:color="auto"/>
          </w:divBdr>
        </w:div>
        <w:div w:id="1611474055">
          <w:marLeft w:val="0"/>
          <w:marRight w:val="0"/>
          <w:marTop w:val="0"/>
          <w:marBottom w:val="0"/>
          <w:divBdr>
            <w:top w:val="none" w:sz="0" w:space="0" w:color="auto"/>
            <w:left w:val="none" w:sz="0" w:space="0" w:color="auto"/>
            <w:bottom w:val="none" w:sz="0" w:space="0" w:color="auto"/>
            <w:right w:val="none" w:sz="0" w:space="0" w:color="auto"/>
          </w:divBdr>
        </w:div>
        <w:div w:id="1487437378">
          <w:marLeft w:val="0"/>
          <w:marRight w:val="0"/>
          <w:marTop w:val="0"/>
          <w:marBottom w:val="0"/>
          <w:divBdr>
            <w:top w:val="none" w:sz="0" w:space="0" w:color="auto"/>
            <w:left w:val="none" w:sz="0" w:space="0" w:color="auto"/>
            <w:bottom w:val="none" w:sz="0" w:space="0" w:color="auto"/>
            <w:right w:val="none" w:sz="0" w:space="0" w:color="auto"/>
          </w:divBdr>
        </w:div>
        <w:div w:id="1662343174">
          <w:marLeft w:val="0"/>
          <w:marRight w:val="0"/>
          <w:marTop w:val="0"/>
          <w:marBottom w:val="0"/>
          <w:divBdr>
            <w:top w:val="none" w:sz="0" w:space="0" w:color="auto"/>
            <w:left w:val="none" w:sz="0" w:space="0" w:color="auto"/>
            <w:bottom w:val="none" w:sz="0" w:space="0" w:color="auto"/>
            <w:right w:val="none" w:sz="0" w:space="0" w:color="auto"/>
          </w:divBdr>
        </w:div>
        <w:div w:id="31007392">
          <w:marLeft w:val="0"/>
          <w:marRight w:val="0"/>
          <w:marTop w:val="0"/>
          <w:marBottom w:val="0"/>
          <w:divBdr>
            <w:top w:val="none" w:sz="0" w:space="0" w:color="auto"/>
            <w:left w:val="none" w:sz="0" w:space="0" w:color="auto"/>
            <w:bottom w:val="none" w:sz="0" w:space="0" w:color="auto"/>
            <w:right w:val="none" w:sz="0" w:space="0" w:color="auto"/>
          </w:divBdr>
        </w:div>
        <w:div w:id="1861360194">
          <w:marLeft w:val="0"/>
          <w:marRight w:val="0"/>
          <w:marTop w:val="0"/>
          <w:marBottom w:val="0"/>
          <w:divBdr>
            <w:top w:val="none" w:sz="0" w:space="0" w:color="auto"/>
            <w:left w:val="none" w:sz="0" w:space="0" w:color="auto"/>
            <w:bottom w:val="none" w:sz="0" w:space="0" w:color="auto"/>
            <w:right w:val="none" w:sz="0" w:space="0" w:color="auto"/>
          </w:divBdr>
        </w:div>
        <w:div w:id="1763606208">
          <w:marLeft w:val="0"/>
          <w:marRight w:val="0"/>
          <w:marTop w:val="0"/>
          <w:marBottom w:val="0"/>
          <w:divBdr>
            <w:top w:val="none" w:sz="0" w:space="0" w:color="auto"/>
            <w:left w:val="none" w:sz="0" w:space="0" w:color="auto"/>
            <w:bottom w:val="none" w:sz="0" w:space="0" w:color="auto"/>
            <w:right w:val="none" w:sz="0" w:space="0" w:color="auto"/>
          </w:divBdr>
        </w:div>
        <w:div w:id="1219126381">
          <w:marLeft w:val="0"/>
          <w:marRight w:val="0"/>
          <w:marTop w:val="0"/>
          <w:marBottom w:val="0"/>
          <w:divBdr>
            <w:top w:val="none" w:sz="0" w:space="0" w:color="auto"/>
            <w:left w:val="none" w:sz="0" w:space="0" w:color="auto"/>
            <w:bottom w:val="none" w:sz="0" w:space="0" w:color="auto"/>
            <w:right w:val="none" w:sz="0" w:space="0" w:color="auto"/>
          </w:divBdr>
        </w:div>
        <w:div w:id="210263674">
          <w:marLeft w:val="0"/>
          <w:marRight w:val="0"/>
          <w:marTop w:val="0"/>
          <w:marBottom w:val="0"/>
          <w:divBdr>
            <w:top w:val="none" w:sz="0" w:space="0" w:color="auto"/>
            <w:left w:val="none" w:sz="0" w:space="0" w:color="auto"/>
            <w:bottom w:val="none" w:sz="0" w:space="0" w:color="auto"/>
            <w:right w:val="none" w:sz="0" w:space="0" w:color="auto"/>
          </w:divBdr>
        </w:div>
        <w:div w:id="1680888660">
          <w:marLeft w:val="0"/>
          <w:marRight w:val="0"/>
          <w:marTop w:val="0"/>
          <w:marBottom w:val="0"/>
          <w:divBdr>
            <w:top w:val="none" w:sz="0" w:space="0" w:color="auto"/>
            <w:left w:val="none" w:sz="0" w:space="0" w:color="auto"/>
            <w:bottom w:val="none" w:sz="0" w:space="0" w:color="auto"/>
            <w:right w:val="none" w:sz="0" w:space="0" w:color="auto"/>
          </w:divBdr>
        </w:div>
        <w:div w:id="250818176">
          <w:marLeft w:val="0"/>
          <w:marRight w:val="0"/>
          <w:marTop w:val="0"/>
          <w:marBottom w:val="0"/>
          <w:divBdr>
            <w:top w:val="none" w:sz="0" w:space="0" w:color="auto"/>
            <w:left w:val="none" w:sz="0" w:space="0" w:color="auto"/>
            <w:bottom w:val="none" w:sz="0" w:space="0" w:color="auto"/>
            <w:right w:val="none" w:sz="0" w:space="0" w:color="auto"/>
          </w:divBdr>
        </w:div>
        <w:div w:id="1580094971">
          <w:marLeft w:val="0"/>
          <w:marRight w:val="0"/>
          <w:marTop w:val="0"/>
          <w:marBottom w:val="0"/>
          <w:divBdr>
            <w:top w:val="none" w:sz="0" w:space="0" w:color="auto"/>
            <w:left w:val="none" w:sz="0" w:space="0" w:color="auto"/>
            <w:bottom w:val="none" w:sz="0" w:space="0" w:color="auto"/>
            <w:right w:val="none" w:sz="0" w:space="0" w:color="auto"/>
          </w:divBdr>
        </w:div>
        <w:div w:id="584610389">
          <w:marLeft w:val="0"/>
          <w:marRight w:val="0"/>
          <w:marTop w:val="0"/>
          <w:marBottom w:val="0"/>
          <w:divBdr>
            <w:top w:val="none" w:sz="0" w:space="0" w:color="auto"/>
            <w:left w:val="none" w:sz="0" w:space="0" w:color="auto"/>
            <w:bottom w:val="none" w:sz="0" w:space="0" w:color="auto"/>
            <w:right w:val="none" w:sz="0" w:space="0" w:color="auto"/>
          </w:divBdr>
        </w:div>
        <w:div w:id="1476527707">
          <w:marLeft w:val="0"/>
          <w:marRight w:val="0"/>
          <w:marTop w:val="0"/>
          <w:marBottom w:val="0"/>
          <w:divBdr>
            <w:top w:val="none" w:sz="0" w:space="0" w:color="auto"/>
            <w:left w:val="none" w:sz="0" w:space="0" w:color="auto"/>
            <w:bottom w:val="none" w:sz="0" w:space="0" w:color="auto"/>
            <w:right w:val="none" w:sz="0" w:space="0" w:color="auto"/>
          </w:divBdr>
        </w:div>
        <w:div w:id="648562520">
          <w:marLeft w:val="0"/>
          <w:marRight w:val="0"/>
          <w:marTop w:val="0"/>
          <w:marBottom w:val="0"/>
          <w:divBdr>
            <w:top w:val="none" w:sz="0" w:space="0" w:color="auto"/>
            <w:left w:val="none" w:sz="0" w:space="0" w:color="auto"/>
            <w:bottom w:val="none" w:sz="0" w:space="0" w:color="auto"/>
            <w:right w:val="none" w:sz="0" w:space="0" w:color="auto"/>
          </w:divBdr>
        </w:div>
        <w:div w:id="1544438275">
          <w:marLeft w:val="0"/>
          <w:marRight w:val="0"/>
          <w:marTop w:val="0"/>
          <w:marBottom w:val="0"/>
          <w:divBdr>
            <w:top w:val="none" w:sz="0" w:space="0" w:color="auto"/>
            <w:left w:val="none" w:sz="0" w:space="0" w:color="auto"/>
            <w:bottom w:val="none" w:sz="0" w:space="0" w:color="auto"/>
            <w:right w:val="none" w:sz="0" w:space="0" w:color="auto"/>
          </w:divBdr>
        </w:div>
      </w:divsChild>
    </w:div>
    <w:div w:id="514226169">
      <w:bodyDiv w:val="1"/>
      <w:marLeft w:val="0"/>
      <w:marRight w:val="0"/>
      <w:marTop w:val="0"/>
      <w:marBottom w:val="0"/>
      <w:divBdr>
        <w:top w:val="none" w:sz="0" w:space="0" w:color="auto"/>
        <w:left w:val="none" w:sz="0" w:space="0" w:color="auto"/>
        <w:bottom w:val="none" w:sz="0" w:space="0" w:color="auto"/>
        <w:right w:val="none" w:sz="0" w:space="0" w:color="auto"/>
      </w:divBdr>
    </w:div>
    <w:div w:id="516309795">
      <w:bodyDiv w:val="1"/>
      <w:marLeft w:val="0"/>
      <w:marRight w:val="0"/>
      <w:marTop w:val="0"/>
      <w:marBottom w:val="0"/>
      <w:divBdr>
        <w:top w:val="none" w:sz="0" w:space="0" w:color="auto"/>
        <w:left w:val="none" w:sz="0" w:space="0" w:color="auto"/>
        <w:bottom w:val="none" w:sz="0" w:space="0" w:color="auto"/>
        <w:right w:val="none" w:sz="0" w:space="0" w:color="auto"/>
      </w:divBdr>
      <w:divsChild>
        <w:div w:id="1698852336">
          <w:marLeft w:val="0"/>
          <w:marRight w:val="0"/>
          <w:marTop w:val="0"/>
          <w:marBottom w:val="0"/>
          <w:divBdr>
            <w:top w:val="none" w:sz="0" w:space="0" w:color="auto"/>
            <w:left w:val="none" w:sz="0" w:space="0" w:color="auto"/>
            <w:bottom w:val="none" w:sz="0" w:space="0" w:color="auto"/>
            <w:right w:val="none" w:sz="0" w:space="0" w:color="auto"/>
          </w:divBdr>
        </w:div>
        <w:div w:id="973828265">
          <w:marLeft w:val="0"/>
          <w:marRight w:val="0"/>
          <w:marTop w:val="0"/>
          <w:marBottom w:val="0"/>
          <w:divBdr>
            <w:top w:val="none" w:sz="0" w:space="0" w:color="auto"/>
            <w:left w:val="none" w:sz="0" w:space="0" w:color="auto"/>
            <w:bottom w:val="none" w:sz="0" w:space="0" w:color="auto"/>
            <w:right w:val="none" w:sz="0" w:space="0" w:color="auto"/>
          </w:divBdr>
        </w:div>
      </w:divsChild>
    </w:div>
    <w:div w:id="524253748">
      <w:bodyDiv w:val="1"/>
      <w:marLeft w:val="0"/>
      <w:marRight w:val="0"/>
      <w:marTop w:val="0"/>
      <w:marBottom w:val="0"/>
      <w:divBdr>
        <w:top w:val="none" w:sz="0" w:space="0" w:color="auto"/>
        <w:left w:val="none" w:sz="0" w:space="0" w:color="auto"/>
        <w:bottom w:val="none" w:sz="0" w:space="0" w:color="auto"/>
        <w:right w:val="none" w:sz="0" w:space="0" w:color="auto"/>
      </w:divBdr>
    </w:div>
    <w:div w:id="534970745">
      <w:bodyDiv w:val="1"/>
      <w:marLeft w:val="0"/>
      <w:marRight w:val="0"/>
      <w:marTop w:val="0"/>
      <w:marBottom w:val="0"/>
      <w:divBdr>
        <w:top w:val="none" w:sz="0" w:space="0" w:color="auto"/>
        <w:left w:val="none" w:sz="0" w:space="0" w:color="auto"/>
        <w:bottom w:val="none" w:sz="0" w:space="0" w:color="auto"/>
        <w:right w:val="none" w:sz="0" w:space="0" w:color="auto"/>
      </w:divBdr>
    </w:div>
    <w:div w:id="543103085">
      <w:bodyDiv w:val="1"/>
      <w:marLeft w:val="0"/>
      <w:marRight w:val="0"/>
      <w:marTop w:val="0"/>
      <w:marBottom w:val="0"/>
      <w:divBdr>
        <w:top w:val="none" w:sz="0" w:space="0" w:color="auto"/>
        <w:left w:val="none" w:sz="0" w:space="0" w:color="auto"/>
        <w:bottom w:val="none" w:sz="0" w:space="0" w:color="auto"/>
        <w:right w:val="none" w:sz="0" w:space="0" w:color="auto"/>
      </w:divBdr>
      <w:divsChild>
        <w:div w:id="9260729">
          <w:marLeft w:val="0"/>
          <w:marRight w:val="0"/>
          <w:marTop w:val="0"/>
          <w:marBottom w:val="0"/>
          <w:divBdr>
            <w:top w:val="none" w:sz="0" w:space="0" w:color="auto"/>
            <w:left w:val="none" w:sz="0" w:space="0" w:color="auto"/>
            <w:bottom w:val="none" w:sz="0" w:space="0" w:color="auto"/>
            <w:right w:val="none" w:sz="0" w:space="0" w:color="auto"/>
          </w:divBdr>
          <w:divsChild>
            <w:div w:id="432557278">
              <w:marLeft w:val="0"/>
              <w:marRight w:val="0"/>
              <w:marTop w:val="0"/>
              <w:marBottom w:val="0"/>
              <w:divBdr>
                <w:top w:val="none" w:sz="0" w:space="0" w:color="auto"/>
                <w:left w:val="none" w:sz="0" w:space="0" w:color="auto"/>
                <w:bottom w:val="none" w:sz="0" w:space="0" w:color="auto"/>
                <w:right w:val="none" w:sz="0" w:space="0" w:color="auto"/>
              </w:divBdr>
            </w:div>
          </w:divsChild>
        </w:div>
        <w:div w:id="1162622023">
          <w:marLeft w:val="0"/>
          <w:marRight w:val="0"/>
          <w:marTop w:val="0"/>
          <w:marBottom w:val="0"/>
          <w:divBdr>
            <w:top w:val="none" w:sz="0" w:space="0" w:color="auto"/>
            <w:left w:val="none" w:sz="0" w:space="0" w:color="auto"/>
            <w:bottom w:val="none" w:sz="0" w:space="0" w:color="auto"/>
            <w:right w:val="none" w:sz="0" w:space="0" w:color="auto"/>
          </w:divBdr>
          <w:divsChild>
            <w:div w:id="611866055">
              <w:marLeft w:val="0"/>
              <w:marRight w:val="0"/>
              <w:marTop w:val="0"/>
              <w:marBottom w:val="0"/>
              <w:divBdr>
                <w:top w:val="none" w:sz="0" w:space="0" w:color="auto"/>
                <w:left w:val="none" w:sz="0" w:space="0" w:color="auto"/>
                <w:bottom w:val="none" w:sz="0" w:space="0" w:color="auto"/>
                <w:right w:val="none" w:sz="0" w:space="0" w:color="auto"/>
              </w:divBdr>
            </w:div>
          </w:divsChild>
        </w:div>
        <w:div w:id="2033532126">
          <w:marLeft w:val="0"/>
          <w:marRight w:val="0"/>
          <w:marTop w:val="0"/>
          <w:marBottom w:val="0"/>
          <w:divBdr>
            <w:top w:val="none" w:sz="0" w:space="0" w:color="auto"/>
            <w:left w:val="none" w:sz="0" w:space="0" w:color="auto"/>
            <w:bottom w:val="none" w:sz="0" w:space="0" w:color="auto"/>
            <w:right w:val="none" w:sz="0" w:space="0" w:color="auto"/>
          </w:divBdr>
          <w:divsChild>
            <w:div w:id="50131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484139">
      <w:bodyDiv w:val="1"/>
      <w:marLeft w:val="0"/>
      <w:marRight w:val="0"/>
      <w:marTop w:val="0"/>
      <w:marBottom w:val="0"/>
      <w:divBdr>
        <w:top w:val="none" w:sz="0" w:space="0" w:color="auto"/>
        <w:left w:val="none" w:sz="0" w:space="0" w:color="auto"/>
        <w:bottom w:val="none" w:sz="0" w:space="0" w:color="auto"/>
        <w:right w:val="none" w:sz="0" w:space="0" w:color="auto"/>
      </w:divBdr>
      <w:divsChild>
        <w:div w:id="2060007300">
          <w:marLeft w:val="0"/>
          <w:marRight w:val="0"/>
          <w:marTop w:val="0"/>
          <w:marBottom w:val="0"/>
          <w:divBdr>
            <w:top w:val="none" w:sz="0" w:space="0" w:color="auto"/>
            <w:left w:val="none" w:sz="0" w:space="0" w:color="auto"/>
            <w:bottom w:val="none" w:sz="0" w:space="0" w:color="auto"/>
            <w:right w:val="none" w:sz="0" w:space="0" w:color="auto"/>
          </w:divBdr>
          <w:divsChild>
            <w:div w:id="447745014">
              <w:marLeft w:val="0"/>
              <w:marRight w:val="0"/>
              <w:marTop w:val="0"/>
              <w:marBottom w:val="0"/>
              <w:divBdr>
                <w:top w:val="none" w:sz="0" w:space="0" w:color="auto"/>
                <w:left w:val="none" w:sz="0" w:space="0" w:color="auto"/>
                <w:bottom w:val="none" w:sz="0" w:space="0" w:color="auto"/>
                <w:right w:val="none" w:sz="0" w:space="0" w:color="auto"/>
              </w:divBdr>
            </w:div>
            <w:div w:id="318928258">
              <w:marLeft w:val="0"/>
              <w:marRight w:val="0"/>
              <w:marTop w:val="0"/>
              <w:marBottom w:val="0"/>
              <w:divBdr>
                <w:top w:val="none" w:sz="0" w:space="0" w:color="auto"/>
                <w:left w:val="none" w:sz="0" w:space="0" w:color="auto"/>
                <w:bottom w:val="none" w:sz="0" w:space="0" w:color="auto"/>
                <w:right w:val="none" w:sz="0" w:space="0" w:color="auto"/>
              </w:divBdr>
            </w:div>
            <w:div w:id="783619399">
              <w:marLeft w:val="0"/>
              <w:marRight w:val="0"/>
              <w:marTop w:val="0"/>
              <w:marBottom w:val="0"/>
              <w:divBdr>
                <w:top w:val="none" w:sz="0" w:space="0" w:color="auto"/>
                <w:left w:val="none" w:sz="0" w:space="0" w:color="auto"/>
                <w:bottom w:val="none" w:sz="0" w:space="0" w:color="auto"/>
                <w:right w:val="none" w:sz="0" w:space="0" w:color="auto"/>
              </w:divBdr>
            </w:div>
            <w:div w:id="991566146">
              <w:marLeft w:val="0"/>
              <w:marRight w:val="0"/>
              <w:marTop w:val="0"/>
              <w:marBottom w:val="0"/>
              <w:divBdr>
                <w:top w:val="none" w:sz="0" w:space="0" w:color="auto"/>
                <w:left w:val="none" w:sz="0" w:space="0" w:color="auto"/>
                <w:bottom w:val="none" w:sz="0" w:space="0" w:color="auto"/>
                <w:right w:val="none" w:sz="0" w:space="0" w:color="auto"/>
              </w:divBdr>
            </w:div>
          </w:divsChild>
        </w:div>
        <w:div w:id="1113600208">
          <w:marLeft w:val="0"/>
          <w:marRight w:val="0"/>
          <w:marTop w:val="0"/>
          <w:marBottom w:val="0"/>
          <w:divBdr>
            <w:top w:val="none" w:sz="0" w:space="0" w:color="auto"/>
            <w:left w:val="none" w:sz="0" w:space="0" w:color="auto"/>
            <w:bottom w:val="none" w:sz="0" w:space="0" w:color="auto"/>
            <w:right w:val="none" w:sz="0" w:space="0" w:color="auto"/>
          </w:divBdr>
          <w:divsChild>
            <w:div w:id="1138718979">
              <w:marLeft w:val="0"/>
              <w:marRight w:val="0"/>
              <w:marTop w:val="0"/>
              <w:marBottom w:val="0"/>
              <w:divBdr>
                <w:top w:val="none" w:sz="0" w:space="0" w:color="auto"/>
                <w:left w:val="none" w:sz="0" w:space="0" w:color="auto"/>
                <w:bottom w:val="none" w:sz="0" w:space="0" w:color="auto"/>
                <w:right w:val="none" w:sz="0" w:space="0" w:color="auto"/>
              </w:divBdr>
            </w:div>
            <w:div w:id="148597754">
              <w:marLeft w:val="0"/>
              <w:marRight w:val="0"/>
              <w:marTop w:val="0"/>
              <w:marBottom w:val="0"/>
              <w:divBdr>
                <w:top w:val="none" w:sz="0" w:space="0" w:color="auto"/>
                <w:left w:val="none" w:sz="0" w:space="0" w:color="auto"/>
                <w:bottom w:val="none" w:sz="0" w:space="0" w:color="auto"/>
                <w:right w:val="none" w:sz="0" w:space="0" w:color="auto"/>
              </w:divBdr>
            </w:div>
            <w:div w:id="264463951">
              <w:marLeft w:val="0"/>
              <w:marRight w:val="0"/>
              <w:marTop w:val="0"/>
              <w:marBottom w:val="0"/>
              <w:divBdr>
                <w:top w:val="none" w:sz="0" w:space="0" w:color="auto"/>
                <w:left w:val="none" w:sz="0" w:space="0" w:color="auto"/>
                <w:bottom w:val="none" w:sz="0" w:space="0" w:color="auto"/>
                <w:right w:val="none" w:sz="0" w:space="0" w:color="auto"/>
              </w:divBdr>
            </w:div>
            <w:div w:id="2085299879">
              <w:marLeft w:val="0"/>
              <w:marRight w:val="0"/>
              <w:marTop w:val="0"/>
              <w:marBottom w:val="0"/>
              <w:divBdr>
                <w:top w:val="none" w:sz="0" w:space="0" w:color="auto"/>
                <w:left w:val="none" w:sz="0" w:space="0" w:color="auto"/>
                <w:bottom w:val="none" w:sz="0" w:space="0" w:color="auto"/>
                <w:right w:val="none" w:sz="0" w:space="0" w:color="auto"/>
              </w:divBdr>
            </w:div>
            <w:div w:id="1853227172">
              <w:marLeft w:val="0"/>
              <w:marRight w:val="0"/>
              <w:marTop w:val="0"/>
              <w:marBottom w:val="0"/>
              <w:divBdr>
                <w:top w:val="none" w:sz="0" w:space="0" w:color="auto"/>
                <w:left w:val="none" w:sz="0" w:space="0" w:color="auto"/>
                <w:bottom w:val="none" w:sz="0" w:space="0" w:color="auto"/>
                <w:right w:val="none" w:sz="0" w:space="0" w:color="auto"/>
              </w:divBdr>
            </w:div>
            <w:div w:id="442119490">
              <w:marLeft w:val="0"/>
              <w:marRight w:val="0"/>
              <w:marTop w:val="0"/>
              <w:marBottom w:val="0"/>
              <w:divBdr>
                <w:top w:val="none" w:sz="0" w:space="0" w:color="auto"/>
                <w:left w:val="none" w:sz="0" w:space="0" w:color="auto"/>
                <w:bottom w:val="none" w:sz="0" w:space="0" w:color="auto"/>
                <w:right w:val="none" w:sz="0" w:space="0" w:color="auto"/>
              </w:divBdr>
            </w:div>
            <w:div w:id="943464864">
              <w:marLeft w:val="0"/>
              <w:marRight w:val="0"/>
              <w:marTop w:val="0"/>
              <w:marBottom w:val="0"/>
              <w:divBdr>
                <w:top w:val="none" w:sz="0" w:space="0" w:color="auto"/>
                <w:left w:val="none" w:sz="0" w:space="0" w:color="auto"/>
                <w:bottom w:val="none" w:sz="0" w:space="0" w:color="auto"/>
                <w:right w:val="none" w:sz="0" w:space="0" w:color="auto"/>
              </w:divBdr>
            </w:div>
            <w:div w:id="2028630386">
              <w:marLeft w:val="0"/>
              <w:marRight w:val="0"/>
              <w:marTop w:val="0"/>
              <w:marBottom w:val="0"/>
              <w:divBdr>
                <w:top w:val="none" w:sz="0" w:space="0" w:color="auto"/>
                <w:left w:val="none" w:sz="0" w:space="0" w:color="auto"/>
                <w:bottom w:val="none" w:sz="0" w:space="0" w:color="auto"/>
                <w:right w:val="none" w:sz="0" w:space="0" w:color="auto"/>
              </w:divBdr>
            </w:div>
            <w:div w:id="1003895879">
              <w:marLeft w:val="0"/>
              <w:marRight w:val="0"/>
              <w:marTop w:val="0"/>
              <w:marBottom w:val="0"/>
              <w:divBdr>
                <w:top w:val="none" w:sz="0" w:space="0" w:color="auto"/>
                <w:left w:val="none" w:sz="0" w:space="0" w:color="auto"/>
                <w:bottom w:val="none" w:sz="0" w:space="0" w:color="auto"/>
                <w:right w:val="none" w:sz="0" w:space="0" w:color="auto"/>
              </w:divBdr>
            </w:div>
            <w:div w:id="112217187">
              <w:marLeft w:val="0"/>
              <w:marRight w:val="0"/>
              <w:marTop w:val="0"/>
              <w:marBottom w:val="0"/>
              <w:divBdr>
                <w:top w:val="none" w:sz="0" w:space="0" w:color="auto"/>
                <w:left w:val="none" w:sz="0" w:space="0" w:color="auto"/>
                <w:bottom w:val="none" w:sz="0" w:space="0" w:color="auto"/>
                <w:right w:val="none" w:sz="0" w:space="0" w:color="auto"/>
              </w:divBdr>
            </w:div>
            <w:div w:id="2111122406">
              <w:marLeft w:val="0"/>
              <w:marRight w:val="0"/>
              <w:marTop w:val="0"/>
              <w:marBottom w:val="0"/>
              <w:divBdr>
                <w:top w:val="none" w:sz="0" w:space="0" w:color="auto"/>
                <w:left w:val="none" w:sz="0" w:space="0" w:color="auto"/>
                <w:bottom w:val="none" w:sz="0" w:space="0" w:color="auto"/>
                <w:right w:val="none" w:sz="0" w:space="0" w:color="auto"/>
              </w:divBdr>
            </w:div>
            <w:div w:id="646322367">
              <w:marLeft w:val="0"/>
              <w:marRight w:val="0"/>
              <w:marTop w:val="0"/>
              <w:marBottom w:val="0"/>
              <w:divBdr>
                <w:top w:val="none" w:sz="0" w:space="0" w:color="auto"/>
                <w:left w:val="none" w:sz="0" w:space="0" w:color="auto"/>
                <w:bottom w:val="none" w:sz="0" w:space="0" w:color="auto"/>
                <w:right w:val="none" w:sz="0" w:space="0" w:color="auto"/>
              </w:divBdr>
            </w:div>
            <w:div w:id="162781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002864">
      <w:bodyDiv w:val="1"/>
      <w:marLeft w:val="0"/>
      <w:marRight w:val="0"/>
      <w:marTop w:val="0"/>
      <w:marBottom w:val="0"/>
      <w:divBdr>
        <w:top w:val="none" w:sz="0" w:space="0" w:color="auto"/>
        <w:left w:val="none" w:sz="0" w:space="0" w:color="auto"/>
        <w:bottom w:val="none" w:sz="0" w:space="0" w:color="auto"/>
        <w:right w:val="none" w:sz="0" w:space="0" w:color="auto"/>
      </w:divBdr>
      <w:divsChild>
        <w:div w:id="818881484">
          <w:marLeft w:val="0"/>
          <w:marRight w:val="0"/>
          <w:marTop w:val="0"/>
          <w:marBottom w:val="0"/>
          <w:divBdr>
            <w:top w:val="none" w:sz="0" w:space="0" w:color="auto"/>
            <w:left w:val="none" w:sz="0" w:space="0" w:color="auto"/>
            <w:bottom w:val="none" w:sz="0" w:space="0" w:color="auto"/>
            <w:right w:val="none" w:sz="0" w:space="0" w:color="auto"/>
          </w:divBdr>
        </w:div>
        <w:div w:id="830873783">
          <w:marLeft w:val="0"/>
          <w:marRight w:val="0"/>
          <w:marTop w:val="0"/>
          <w:marBottom w:val="0"/>
          <w:divBdr>
            <w:top w:val="none" w:sz="0" w:space="0" w:color="auto"/>
            <w:left w:val="none" w:sz="0" w:space="0" w:color="auto"/>
            <w:bottom w:val="none" w:sz="0" w:space="0" w:color="auto"/>
            <w:right w:val="none" w:sz="0" w:space="0" w:color="auto"/>
          </w:divBdr>
        </w:div>
      </w:divsChild>
    </w:div>
    <w:div w:id="558518125">
      <w:bodyDiv w:val="1"/>
      <w:marLeft w:val="0"/>
      <w:marRight w:val="0"/>
      <w:marTop w:val="0"/>
      <w:marBottom w:val="0"/>
      <w:divBdr>
        <w:top w:val="none" w:sz="0" w:space="0" w:color="auto"/>
        <w:left w:val="none" w:sz="0" w:space="0" w:color="auto"/>
        <w:bottom w:val="none" w:sz="0" w:space="0" w:color="auto"/>
        <w:right w:val="none" w:sz="0" w:space="0" w:color="auto"/>
      </w:divBdr>
      <w:divsChild>
        <w:div w:id="178814452">
          <w:marLeft w:val="0"/>
          <w:marRight w:val="0"/>
          <w:marTop w:val="0"/>
          <w:marBottom w:val="0"/>
          <w:divBdr>
            <w:top w:val="none" w:sz="0" w:space="0" w:color="auto"/>
            <w:left w:val="none" w:sz="0" w:space="0" w:color="auto"/>
            <w:bottom w:val="none" w:sz="0" w:space="0" w:color="auto"/>
            <w:right w:val="none" w:sz="0" w:space="0" w:color="auto"/>
          </w:divBdr>
        </w:div>
        <w:div w:id="327908068">
          <w:marLeft w:val="0"/>
          <w:marRight w:val="0"/>
          <w:marTop w:val="0"/>
          <w:marBottom w:val="0"/>
          <w:divBdr>
            <w:top w:val="none" w:sz="0" w:space="0" w:color="auto"/>
            <w:left w:val="none" w:sz="0" w:space="0" w:color="auto"/>
            <w:bottom w:val="none" w:sz="0" w:space="0" w:color="auto"/>
            <w:right w:val="none" w:sz="0" w:space="0" w:color="auto"/>
          </w:divBdr>
        </w:div>
        <w:div w:id="631520660">
          <w:marLeft w:val="0"/>
          <w:marRight w:val="0"/>
          <w:marTop w:val="0"/>
          <w:marBottom w:val="0"/>
          <w:divBdr>
            <w:top w:val="none" w:sz="0" w:space="0" w:color="auto"/>
            <w:left w:val="none" w:sz="0" w:space="0" w:color="auto"/>
            <w:bottom w:val="none" w:sz="0" w:space="0" w:color="auto"/>
            <w:right w:val="none" w:sz="0" w:space="0" w:color="auto"/>
          </w:divBdr>
        </w:div>
        <w:div w:id="711032377">
          <w:marLeft w:val="0"/>
          <w:marRight w:val="0"/>
          <w:marTop w:val="0"/>
          <w:marBottom w:val="0"/>
          <w:divBdr>
            <w:top w:val="none" w:sz="0" w:space="0" w:color="auto"/>
            <w:left w:val="none" w:sz="0" w:space="0" w:color="auto"/>
            <w:bottom w:val="none" w:sz="0" w:space="0" w:color="auto"/>
            <w:right w:val="none" w:sz="0" w:space="0" w:color="auto"/>
          </w:divBdr>
        </w:div>
        <w:div w:id="752243495">
          <w:marLeft w:val="0"/>
          <w:marRight w:val="0"/>
          <w:marTop w:val="0"/>
          <w:marBottom w:val="0"/>
          <w:divBdr>
            <w:top w:val="none" w:sz="0" w:space="0" w:color="auto"/>
            <w:left w:val="none" w:sz="0" w:space="0" w:color="auto"/>
            <w:bottom w:val="none" w:sz="0" w:space="0" w:color="auto"/>
            <w:right w:val="none" w:sz="0" w:space="0" w:color="auto"/>
          </w:divBdr>
        </w:div>
        <w:div w:id="998656243">
          <w:marLeft w:val="0"/>
          <w:marRight w:val="0"/>
          <w:marTop w:val="0"/>
          <w:marBottom w:val="0"/>
          <w:divBdr>
            <w:top w:val="none" w:sz="0" w:space="0" w:color="auto"/>
            <w:left w:val="none" w:sz="0" w:space="0" w:color="auto"/>
            <w:bottom w:val="none" w:sz="0" w:space="0" w:color="auto"/>
            <w:right w:val="none" w:sz="0" w:space="0" w:color="auto"/>
          </w:divBdr>
        </w:div>
        <w:div w:id="1205872899">
          <w:marLeft w:val="0"/>
          <w:marRight w:val="0"/>
          <w:marTop w:val="0"/>
          <w:marBottom w:val="0"/>
          <w:divBdr>
            <w:top w:val="none" w:sz="0" w:space="0" w:color="auto"/>
            <w:left w:val="none" w:sz="0" w:space="0" w:color="auto"/>
            <w:bottom w:val="none" w:sz="0" w:space="0" w:color="auto"/>
            <w:right w:val="none" w:sz="0" w:space="0" w:color="auto"/>
          </w:divBdr>
        </w:div>
        <w:div w:id="1610623508">
          <w:marLeft w:val="0"/>
          <w:marRight w:val="0"/>
          <w:marTop w:val="0"/>
          <w:marBottom w:val="0"/>
          <w:divBdr>
            <w:top w:val="none" w:sz="0" w:space="0" w:color="auto"/>
            <w:left w:val="none" w:sz="0" w:space="0" w:color="auto"/>
            <w:bottom w:val="none" w:sz="0" w:space="0" w:color="auto"/>
            <w:right w:val="none" w:sz="0" w:space="0" w:color="auto"/>
          </w:divBdr>
        </w:div>
        <w:div w:id="1850093859">
          <w:marLeft w:val="0"/>
          <w:marRight w:val="0"/>
          <w:marTop w:val="0"/>
          <w:marBottom w:val="0"/>
          <w:divBdr>
            <w:top w:val="none" w:sz="0" w:space="0" w:color="auto"/>
            <w:left w:val="none" w:sz="0" w:space="0" w:color="auto"/>
            <w:bottom w:val="none" w:sz="0" w:space="0" w:color="auto"/>
            <w:right w:val="none" w:sz="0" w:space="0" w:color="auto"/>
          </w:divBdr>
        </w:div>
        <w:div w:id="2110002762">
          <w:marLeft w:val="0"/>
          <w:marRight w:val="0"/>
          <w:marTop w:val="0"/>
          <w:marBottom w:val="0"/>
          <w:divBdr>
            <w:top w:val="none" w:sz="0" w:space="0" w:color="auto"/>
            <w:left w:val="none" w:sz="0" w:space="0" w:color="auto"/>
            <w:bottom w:val="none" w:sz="0" w:space="0" w:color="auto"/>
            <w:right w:val="none" w:sz="0" w:space="0" w:color="auto"/>
          </w:divBdr>
        </w:div>
      </w:divsChild>
    </w:div>
    <w:div w:id="568661040">
      <w:bodyDiv w:val="1"/>
      <w:marLeft w:val="0"/>
      <w:marRight w:val="0"/>
      <w:marTop w:val="0"/>
      <w:marBottom w:val="0"/>
      <w:divBdr>
        <w:top w:val="none" w:sz="0" w:space="0" w:color="auto"/>
        <w:left w:val="none" w:sz="0" w:space="0" w:color="auto"/>
        <w:bottom w:val="none" w:sz="0" w:space="0" w:color="auto"/>
        <w:right w:val="none" w:sz="0" w:space="0" w:color="auto"/>
      </w:divBdr>
      <w:divsChild>
        <w:div w:id="173158324">
          <w:marLeft w:val="0"/>
          <w:marRight w:val="0"/>
          <w:marTop w:val="0"/>
          <w:marBottom w:val="0"/>
          <w:divBdr>
            <w:top w:val="none" w:sz="0" w:space="0" w:color="auto"/>
            <w:left w:val="none" w:sz="0" w:space="0" w:color="auto"/>
            <w:bottom w:val="none" w:sz="0" w:space="0" w:color="auto"/>
            <w:right w:val="none" w:sz="0" w:space="0" w:color="auto"/>
          </w:divBdr>
        </w:div>
        <w:div w:id="217058851">
          <w:marLeft w:val="0"/>
          <w:marRight w:val="0"/>
          <w:marTop w:val="0"/>
          <w:marBottom w:val="0"/>
          <w:divBdr>
            <w:top w:val="none" w:sz="0" w:space="0" w:color="auto"/>
            <w:left w:val="none" w:sz="0" w:space="0" w:color="auto"/>
            <w:bottom w:val="none" w:sz="0" w:space="0" w:color="auto"/>
            <w:right w:val="none" w:sz="0" w:space="0" w:color="auto"/>
          </w:divBdr>
        </w:div>
        <w:div w:id="440564691">
          <w:marLeft w:val="0"/>
          <w:marRight w:val="0"/>
          <w:marTop w:val="0"/>
          <w:marBottom w:val="0"/>
          <w:divBdr>
            <w:top w:val="none" w:sz="0" w:space="0" w:color="auto"/>
            <w:left w:val="none" w:sz="0" w:space="0" w:color="auto"/>
            <w:bottom w:val="none" w:sz="0" w:space="0" w:color="auto"/>
            <w:right w:val="none" w:sz="0" w:space="0" w:color="auto"/>
          </w:divBdr>
          <w:divsChild>
            <w:div w:id="709770307">
              <w:marLeft w:val="0"/>
              <w:marRight w:val="0"/>
              <w:marTop w:val="0"/>
              <w:marBottom w:val="0"/>
              <w:divBdr>
                <w:top w:val="none" w:sz="0" w:space="0" w:color="auto"/>
                <w:left w:val="none" w:sz="0" w:space="0" w:color="auto"/>
                <w:bottom w:val="none" w:sz="0" w:space="0" w:color="auto"/>
                <w:right w:val="none" w:sz="0" w:space="0" w:color="auto"/>
              </w:divBdr>
            </w:div>
            <w:div w:id="1004551811">
              <w:marLeft w:val="0"/>
              <w:marRight w:val="0"/>
              <w:marTop w:val="0"/>
              <w:marBottom w:val="0"/>
              <w:divBdr>
                <w:top w:val="none" w:sz="0" w:space="0" w:color="auto"/>
                <w:left w:val="none" w:sz="0" w:space="0" w:color="auto"/>
                <w:bottom w:val="none" w:sz="0" w:space="0" w:color="auto"/>
                <w:right w:val="none" w:sz="0" w:space="0" w:color="auto"/>
              </w:divBdr>
            </w:div>
            <w:div w:id="1147624926">
              <w:marLeft w:val="0"/>
              <w:marRight w:val="0"/>
              <w:marTop w:val="0"/>
              <w:marBottom w:val="0"/>
              <w:divBdr>
                <w:top w:val="none" w:sz="0" w:space="0" w:color="auto"/>
                <w:left w:val="none" w:sz="0" w:space="0" w:color="auto"/>
                <w:bottom w:val="none" w:sz="0" w:space="0" w:color="auto"/>
                <w:right w:val="none" w:sz="0" w:space="0" w:color="auto"/>
              </w:divBdr>
            </w:div>
            <w:div w:id="1152023641">
              <w:marLeft w:val="0"/>
              <w:marRight w:val="0"/>
              <w:marTop w:val="0"/>
              <w:marBottom w:val="0"/>
              <w:divBdr>
                <w:top w:val="none" w:sz="0" w:space="0" w:color="auto"/>
                <w:left w:val="none" w:sz="0" w:space="0" w:color="auto"/>
                <w:bottom w:val="none" w:sz="0" w:space="0" w:color="auto"/>
                <w:right w:val="none" w:sz="0" w:space="0" w:color="auto"/>
              </w:divBdr>
            </w:div>
            <w:div w:id="1805386537">
              <w:marLeft w:val="0"/>
              <w:marRight w:val="0"/>
              <w:marTop w:val="0"/>
              <w:marBottom w:val="0"/>
              <w:divBdr>
                <w:top w:val="none" w:sz="0" w:space="0" w:color="auto"/>
                <w:left w:val="none" w:sz="0" w:space="0" w:color="auto"/>
                <w:bottom w:val="none" w:sz="0" w:space="0" w:color="auto"/>
                <w:right w:val="none" w:sz="0" w:space="0" w:color="auto"/>
              </w:divBdr>
            </w:div>
          </w:divsChild>
        </w:div>
        <w:div w:id="827477915">
          <w:marLeft w:val="0"/>
          <w:marRight w:val="0"/>
          <w:marTop w:val="0"/>
          <w:marBottom w:val="0"/>
          <w:divBdr>
            <w:top w:val="none" w:sz="0" w:space="0" w:color="auto"/>
            <w:left w:val="none" w:sz="0" w:space="0" w:color="auto"/>
            <w:bottom w:val="none" w:sz="0" w:space="0" w:color="auto"/>
            <w:right w:val="none" w:sz="0" w:space="0" w:color="auto"/>
          </w:divBdr>
        </w:div>
        <w:div w:id="1856262684">
          <w:marLeft w:val="0"/>
          <w:marRight w:val="0"/>
          <w:marTop w:val="0"/>
          <w:marBottom w:val="0"/>
          <w:divBdr>
            <w:top w:val="none" w:sz="0" w:space="0" w:color="auto"/>
            <w:left w:val="none" w:sz="0" w:space="0" w:color="auto"/>
            <w:bottom w:val="none" w:sz="0" w:space="0" w:color="auto"/>
            <w:right w:val="none" w:sz="0" w:space="0" w:color="auto"/>
          </w:divBdr>
        </w:div>
      </w:divsChild>
    </w:div>
    <w:div w:id="574776254">
      <w:bodyDiv w:val="1"/>
      <w:marLeft w:val="0"/>
      <w:marRight w:val="0"/>
      <w:marTop w:val="0"/>
      <w:marBottom w:val="0"/>
      <w:divBdr>
        <w:top w:val="none" w:sz="0" w:space="0" w:color="auto"/>
        <w:left w:val="none" w:sz="0" w:space="0" w:color="auto"/>
        <w:bottom w:val="none" w:sz="0" w:space="0" w:color="auto"/>
        <w:right w:val="none" w:sz="0" w:space="0" w:color="auto"/>
      </w:divBdr>
    </w:div>
    <w:div w:id="581066552">
      <w:bodyDiv w:val="1"/>
      <w:marLeft w:val="0"/>
      <w:marRight w:val="0"/>
      <w:marTop w:val="0"/>
      <w:marBottom w:val="0"/>
      <w:divBdr>
        <w:top w:val="none" w:sz="0" w:space="0" w:color="auto"/>
        <w:left w:val="none" w:sz="0" w:space="0" w:color="auto"/>
        <w:bottom w:val="none" w:sz="0" w:space="0" w:color="auto"/>
        <w:right w:val="none" w:sz="0" w:space="0" w:color="auto"/>
      </w:divBdr>
      <w:divsChild>
        <w:div w:id="2518869">
          <w:marLeft w:val="0"/>
          <w:marRight w:val="0"/>
          <w:marTop w:val="0"/>
          <w:marBottom w:val="0"/>
          <w:divBdr>
            <w:top w:val="none" w:sz="0" w:space="0" w:color="auto"/>
            <w:left w:val="none" w:sz="0" w:space="0" w:color="auto"/>
            <w:bottom w:val="none" w:sz="0" w:space="0" w:color="auto"/>
            <w:right w:val="none" w:sz="0" w:space="0" w:color="auto"/>
          </w:divBdr>
        </w:div>
        <w:div w:id="23796050">
          <w:marLeft w:val="0"/>
          <w:marRight w:val="0"/>
          <w:marTop w:val="0"/>
          <w:marBottom w:val="0"/>
          <w:divBdr>
            <w:top w:val="none" w:sz="0" w:space="0" w:color="auto"/>
            <w:left w:val="none" w:sz="0" w:space="0" w:color="auto"/>
            <w:bottom w:val="none" w:sz="0" w:space="0" w:color="auto"/>
            <w:right w:val="none" w:sz="0" w:space="0" w:color="auto"/>
          </w:divBdr>
        </w:div>
        <w:div w:id="580019424">
          <w:marLeft w:val="0"/>
          <w:marRight w:val="0"/>
          <w:marTop w:val="0"/>
          <w:marBottom w:val="0"/>
          <w:divBdr>
            <w:top w:val="none" w:sz="0" w:space="0" w:color="auto"/>
            <w:left w:val="none" w:sz="0" w:space="0" w:color="auto"/>
            <w:bottom w:val="none" w:sz="0" w:space="0" w:color="auto"/>
            <w:right w:val="none" w:sz="0" w:space="0" w:color="auto"/>
          </w:divBdr>
        </w:div>
        <w:div w:id="605117477">
          <w:marLeft w:val="0"/>
          <w:marRight w:val="0"/>
          <w:marTop w:val="0"/>
          <w:marBottom w:val="0"/>
          <w:divBdr>
            <w:top w:val="none" w:sz="0" w:space="0" w:color="auto"/>
            <w:left w:val="none" w:sz="0" w:space="0" w:color="auto"/>
            <w:bottom w:val="none" w:sz="0" w:space="0" w:color="auto"/>
            <w:right w:val="none" w:sz="0" w:space="0" w:color="auto"/>
          </w:divBdr>
        </w:div>
        <w:div w:id="748190685">
          <w:marLeft w:val="0"/>
          <w:marRight w:val="0"/>
          <w:marTop w:val="0"/>
          <w:marBottom w:val="0"/>
          <w:divBdr>
            <w:top w:val="none" w:sz="0" w:space="0" w:color="auto"/>
            <w:left w:val="none" w:sz="0" w:space="0" w:color="auto"/>
            <w:bottom w:val="none" w:sz="0" w:space="0" w:color="auto"/>
            <w:right w:val="none" w:sz="0" w:space="0" w:color="auto"/>
          </w:divBdr>
        </w:div>
        <w:div w:id="786123597">
          <w:marLeft w:val="0"/>
          <w:marRight w:val="0"/>
          <w:marTop w:val="0"/>
          <w:marBottom w:val="0"/>
          <w:divBdr>
            <w:top w:val="none" w:sz="0" w:space="0" w:color="auto"/>
            <w:left w:val="none" w:sz="0" w:space="0" w:color="auto"/>
            <w:bottom w:val="none" w:sz="0" w:space="0" w:color="auto"/>
            <w:right w:val="none" w:sz="0" w:space="0" w:color="auto"/>
          </w:divBdr>
        </w:div>
        <w:div w:id="819999540">
          <w:marLeft w:val="0"/>
          <w:marRight w:val="0"/>
          <w:marTop w:val="0"/>
          <w:marBottom w:val="0"/>
          <w:divBdr>
            <w:top w:val="none" w:sz="0" w:space="0" w:color="auto"/>
            <w:left w:val="none" w:sz="0" w:space="0" w:color="auto"/>
            <w:bottom w:val="none" w:sz="0" w:space="0" w:color="auto"/>
            <w:right w:val="none" w:sz="0" w:space="0" w:color="auto"/>
          </w:divBdr>
        </w:div>
        <w:div w:id="898177179">
          <w:marLeft w:val="0"/>
          <w:marRight w:val="0"/>
          <w:marTop w:val="0"/>
          <w:marBottom w:val="0"/>
          <w:divBdr>
            <w:top w:val="none" w:sz="0" w:space="0" w:color="auto"/>
            <w:left w:val="none" w:sz="0" w:space="0" w:color="auto"/>
            <w:bottom w:val="none" w:sz="0" w:space="0" w:color="auto"/>
            <w:right w:val="none" w:sz="0" w:space="0" w:color="auto"/>
          </w:divBdr>
        </w:div>
        <w:div w:id="1323044911">
          <w:marLeft w:val="0"/>
          <w:marRight w:val="0"/>
          <w:marTop w:val="0"/>
          <w:marBottom w:val="0"/>
          <w:divBdr>
            <w:top w:val="none" w:sz="0" w:space="0" w:color="auto"/>
            <w:left w:val="none" w:sz="0" w:space="0" w:color="auto"/>
            <w:bottom w:val="none" w:sz="0" w:space="0" w:color="auto"/>
            <w:right w:val="none" w:sz="0" w:space="0" w:color="auto"/>
          </w:divBdr>
        </w:div>
        <w:div w:id="1382745824">
          <w:marLeft w:val="0"/>
          <w:marRight w:val="0"/>
          <w:marTop w:val="0"/>
          <w:marBottom w:val="0"/>
          <w:divBdr>
            <w:top w:val="none" w:sz="0" w:space="0" w:color="auto"/>
            <w:left w:val="none" w:sz="0" w:space="0" w:color="auto"/>
            <w:bottom w:val="none" w:sz="0" w:space="0" w:color="auto"/>
            <w:right w:val="none" w:sz="0" w:space="0" w:color="auto"/>
          </w:divBdr>
        </w:div>
        <w:div w:id="1403406282">
          <w:marLeft w:val="0"/>
          <w:marRight w:val="0"/>
          <w:marTop w:val="0"/>
          <w:marBottom w:val="0"/>
          <w:divBdr>
            <w:top w:val="none" w:sz="0" w:space="0" w:color="auto"/>
            <w:left w:val="none" w:sz="0" w:space="0" w:color="auto"/>
            <w:bottom w:val="none" w:sz="0" w:space="0" w:color="auto"/>
            <w:right w:val="none" w:sz="0" w:space="0" w:color="auto"/>
          </w:divBdr>
        </w:div>
        <w:div w:id="1469860300">
          <w:marLeft w:val="0"/>
          <w:marRight w:val="0"/>
          <w:marTop w:val="0"/>
          <w:marBottom w:val="0"/>
          <w:divBdr>
            <w:top w:val="none" w:sz="0" w:space="0" w:color="auto"/>
            <w:left w:val="none" w:sz="0" w:space="0" w:color="auto"/>
            <w:bottom w:val="none" w:sz="0" w:space="0" w:color="auto"/>
            <w:right w:val="none" w:sz="0" w:space="0" w:color="auto"/>
          </w:divBdr>
        </w:div>
        <w:div w:id="1472671299">
          <w:marLeft w:val="0"/>
          <w:marRight w:val="0"/>
          <w:marTop w:val="0"/>
          <w:marBottom w:val="0"/>
          <w:divBdr>
            <w:top w:val="none" w:sz="0" w:space="0" w:color="auto"/>
            <w:left w:val="none" w:sz="0" w:space="0" w:color="auto"/>
            <w:bottom w:val="none" w:sz="0" w:space="0" w:color="auto"/>
            <w:right w:val="none" w:sz="0" w:space="0" w:color="auto"/>
          </w:divBdr>
        </w:div>
        <w:div w:id="1525971344">
          <w:marLeft w:val="0"/>
          <w:marRight w:val="0"/>
          <w:marTop w:val="0"/>
          <w:marBottom w:val="0"/>
          <w:divBdr>
            <w:top w:val="none" w:sz="0" w:space="0" w:color="auto"/>
            <w:left w:val="none" w:sz="0" w:space="0" w:color="auto"/>
            <w:bottom w:val="none" w:sz="0" w:space="0" w:color="auto"/>
            <w:right w:val="none" w:sz="0" w:space="0" w:color="auto"/>
          </w:divBdr>
        </w:div>
        <w:div w:id="1648321044">
          <w:marLeft w:val="0"/>
          <w:marRight w:val="0"/>
          <w:marTop w:val="0"/>
          <w:marBottom w:val="0"/>
          <w:divBdr>
            <w:top w:val="none" w:sz="0" w:space="0" w:color="auto"/>
            <w:left w:val="none" w:sz="0" w:space="0" w:color="auto"/>
            <w:bottom w:val="none" w:sz="0" w:space="0" w:color="auto"/>
            <w:right w:val="none" w:sz="0" w:space="0" w:color="auto"/>
          </w:divBdr>
        </w:div>
        <w:div w:id="1710521845">
          <w:marLeft w:val="0"/>
          <w:marRight w:val="0"/>
          <w:marTop w:val="0"/>
          <w:marBottom w:val="0"/>
          <w:divBdr>
            <w:top w:val="none" w:sz="0" w:space="0" w:color="auto"/>
            <w:left w:val="none" w:sz="0" w:space="0" w:color="auto"/>
            <w:bottom w:val="none" w:sz="0" w:space="0" w:color="auto"/>
            <w:right w:val="none" w:sz="0" w:space="0" w:color="auto"/>
          </w:divBdr>
        </w:div>
        <w:div w:id="1828015739">
          <w:marLeft w:val="0"/>
          <w:marRight w:val="0"/>
          <w:marTop w:val="0"/>
          <w:marBottom w:val="0"/>
          <w:divBdr>
            <w:top w:val="none" w:sz="0" w:space="0" w:color="auto"/>
            <w:left w:val="none" w:sz="0" w:space="0" w:color="auto"/>
            <w:bottom w:val="none" w:sz="0" w:space="0" w:color="auto"/>
            <w:right w:val="none" w:sz="0" w:space="0" w:color="auto"/>
          </w:divBdr>
        </w:div>
        <w:div w:id="1867863220">
          <w:marLeft w:val="0"/>
          <w:marRight w:val="0"/>
          <w:marTop w:val="0"/>
          <w:marBottom w:val="0"/>
          <w:divBdr>
            <w:top w:val="none" w:sz="0" w:space="0" w:color="auto"/>
            <w:left w:val="none" w:sz="0" w:space="0" w:color="auto"/>
            <w:bottom w:val="none" w:sz="0" w:space="0" w:color="auto"/>
            <w:right w:val="none" w:sz="0" w:space="0" w:color="auto"/>
          </w:divBdr>
        </w:div>
        <w:div w:id="1967544287">
          <w:marLeft w:val="0"/>
          <w:marRight w:val="0"/>
          <w:marTop w:val="0"/>
          <w:marBottom w:val="0"/>
          <w:divBdr>
            <w:top w:val="none" w:sz="0" w:space="0" w:color="auto"/>
            <w:left w:val="none" w:sz="0" w:space="0" w:color="auto"/>
            <w:bottom w:val="none" w:sz="0" w:space="0" w:color="auto"/>
            <w:right w:val="none" w:sz="0" w:space="0" w:color="auto"/>
          </w:divBdr>
        </w:div>
        <w:div w:id="2006007293">
          <w:marLeft w:val="0"/>
          <w:marRight w:val="0"/>
          <w:marTop w:val="0"/>
          <w:marBottom w:val="0"/>
          <w:divBdr>
            <w:top w:val="none" w:sz="0" w:space="0" w:color="auto"/>
            <w:left w:val="none" w:sz="0" w:space="0" w:color="auto"/>
            <w:bottom w:val="none" w:sz="0" w:space="0" w:color="auto"/>
            <w:right w:val="none" w:sz="0" w:space="0" w:color="auto"/>
          </w:divBdr>
        </w:div>
        <w:div w:id="2012220507">
          <w:marLeft w:val="0"/>
          <w:marRight w:val="0"/>
          <w:marTop w:val="0"/>
          <w:marBottom w:val="0"/>
          <w:divBdr>
            <w:top w:val="none" w:sz="0" w:space="0" w:color="auto"/>
            <w:left w:val="none" w:sz="0" w:space="0" w:color="auto"/>
            <w:bottom w:val="none" w:sz="0" w:space="0" w:color="auto"/>
            <w:right w:val="none" w:sz="0" w:space="0" w:color="auto"/>
          </w:divBdr>
        </w:div>
      </w:divsChild>
    </w:div>
    <w:div w:id="594292154">
      <w:bodyDiv w:val="1"/>
      <w:marLeft w:val="0"/>
      <w:marRight w:val="0"/>
      <w:marTop w:val="0"/>
      <w:marBottom w:val="0"/>
      <w:divBdr>
        <w:top w:val="none" w:sz="0" w:space="0" w:color="auto"/>
        <w:left w:val="none" w:sz="0" w:space="0" w:color="auto"/>
        <w:bottom w:val="none" w:sz="0" w:space="0" w:color="auto"/>
        <w:right w:val="none" w:sz="0" w:space="0" w:color="auto"/>
      </w:divBdr>
      <w:divsChild>
        <w:div w:id="23099741">
          <w:marLeft w:val="0"/>
          <w:marRight w:val="0"/>
          <w:marTop w:val="0"/>
          <w:marBottom w:val="0"/>
          <w:divBdr>
            <w:top w:val="none" w:sz="0" w:space="0" w:color="auto"/>
            <w:left w:val="none" w:sz="0" w:space="0" w:color="auto"/>
            <w:bottom w:val="none" w:sz="0" w:space="0" w:color="auto"/>
            <w:right w:val="none" w:sz="0" w:space="0" w:color="auto"/>
          </w:divBdr>
        </w:div>
        <w:div w:id="177819147">
          <w:marLeft w:val="0"/>
          <w:marRight w:val="0"/>
          <w:marTop w:val="0"/>
          <w:marBottom w:val="0"/>
          <w:divBdr>
            <w:top w:val="none" w:sz="0" w:space="0" w:color="auto"/>
            <w:left w:val="none" w:sz="0" w:space="0" w:color="auto"/>
            <w:bottom w:val="none" w:sz="0" w:space="0" w:color="auto"/>
            <w:right w:val="none" w:sz="0" w:space="0" w:color="auto"/>
          </w:divBdr>
        </w:div>
        <w:div w:id="307174805">
          <w:marLeft w:val="0"/>
          <w:marRight w:val="0"/>
          <w:marTop w:val="0"/>
          <w:marBottom w:val="0"/>
          <w:divBdr>
            <w:top w:val="none" w:sz="0" w:space="0" w:color="auto"/>
            <w:left w:val="none" w:sz="0" w:space="0" w:color="auto"/>
            <w:bottom w:val="none" w:sz="0" w:space="0" w:color="auto"/>
            <w:right w:val="none" w:sz="0" w:space="0" w:color="auto"/>
          </w:divBdr>
        </w:div>
        <w:div w:id="775176972">
          <w:marLeft w:val="0"/>
          <w:marRight w:val="0"/>
          <w:marTop w:val="0"/>
          <w:marBottom w:val="0"/>
          <w:divBdr>
            <w:top w:val="none" w:sz="0" w:space="0" w:color="auto"/>
            <w:left w:val="none" w:sz="0" w:space="0" w:color="auto"/>
            <w:bottom w:val="none" w:sz="0" w:space="0" w:color="auto"/>
            <w:right w:val="none" w:sz="0" w:space="0" w:color="auto"/>
          </w:divBdr>
        </w:div>
        <w:div w:id="924456885">
          <w:marLeft w:val="0"/>
          <w:marRight w:val="0"/>
          <w:marTop w:val="0"/>
          <w:marBottom w:val="0"/>
          <w:divBdr>
            <w:top w:val="none" w:sz="0" w:space="0" w:color="auto"/>
            <w:left w:val="none" w:sz="0" w:space="0" w:color="auto"/>
            <w:bottom w:val="none" w:sz="0" w:space="0" w:color="auto"/>
            <w:right w:val="none" w:sz="0" w:space="0" w:color="auto"/>
          </w:divBdr>
        </w:div>
        <w:div w:id="962426473">
          <w:marLeft w:val="0"/>
          <w:marRight w:val="0"/>
          <w:marTop w:val="0"/>
          <w:marBottom w:val="0"/>
          <w:divBdr>
            <w:top w:val="none" w:sz="0" w:space="0" w:color="auto"/>
            <w:left w:val="none" w:sz="0" w:space="0" w:color="auto"/>
            <w:bottom w:val="none" w:sz="0" w:space="0" w:color="auto"/>
            <w:right w:val="none" w:sz="0" w:space="0" w:color="auto"/>
          </w:divBdr>
          <w:divsChild>
            <w:div w:id="758410125">
              <w:marLeft w:val="0"/>
              <w:marRight w:val="0"/>
              <w:marTop w:val="0"/>
              <w:marBottom w:val="0"/>
              <w:divBdr>
                <w:top w:val="none" w:sz="0" w:space="0" w:color="auto"/>
                <w:left w:val="none" w:sz="0" w:space="0" w:color="auto"/>
                <w:bottom w:val="none" w:sz="0" w:space="0" w:color="auto"/>
                <w:right w:val="none" w:sz="0" w:space="0" w:color="auto"/>
              </w:divBdr>
            </w:div>
            <w:div w:id="905453532">
              <w:marLeft w:val="0"/>
              <w:marRight w:val="0"/>
              <w:marTop w:val="0"/>
              <w:marBottom w:val="0"/>
              <w:divBdr>
                <w:top w:val="none" w:sz="0" w:space="0" w:color="auto"/>
                <w:left w:val="none" w:sz="0" w:space="0" w:color="auto"/>
                <w:bottom w:val="none" w:sz="0" w:space="0" w:color="auto"/>
                <w:right w:val="none" w:sz="0" w:space="0" w:color="auto"/>
              </w:divBdr>
            </w:div>
          </w:divsChild>
        </w:div>
        <w:div w:id="1234900384">
          <w:marLeft w:val="0"/>
          <w:marRight w:val="0"/>
          <w:marTop w:val="0"/>
          <w:marBottom w:val="0"/>
          <w:divBdr>
            <w:top w:val="none" w:sz="0" w:space="0" w:color="auto"/>
            <w:left w:val="none" w:sz="0" w:space="0" w:color="auto"/>
            <w:bottom w:val="none" w:sz="0" w:space="0" w:color="auto"/>
            <w:right w:val="none" w:sz="0" w:space="0" w:color="auto"/>
          </w:divBdr>
        </w:div>
        <w:div w:id="1357193745">
          <w:marLeft w:val="0"/>
          <w:marRight w:val="0"/>
          <w:marTop w:val="0"/>
          <w:marBottom w:val="0"/>
          <w:divBdr>
            <w:top w:val="none" w:sz="0" w:space="0" w:color="auto"/>
            <w:left w:val="none" w:sz="0" w:space="0" w:color="auto"/>
            <w:bottom w:val="none" w:sz="0" w:space="0" w:color="auto"/>
            <w:right w:val="none" w:sz="0" w:space="0" w:color="auto"/>
          </w:divBdr>
        </w:div>
        <w:div w:id="1412581693">
          <w:marLeft w:val="0"/>
          <w:marRight w:val="0"/>
          <w:marTop w:val="0"/>
          <w:marBottom w:val="0"/>
          <w:divBdr>
            <w:top w:val="none" w:sz="0" w:space="0" w:color="auto"/>
            <w:left w:val="none" w:sz="0" w:space="0" w:color="auto"/>
            <w:bottom w:val="none" w:sz="0" w:space="0" w:color="auto"/>
            <w:right w:val="none" w:sz="0" w:space="0" w:color="auto"/>
          </w:divBdr>
        </w:div>
        <w:div w:id="1619411647">
          <w:marLeft w:val="0"/>
          <w:marRight w:val="0"/>
          <w:marTop w:val="0"/>
          <w:marBottom w:val="0"/>
          <w:divBdr>
            <w:top w:val="none" w:sz="0" w:space="0" w:color="auto"/>
            <w:left w:val="none" w:sz="0" w:space="0" w:color="auto"/>
            <w:bottom w:val="none" w:sz="0" w:space="0" w:color="auto"/>
            <w:right w:val="none" w:sz="0" w:space="0" w:color="auto"/>
          </w:divBdr>
        </w:div>
        <w:div w:id="1843469057">
          <w:marLeft w:val="0"/>
          <w:marRight w:val="0"/>
          <w:marTop w:val="0"/>
          <w:marBottom w:val="0"/>
          <w:divBdr>
            <w:top w:val="none" w:sz="0" w:space="0" w:color="auto"/>
            <w:left w:val="none" w:sz="0" w:space="0" w:color="auto"/>
            <w:bottom w:val="none" w:sz="0" w:space="0" w:color="auto"/>
            <w:right w:val="none" w:sz="0" w:space="0" w:color="auto"/>
          </w:divBdr>
        </w:div>
        <w:div w:id="2141796415">
          <w:marLeft w:val="0"/>
          <w:marRight w:val="0"/>
          <w:marTop w:val="0"/>
          <w:marBottom w:val="0"/>
          <w:divBdr>
            <w:top w:val="none" w:sz="0" w:space="0" w:color="auto"/>
            <w:left w:val="none" w:sz="0" w:space="0" w:color="auto"/>
            <w:bottom w:val="none" w:sz="0" w:space="0" w:color="auto"/>
            <w:right w:val="none" w:sz="0" w:space="0" w:color="auto"/>
          </w:divBdr>
        </w:div>
      </w:divsChild>
    </w:div>
    <w:div w:id="596405901">
      <w:bodyDiv w:val="1"/>
      <w:marLeft w:val="0"/>
      <w:marRight w:val="0"/>
      <w:marTop w:val="0"/>
      <w:marBottom w:val="0"/>
      <w:divBdr>
        <w:top w:val="none" w:sz="0" w:space="0" w:color="auto"/>
        <w:left w:val="none" w:sz="0" w:space="0" w:color="auto"/>
        <w:bottom w:val="none" w:sz="0" w:space="0" w:color="auto"/>
        <w:right w:val="none" w:sz="0" w:space="0" w:color="auto"/>
      </w:divBdr>
      <w:divsChild>
        <w:div w:id="1518302348">
          <w:marLeft w:val="0"/>
          <w:marRight w:val="0"/>
          <w:marTop w:val="0"/>
          <w:marBottom w:val="0"/>
          <w:divBdr>
            <w:top w:val="none" w:sz="0" w:space="0" w:color="auto"/>
            <w:left w:val="none" w:sz="0" w:space="0" w:color="auto"/>
            <w:bottom w:val="none" w:sz="0" w:space="0" w:color="auto"/>
            <w:right w:val="none" w:sz="0" w:space="0" w:color="auto"/>
          </w:divBdr>
        </w:div>
        <w:div w:id="967587455">
          <w:marLeft w:val="0"/>
          <w:marRight w:val="0"/>
          <w:marTop w:val="0"/>
          <w:marBottom w:val="0"/>
          <w:divBdr>
            <w:top w:val="none" w:sz="0" w:space="0" w:color="auto"/>
            <w:left w:val="none" w:sz="0" w:space="0" w:color="auto"/>
            <w:bottom w:val="none" w:sz="0" w:space="0" w:color="auto"/>
            <w:right w:val="none" w:sz="0" w:space="0" w:color="auto"/>
          </w:divBdr>
        </w:div>
        <w:div w:id="827331693">
          <w:marLeft w:val="0"/>
          <w:marRight w:val="0"/>
          <w:marTop w:val="0"/>
          <w:marBottom w:val="0"/>
          <w:divBdr>
            <w:top w:val="none" w:sz="0" w:space="0" w:color="auto"/>
            <w:left w:val="none" w:sz="0" w:space="0" w:color="auto"/>
            <w:bottom w:val="none" w:sz="0" w:space="0" w:color="auto"/>
            <w:right w:val="none" w:sz="0" w:space="0" w:color="auto"/>
          </w:divBdr>
        </w:div>
      </w:divsChild>
    </w:div>
    <w:div w:id="601493287">
      <w:bodyDiv w:val="1"/>
      <w:marLeft w:val="0"/>
      <w:marRight w:val="0"/>
      <w:marTop w:val="0"/>
      <w:marBottom w:val="0"/>
      <w:divBdr>
        <w:top w:val="none" w:sz="0" w:space="0" w:color="auto"/>
        <w:left w:val="none" w:sz="0" w:space="0" w:color="auto"/>
        <w:bottom w:val="none" w:sz="0" w:space="0" w:color="auto"/>
        <w:right w:val="none" w:sz="0" w:space="0" w:color="auto"/>
      </w:divBdr>
      <w:divsChild>
        <w:div w:id="870218597">
          <w:marLeft w:val="0"/>
          <w:marRight w:val="0"/>
          <w:marTop w:val="0"/>
          <w:marBottom w:val="0"/>
          <w:divBdr>
            <w:top w:val="none" w:sz="0" w:space="0" w:color="auto"/>
            <w:left w:val="none" w:sz="0" w:space="0" w:color="auto"/>
            <w:bottom w:val="none" w:sz="0" w:space="0" w:color="auto"/>
            <w:right w:val="none" w:sz="0" w:space="0" w:color="auto"/>
          </w:divBdr>
        </w:div>
        <w:div w:id="1863670037">
          <w:marLeft w:val="0"/>
          <w:marRight w:val="0"/>
          <w:marTop w:val="0"/>
          <w:marBottom w:val="0"/>
          <w:divBdr>
            <w:top w:val="none" w:sz="0" w:space="0" w:color="auto"/>
            <w:left w:val="none" w:sz="0" w:space="0" w:color="auto"/>
            <w:bottom w:val="none" w:sz="0" w:space="0" w:color="auto"/>
            <w:right w:val="none" w:sz="0" w:space="0" w:color="auto"/>
          </w:divBdr>
        </w:div>
      </w:divsChild>
    </w:div>
    <w:div w:id="608396795">
      <w:bodyDiv w:val="1"/>
      <w:marLeft w:val="0"/>
      <w:marRight w:val="0"/>
      <w:marTop w:val="0"/>
      <w:marBottom w:val="0"/>
      <w:divBdr>
        <w:top w:val="none" w:sz="0" w:space="0" w:color="auto"/>
        <w:left w:val="none" w:sz="0" w:space="0" w:color="auto"/>
        <w:bottom w:val="none" w:sz="0" w:space="0" w:color="auto"/>
        <w:right w:val="none" w:sz="0" w:space="0" w:color="auto"/>
      </w:divBdr>
      <w:divsChild>
        <w:div w:id="625626320">
          <w:marLeft w:val="0"/>
          <w:marRight w:val="0"/>
          <w:marTop w:val="0"/>
          <w:marBottom w:val="0"/>
          <w:divBdr>
            <w:top w:val="none" w:sz="0" w:space="0" w:color="auto"/>
            <w:left w:val="none" w:sz="0" w:space="0" w:color="auto"/>
            <w:bottom w:val="none" w:sz="0" w:space="0" w:color="auto"/>
            <w:right w:val="none" w:sz="0" w:space="0" w:color="auto"/>
          </w:divBdr>
        </w:div>
        <w:div w:id="702172046">
          <w:marLeft w:val="0"/>
          <w:marRight w:val="0"/>
          <w:marTop w:val="0"/>
          <w:marBottom w:val="0"/>
          <w:divBdr>
            <w:top w:val="none" w:sz="0" w:space="0" w:color="auto"/>
            <w:left w:val="none" w:sz="0" w:space="0" w:color="auto"/>
            <w:bottom w:val="none" w:sz="0" w:space="0" w:color="auto"/>
            <w:right w:val="none" w:sz="0" w:space="0" w:color="auto"/>
          </w:divBdr>
        </w:div>
      </w:divsChild>
    </w:div>
    <w:div w:id="626817611">
      <w:bodyDiv w:val="1"/>
      <w:marLeft w:val="0"/>
      <w:marRight w:val="0"/>
      <w:marTop w:val="0"/>
      <w:marBottom w:val="0"/>
      <w:divBdr>
        <w:top w:val="none" w:sz="0" w:space="0" w:color="auto"/>
        <w:left w:val="none" w:sz="0" w:space="0" w:color="auto"/>
        <w:bottom w:val="none" w:sz="0" w:space="0" w:color="auto"/>
        <w:right w:val="none" w:sz="0" w:space="0" w:color="auto"/>
      </w:divBdr>
    </w:div>
    <w:div w:id="627980323">
      <w:bodyDiv w:val="1"/>
      <w:marLeft w:val="0"/>
      <w:marRight w:val="0"/>
      <w:marTop w:val="0"/>
      <w:marBottom w:val="0"/>
      <w:divBdr>
        <w:top w:val="none" w:sz="0" w:space="0" w:color="auto"/>
        <w:left w:val="none" w:sz="0" w:space="0" w:color="auto"/>
        <w:bottom w:val="none" w:sz="0" w:space="0" w:color="auto"/>
        <w:right w:val="none" w:sz="0" w:space="0" w:color="auto"/>
      </w:divBdr>
    </w:div>
    <w:div w:id="649946306">
      <w:bodyDiv w:val="1"/>
      <w:marLeft w:val="0"/>
      <w:marRight w:val="0"/>
      <w:marTop w:val="0"/>
      <w:marBottom w:val="0"/>
      <w:divBdr>
        <w:top w:val="none" w:sz="0" w:space="0" w:color="auto"/>
        <w:left w:val="none" w:sz="0" w:space="0" w:color="auto"/>
        <w:bottom w:val="none" w:sz="0" w:space="0" w:color="auto"/>
        <w:right w:val="none" w:sz="0" w:space="0" w:color="auto"/>
      </w:divBdr>
      <w:divsChild>
        <w:div w:id="251669388">
          <w:marLeft w:val="0"/>
          <w:marRight w:val="0"/>
          <w:marTop w:val="0"/>
          <w:marBottom w:val="0"/>
          <w:divBdr>
            <w:top w:val="none" w:sz="0" w:space="0" w:color="auto"/>
            <w:left w:val="none" w:sz="0" w:space="0" w:color="auto"/>
            <w:bottom w:val="none" w:sz="0" w:space="0" w:color="auto"/>
            <w:right w:val="none" w:sz="0" w:space="0" w:color="auto"/>
          </w:divBdr>
          <w:divsChild>
            <w:div w:id="1796024724">
              <w:marLeft w:val="0"/>
              <w:marRight w:val="0"/>
              <w:marTop w:val="0"/>
              <w:marBottom w:val="0"/>
              <w:divBdr>
                <w:top w:val="none" w:sz="0" w:space="0" w:color="auto"/>
                <w:left w:val="none" w:sz="0" w:space="0" w:color="auto"/>
                <w:bottom w:val="none" w:sz="0" w:space="0" w:color="auto"/>
                <w:right w:val="none" w:sz="0" w:space="0" w:color="auto"/>
              </w:divBdr>
            </w:div>
            <w:div w:id="782115890">
              <w:marLeft w:val="0"/>
              <w:marRight w:val="0"/>
              <w:marTop w:val="0"/>
              <w:marBottom w:val="0"/>
              <w:divBdr>
                <w:top w:val="none" w:sz="0" w:space="0" w:color="auto"/>
                <w:left w:val="none" w:sz="0" w:space="0" w:color="auto"/>
                <w:bottom w:val="none" w:sz="0" w:space="0" w:color="auto"/>
                <w:right w:val="none" w:sz="0" w:space="0" w:color="auto"/>
              </w:divBdr>
            </w:div>
            <w:div w:id="652759778">
              <w:marLeft w:val="0"/>
              <w:marRight w:val="0"/>
              <w:marTop w:val="0"/>
              <w:marBottom w:val="0"/>
              <w:divBdr>
                <w:top w:val="none" w:sz="0" w:space="0" w:color="auto"/>
                <w:left w:val="none" w:sz="0" w:space="0" w:color="auto"/>
                <w:bottom w:val="none" w:sz="0" w:space="0" w:color="auto"/>
                <w:right w:val="none" w:sz="0" w:space="0" w:color="auto"/>
              </w:divBdr>
            </w:div>
            <w:div w:id="1066028798">
              <w:marLeft w:val="0"/>
              <w:marRight w:val="0"/>
              <w:marTop w:val="0"/>
              <w:marBottom w:val="0"/>
              <w:divBdr>
                <w:top w:val="none" w:sz="0" w:space="0" w:color="auto"/>
                <w:left w:val="none" w:sz="0" w:space="0" w:color="auto"/>
                <w:bottom w:val="none" w:sz="0" w:space="0" w:color="auto"/>
                <w:right w:val="none" w:sz="0" w:space="0" w:color="auto"/>
              </w:divBdr>
            </w:div>
            <w:div w:id="2068259877">
              <w:marLeft w:val="0"/>
              <w:marRight w:val="0"/>
              <w:marTop w:val="0"/>
              <w:marBottom w:val="0"/>
              <w:divBdr>
                <w:top w:val="none" w:sz="0" w:space="0" w:color="auto"/>
                <w:left w:val="none" w:sz="0" w:space="0" w:color="auto"/>
                <w:bottom w:val="none" w:sz="0" w:space="0" w:color="auto"/>
                <w:right w:val="none" w:sz="0" w:space="0" w:color="auto"/>
              </w:divBdr>
            </w:div>
            <w:div w:id="988097208">
              <w:marLeft w:val="0"/>
              <w:marRight w:val="0"/>
              <w:marTop w:val="0"/>
              <w:marBottom w:val="0"/>
              <w:divBdr>
                <w:top w:val="none" w:sz="0" w:space="0" w:color="auto"/>
                <w:left w:val="none" w:sz="0" w:space="0" w:color="auto"/>
                <w:bottom w:val="none" w:sz="0" w:space="0" w:color="auto"/>
                <w:right w:val="none" w:sz="0" w:space="0" w:color="auto"/>
              </w:divBdr>
            </w:div>
            <w:div w:id="2003511111">
              <w:marLeft w:val="0"/>
              <w:marRight w:val="0"/>
              <w:marTop w:val="0"/>
              <w:marBottom w:val="0"/>
              <w:divBdr>
                <w:top w:val="none" w:sz="0" w:space="0" w:color="auto"/>
                <w:left w:val="none" w:sz="0" w:space="0" w:color="auto"/>
                <w:bottom w:val="none" w:sz="0" w:space="0" w:color="auto"/>
                <w:right w:val="none" w:sz="0" w:space="0" w:color="auto"/>
              </w:divBdr>
            </w:div>
            <w:div w:id="1546599325">
              <w:marLeft w:val="0"/>
              <w:marRight w:val="0"/>
              <w:marTop w:val="0"/>
              <w:marBottom w:val="0"/>
              <w:divBdr>
                <w:top w:val="none" w:sz="0" w:space="0" w:color="auto"/>
                <w:left w:val="none" w:sz="0" w:space="0" w:color="auto"/>
                <w:bottom w:val="none" w:sz="0" w:space="0" w:color="auto"/>
                <w:right w:val="none" w:sz="0" w:space="0" w:color="auto"/>
              </w:divBdr>
            </w:div>
            <w:div w:id="1381201030">
              <w:marLeft w:val="0"/>
              <w:marRight w:val="0"/>
              <w:marTop w:val="0"/>
              <w:marBottom w:val="0"/>
              <w:divBdr>
                <w:top w:val="none" w:sz="0" w:space="0" w:color="auto"/>
                <w:left w:val="none" w:sz="0" w:space="0" w:color="auto"/>
                <w:bottom w:val="none" w:sz="0" w:space="0" w:color="auto"/>
                <w:right w:val="none" w:sz="0" w:space="0" w:color="auto"/>
              </w:divBdr>
            </w:div>
            <w:div w:id="1812364072">
              <w:marLeft w:val="0"/>
              <w:marRight w:val="0"/>
              <w:marTop w:val="0"/>
              <w:marBottom w:val="0"/>
              <w:divBdr>
                <w:top w:val="none" w:sz="0" w:space="0" w:color="auto"/>
                <w:left w:val="none" w:sz="0" w:space="0" w:color="auto"/>
                <w:bottom w:val="none" w:sz="0" w:space="0" w:color="auto"/>
                <w:right w:val="none" w:sz="0" w:space="0" w:color="auto"/>
              </w:divBdr>
            </w:div>
            <w:div w:id="1289894452">
              <w:marLeft w:val="0"/>
              <w:marRight w:val="0"/>
              <w:marTop w:val="0"/>
              <w:marBottom w:val="0"/>
              <w:divBdr>
                <w:top w:val="none" w:sz="0" w:space="0" w:color="auto"/>
                <w:left w:val="none" w:sz="0" w:space="0" w:color="auto"/>
                <w:bottom w:val="none" w:sz="0" w:space="0" w:color="auto"/>
                <w:right w:val="none" w:sz="0" w:space="0" w:color="auto"/>
              </w:divBdr>
            </w:div>
            <w:div w:id="719090557">
              <w:marLeft w:val="0"/>
              <w:marRight w:val="0"/>
              <w:marTop w:val="0"/>
              <w:marBottom w:val="0"/>
              <w:divBdr>
                <w:top w:val="none" w:sz="0" w:space="0" w:color="auto"/>
                <w:left w:val="none" w:sz="0" w:space="0" w:color="auto"/>
                <w:bottom w:val="none" w:sz="0" w:space="0" w:color="auto"/>
                <w:right w:val="none" w:sz="0" w:space="0" w:color="auto"/>
              </w:divBdr>
            </w:div>
            <w:div w:id="774861545">
              <w:marLeft w:val="0"/>
              <w:marRight w:val="0"/>
              <w:marTop w:val="0"/>
              <w:marBottom w:val="0"/>
              <w:divBdr>
                <w:top w:val="none" w:sz="0" w:space="0" w:color="auto"/>
                <w:left w:val="none" w:sz="0" w:space="0" w:color="auto"/>
                <w:bottom w:val="none" w:sz="0" w:space="0" w:color="auto"/>
                <w:right w:val="none" w:sz="0" w:space="0" w:color="auto"/>
              </w:divBdr>
            </w:div>
            <w:div w:id="1588686399">
              <w:marLeft w:val="0"/>
              <w:marRight w:val="0"/>
              <w:marTop w:val="0"/>
              <w:marBottom w:val="0"/>
              <w:divBdr>
                <w:top w:val="none" w:sz="0" w:space="0" w:color="auto"/>
                <w:left w:val="none" w:sz="0" w:space="0" w:color="auto"/>
                <w:bottom w:val="none" w:sz="0" w:space="0" w:color="auto"/>
                <w:right w:val="none" w:sz="0" w:space="0" w:color="auto"/>
              </w:divBdr>
            </w:div>
            <w:div w:id="742292461">
              <w:marLeft w:val="0"/>
              <w:marRight w:val="0"/>
              <w:marTop w:val="0"/>
              <w:marBottom w:val="0"/>
              <w:divBdr>
                <w:top w:val="none" w:sz="0" w:space="0" w:color="auto"/>
                <w:left w:val="none" w:sz="0" w:space="0" w:color="auto"/>
                <w:bottom w:val="none" w:sz="0" w:space="0" w:color="auto"/>
                <w:right w:val="none" w:sz="0" w:space="0" w:color="auto"/>
              </w:divBdr>
            </w:div>
            <w:div w:id="1552114488">
              <w:marLeft w:val="0"/>
              <w:marRight w:val="0"/>
              <w:marTop w:val="0"/>
              <w:marBottom w:val="0"/>
              <w:divBdr>
                <w:top w:val="none" w:sz="0" w:space="0" w:color="auto"/>
                <w:left w:val="none" w:sz="0" w:space="0" w:color="auto"/>
                <w:bottom w:val="none" w:sz="0" w:space="0" w:color="auto"/>
                <w:right w:val="none" w:sz="0" w:space="0" w:color="auto"/>
              </w:divBdr>
            </w:div>
            <w:div w:id="316887550">
              <w:marLeft w:val="0"/>
              <w:marRight w:val="0"/>
              <w:marTop w:val="0"/>
              <w:marBottom w:val="0"/>
              <w:divBdr>
                <w:top w:val="none" w:sz="0" w:space="0" w:color="auto"/>
                <w:left w:val="none" w:sz="0" w:space="0" w:color="auto"/>
                <w:bottom w:val="none" w:sz="0" w:space="0" w:color="auto"/>
                <w:right w:val="none" w:sz="0" w:space="0" w:color="auto"/>
              </w:divBdr>
            </w:div>
          </w:divsChild>
        </w:div>
        <w:div w:id="476847013">
          <w:marLeft w:val="0"/>
          <w:marRight w:val="0"/>
          <w:marTop w:val="0"/>
          <w:marBottom w:val="0"/>
          <w:divBdr>
            <w:top w:val="none" w:sz="0" w:space="0" w:color="auto"/>
            <w:left w:val="none" w:sz="0" w:space="0" w:color="auto"/>
            <w:bottom w:val="none" w:sz="0" w:space="0" w:color="auto"/>
            <w:right w:val="none" w:sz="0" w:space="0" w:color="auto"/>
          </w:divBdr>
        </w:div>
      </w:divsChild>
    </w:div>
    <w:div w:id="650869735">
      <w:bodyDiv w:val="1"/>
      <w:marLeft w:val="0"/>
      <w:marRight w:val="0"/>
      <w:marTop w:val="0"/>
      <w:marBottom w:val="0"/>
      <w:divBdr>
        <w:top w:val="none" w:sz="0" w:space="0" w:color="auto"/>
        <w:left w:val="none" w:sz="0" w:space="0" w:color="auto"/>
        <w:bottom w:val="none" w:sz="0" w:space="0" w:color="auto"/>
        <w:right w:val="none" w:sz="0" w:space="0" w:color="auto"/>
      </w:divBdr>
    </w:div>
    <w:div w:id="651257713">
      <w:bodyDiv w:val="1"/>
      <w:marLeft w:val="0"/>
      <w:marRight w:val="0"/>
      <w:marTop w:val="0"/>
      <w:marBottom w:val="0"/>
      <w:divBdr>
        <w:top w:val="none" w:sz="0" w:space="0" w:color="auto"/>
        <w:left w:val="none" w:sz="0" w:space="0" w:color="auto"/>
        <w:bottom w:val="none" w:sz="0" w:space="0" w:color="auto"/>
        <w:right w:val="none" w:sz="0" w:space="0" w:color="auto"/>
      </w:divBdr>
      <w:divsChild>
        <w:div w:id="118308661">
          <w:marLeft w:val="0"/>
          <w:marRight w:val="0"/>
          <w:marTop w:val="0"/>
          <w:marBottom w:val="0"/>
          <w:divBdr>
            <w:top w:val="none" w:sz="0" w:space="0" w:color="auto"/>
            <w:left w:val="none" w:sz="0" w:space="0" w:color="auto"/>
            <w:bottom w:val="none" w:sz="0" w:space="0" w:color="auto"/>
            <w:right w:val="none" w:sz="0" w:space="0" w:color="auto"/>
          </w:divBdr>
        </w:div>
        <w:div w:id="290281520">
          <w:marLeft w:val="0"/>
          <w:marRight w:val="0"/>
          <w:marTop w:val="0"/>
          <w:marBottom w:val="0"/>
          <w:divBdr>
            <w:top w:val="none" w:sz="0" w:space="0" w:color="auto"/>
            <w:left w:val="none" w:sz="0" w:space="0" w:color="auto"/>
            <w:bottom w:val="none" w:sz="0" w:space="0" w:color="auto"/>
            <w:right w:val="none" w:sz="0" w:space="0" w:color="auto"/>
          </w:divBdr>
        </w:div>
        <w:div w:id="618267165">
          <w:marLeft w:val="0"/>
          <w:marRight w:val="0"/>
          <w:marTop w:val="0"/>
          <w:marBottom w:val="0"/>
          <w:divBdr>
            <w:top w:val="none" w:sz="0" w:space="0" w:color="auto"/>
            <w:left w:val="none" w:sz="0" w:space="0" w:color="auto"/>
            <w:bottom w:val="none" w:sz="0" w:space="0" w:color="auto"/>
            <w:right w:val="none" w:sz="0" w:space="0" w:color="auto"/>
          </w:divBdr>
        </w:div>
        <w:div w:id="781149401">
          <w:marLeft w:val="0"/>
          <w:marRight w:val="0"/>
          <w:marTop w:val="0"/>
          <w:marBottom w:val="0"/>
          <w:divBdr>
            <w:top w:val="none" w:sz="0" w:space="0" w:color="auto"/>
            <w:left w:val="none" w:sz="0" w:space="0" w:color="auto"/>
            <w:bottom w:val="none" w:sz="0" w:space="0" w:color="auto"/>
            <w:right w:val="none" w:sz="0" w:space="0" w:color="auto"/>
          </w:divBdr>
        </w:div>
        <w:div w:id="1042359844">
          <w:marLeft w:val="0"/>
          <w:marRight w:val="0"/>
          <w:marTop w:val="0"/>
          <w:marBottom w:val="0"/>
          <w:divBdr>
            <w:top w:val="none" w:sz="0" w:space="0" w:color="auto"/>
            <w:left w:val="none" w:sz="0" w:space="0" w:color="auto"/>
            <w:bottom w:val="none" w:sz="0" w:space="0" w:color="auto"/>
            <w:right w:val="none" w:sz="0" w:space="0" w:color="auto"/>
          </w:divBdr>
        </w:div>
        <w:div w:id="1204976490">
          <w:marLeft w:val="0"/>
          <w:marRight w:val="0"/>
          <w:marTop w:val="0"/>
          <w:marBottom w:val="0"/>
          <w:divBdr>
            <w:top w:val="none" w:sz="0" w:space="0" w:color="auto"/>
            <w:left w:val="none" w:sz="0" w:space="0" w:color="auto"/>
            <w:bottom w:val="none" w:sz="0" w:space="0" w:color="auto"/>
            <w:right w:val="none" w:sz="0" w:space="0" w:color="auto"/>
          </w:divBdr>
        </w:div>
        <w:div w:id="1243485668">
          <w:marLeft w:val="0"/>
          <w:marRight w:val="0"/>
          <w:marTop w:val="0"/>
          <w:marBottom w:val="0"/>
          <w:divBdr>
            <w:top w:val="none" w:sz="0" w:space="0" w:color="auto"/>
            <w:left w:val="none" w:sz="0" w:space="0" w:color="auto"/>
            <w:bottom w:val="none" w:sz="0" w:space="0" w:color="auto"/>
            <w:right w:val="none" w:sz="0" w:space="0" w:color="auto"/>
          </w:divBdr>
        </w:div>
        <w:div w:id="1273900904">
          <w:marLeft w:val="0"/>
          <w:marRight w:val="0"/>
          <w:marTop w:val="0"/>
          <w:marBottom w:val="0"/>
          <w:divBdr>
            <w:top w:val="none" w:sz="0" w:space="0" w:color="auto"/>
            <w:left w:val="none" w:sz="0" w:space="0" w:color="auto"/>
            <w:bottom w:val="none" w:sz="0" w:space="0" w:color="auto"/>
            <w:right w:val="none" w:sz="0" w:space="0" w:color="auto"/>
          </w:divBdr>
        </w:div>
        <w:div w:id="1593971004">
          <w:marLeft w:val="0"/>
          <w:marRight w:val="0"/>
          <w:marTop w:val="0"/>
          <w:marBottom w:val="0"/>
          <w:divBdr>
            <w:top w:val="none" w:sz="0" w:space="0" w:color="auto"/>
            <w:left w:val="none" w:sz="0" w:space="0" w:color="auto"/>
            <w:bottom w:val="none" w:sz="0" w:space="0" w:color="auto"/>
            <w:right w:val="none" w:sz="0" w:space="0" w:color="auto"/>
          </w:divBdr>
        </w:div>
        <w:div w:id="1912081950">
          <w:marLeft w:val="0"/>
          <w:marRight w:val="0"/>
          <w:marTop w:val="0"/>
          <w:marBottom w:val="0"/>
          <w:divBdr>
            <w:top w:val="none" w:sz="0" w:space="0" w:color="auto"/>
            <w:left w:val="none" w:sz="0" w:space="0" w:color="auto"/>
            <w:bottom w:val="none" w:sz="0" w:space="0" w:color="auto"/>
            <w:right w:val="none" w:sz="0" w:space="0" w:color="auto"/>
          </w:divBdr>
        </w:div>
      </w:divsChild>
    </w:div>
    <w:div w:id="673186153">
      <w:bodyDiv w:val="1"/>
      <w:marLeft w:val="0"/>
      <w:marRight w:val="0"/>
      <w:marTop w:val="0"/>
      <w:marBottom w:val="0"/>
      <w:divBdr>
        <w:top w:val="none" w:sz="0" w:space="0" w:color="auto"/>
        <w:left w:val="none" w:sz="0" w:space="0" w:color="auto"/>
        <w:bottom w:val="none" w:sz="0" w:space="0" w:color="auto"/>
        <w:right w:val="none" w:sz="0" w:space="0" w:color="auto"/>
      </w:divBdr>
      <w:divsChild>
        <w:div w:id="130445846">
          <w:marLeft w:val="0"/>
          <w:marRight w:val="0"/>
          <w:marTop w:val="0"/>
          <w:marBottom w:val="0"/>
          <w:divBdr>
            <w:top w:val="none" w:sz="0" w:space="0" w:color="auto"/>
            <w:left w:val="none" w:sz="0" w:space="0" w:color="auto"/>
            <w:bottom w:val="none" w:sz="0" w:space="0" w:color="auto"/>
            <w:right w:val="none" w:sz="0" w:space="0" w:color="auto"/>
          </w:divBdr>
          <w:divsChild>
            <w:div w:id="1131630702">
              <w:marLeft w:val="0"/>
              <w:marRight w:val="0"/>
              <w:marTop w:val="0"/>
              <w:marBottom w:val="0"/>
              <w:divBdr>
                <w:top w:val="none" w:sz="0" w:space="0" w:color="auto"/>
                <w:left w:val="none" w:sz="0" w:space="0" w:color="auto"/>
                <w:bottom w:val="none" w:sz="0" w:space="0" w:color="auto"/>
                <w:right w:val="none" w:sz="0" w:space="0" w:color="auto"/>
              </w:divBdr>
            </w:div>
            <w:div w:id="417479427">
              <w:marLeft w:val="0"/>
              <w:marRight w:val="0"/>
              <w:marTop w:val="0"/>
              <w:marBottom w:val="0"/>
              <w:divBdr>
                <w:top w:val="none" w:sz="0" w:space="0" w:color="auto"/>
                <w:left w:val="none" w:sz="0" w:space="0" w:color="auto"/>
                <w:bottom w:val="none" w:sz="0" w:space="0" w:color="auto"/>
                <w:right w:val="none" w:sz="0" w:space="0" w:color="auto"/>
              </w:divBdr>
            </w:div>
            <w:div w:id="12732149">
              <w:marLeft w:val="0"/>
              <w:marRight w:val="0"/>
              <w:marTop w:val="0"/>
              <w:marBottom w:val="0"/>
              <w:divBdr>
                <w:top w:val="none" w:sz="0" w:space="0" w:color="auto"/>
                <w:left w:val="none" w:sz="0" w:space="0" w:color="auto"/>
                <w:bottom w:val="none" w:sz="0" w:space="0" w:color="auto"/>
                <w:right w:val="none" w:sz="0" w:space="0" w:color="auto"/>
              </w:divBdr>
            </w:div>
            <w:div w:id="1040590803">
              <w:marLeft w:val="0"/>
              <w:marRight w:val="0"/>
              <w:marTop w:val="0"/>
              <w:marBottom w:val="0"/>
              <w:divBdr>
                <w:top w:val="none" w:sz="0" w:space="0" w:color="auto"/>
                <w:left w:val="none" w:sz="0" w:space="0" w:color="auto"/>
                <w:bottom w:val="none" w:sz="0" w:space="0" w:color="auto"/>
                <w:right w:val="none" w:sz="0" w:space="0" w:color="auto"/>
              </w:divBdr>
            </w:div>
            <w:div w:id="1823814189">
              <w:marLeft w:val="0"/>
              <w:marRight w:val="0"/>
              <w:marTop w:val="0"/>
              <w:marBottom w:val="0"/>
              <w:divBdr>
                <w:top w:val="none" w:sz="0" w:space="0" w:color="auto"/>
                <w:left w:val="none" w:sz="0" w:space="0" w:color="auto"/>
                <w:bottom w:val="none" w:sz="0" w:space="0" w:color="auto"/>
                <w:right w:val="none" w:sz="0" w:space="0" w:color="auto"/>
              </w:divBdr>
            </w:div>
            <w:div w:id="1854954611">
              <w:marLeft w:val="0"/>
              <w:marRight w:val="0"/>
              <w:marTop w:val="0"/>
              <w:marBottom w:val="0"/>
              <w:divBdr>
                <w:top w:val="none" w:sz="0" w:space="0" w:color="auto"/>
                <w:left w:val="none" w:sz="0" w:space="0" w:color="auto"/>
                <w:bottom w:val="none" w:sz="0" w:space="0" w:color="auto"/>
                <w:right w:val="none" w:sz="0" w:space="0" w:color="auto"/>
              </w:divBdr>
            </w:div>
            <w:div w:id="1151873638">
              <w:marLeft w:val="0"/>
              <w:marRight w:val="0"/>
              <w:marTop w:val="0"/>
              <w:marBottom w:val="0"/>
              <w:divBdr>
                <w:top w:val="none" w:sz="0" w:space="0" w:color="auto"/>
                <w:left w:val="none" w:sz="0" w:space="0" w:color="auto"/>
                <w:bottom w:val="none" w:sz="0" w:space="0" w:color="auto"/>
                <w:right w:val="none" w:sz="0" w:space="0" w:color="auto"/>
              </w:divBdr>
            </w:div>
            <w:div w:id="53478927">
              <w:marLeft w:val="0"/>
              <w:marRight w:val="0"/>
              <w:marTop w:val="0"/>
              <w:marBottom w:val="0"/>
              <w:divBdr>
                <w:top w:val="none" w:sz="0" w:space="0" w:color="auto"/>
                <w:left w:val="none" w:sz="0" w:space="0" w:color="auto"/>
                <w:bottom w:val="none" w:sz="0" w:space="0" w:color="auto"/>
                <w:right w:val="none" w:sz="0" w:space="0" w:color="auto"/>
              </w:divBdr>
            </w:div>
          </w:divsChild>
        </w:div>
        <w:div w:id="966550639">
          <w:marLeft w:val="0"/>
          <w:marRight w:val="0"/>
          <w:marTop w:val="0"/>
          <w:marBottom w:val="0"/>
          <w:divBdr>
            <w:top w:val="none" w:sz="0" w:space="0" w:color="auto"/>
            <w:left w:val="none" w:sz="0" w:space="0" w:color="auto"/>
            <w:bottom w:val="none" w:sz="0" w:space="0" w:color="auto"/>
            <w:right w:val="none" w:sz="0" w:space="0" w:color="auto"/>
          </w:divBdr>
          <w:divsChild>
            <w:div w:id="1467972815">
              <w:marLeft w:val="0"/>
              <w:marRight w:val="0"/>
              <w:marTop w:val="0"/>
              <w:marBottom w:val="0"/>
              <w:divBdr>
                <w:top w:val="none" w:sz="0" w:space="0" w:color="auto"/>
                <w:left w:val="none" w:sz="0" w:space="0" w:color="auto"/>
                <w:bottom w:val="none" w:sz="0" w:space="0" w:color="auto"/>
                <w:right w:val="none" w:sz="0" w:space="0" w:color="auto"/>
              </w:divBdr>
            </w:div>
            <w:div w:id="1243878763">
              <w:marLeft w:val="0"/>
              <w:marRight w:val="0"/>
              <w:marTop w:val="0"/>
              <w:marBottom w:val="0"/>
              <w:divBdr>
                <w:top w:val="none" w:sz="0" w:space="0" w:color="auto"/>
                <w:left w:val="none" w:sz="0" w:space="0" w:color="auto"/>
                <w:bottom w:val="none" w:sz="0" w:space="0" w:color="auto"/>
                <w:right w:val="none" w:sz="0" w:space="0" w:color="auto"/>
              </w:divBdr>
            </w:div>
            <w:div w:id="1252010835">
              <w:marLeft w:val="0"/>
              <w:marRight w:val="0"/>
              <w:marTop w:val="0"/>
              <w:marBottom w:val="0"/>
              <w:divBdr>
                <w:top w:val="none" w:sz="0" w:space="0" w:color="auto"/>
                <w:left w:val="none" w:sz="0" w:space="0" w:color="auto"/>
                <w:bottom w:val="none" w:sz="0" w:space="0" w:color="auto"/>
                <w:right w:val="none" w:sz="0" w:space="0" w:color="auto"/>
              </w:divBdr>
            </w:div>
            <w:div w:id="1337655651">
              <w:marLeft w:val="0"/>
              <w:marRight w:val="0"/>
              <w:marTop w:val="0"/>
              <w:marBottom w:val="0"/>
              <w:divBdr>
                <w:top w:val="none" w:sz="0" w:space="0" w:color="auto"/>
                <w:left w:val="none" w:sz="0" w:space="0" w:color="auto"/>
                <w:bottom w:val="none" w:sz="0" w:space="0" w:color="auto"/>
                <w:right w:val="none" w:sz="0" w:space="0" w:color="auto"/>
              </w:divBdr>
            </w:div>
            <w:div w:id="1661424270">
              <w:marLeft w:val="0"/>
              <w:marRight w:val="0"/>
              <w:marTop w:val="0"/>
              <w:marBottom w:val="0"/>
              <w:divBdr>
                <w:top w:val="none" w:sz="0" w:space="0" w:color="auto"/>
                <w:left w:val="none" w:sz="0" w:space="0" w:color="auto"/>
                <w:bottom w:val="none" w:sz="0" w:space="0" w:color="auto"/>
                <w:right w:val="none" w:sz="0" w:space="0" w:color="auto"/>
              </w:divBdr>
            </w:div>
            <w:div w:id="887230234">
              <w:marLeft w:val="0"/>
              <w:marRight w:val="0"/>
              <w:marTop w:val="0"/>
              <w:marBottom w:val="0"/>
              <w:divBdr>
                <w:top w:val="none" w:sz="0" w:space="0" w:color="auto"/>
                <w:left w:val="none" w:sz="0" w:space="0" w:color="auto"/>
                <w:bottom w:val="none" w:sz="0" w:space="0" w:color="auto"/>
                <w:right w:val="none" w:sz="0" w:space="0" w:color="auto"/>
              </w:divBdr>
            </w:div>
            <w:div w:id="1721779535">
              <w:marLeft w:val="0"/>
              <w:marRight w:val="0"/>
              <w:marTop w:val="0"/>
              <w:marBottom w:val="0"/>
              <w:divBdr>
                <w:top w:val="none" w:sz="0" w:space="0" w:color="auto"/>
                <w:left w:val="none" w:sz="0" w:space="0" w:color="auto"/>
                <w:bottom w:val="none" w:sz="0" w:space="0" w:color="auto"/>
                <w:right w:val="none" w:sz="0" w:space="0" w:color="auto"/>
              </w:divBdr>
            </w:div>
            <w:div w:id="2101371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78417">
      <w:bodyDiv w:val="1"/>
      <w:marLeft w:val="0"/>
      <w:marRight w:val="0"/>
      <w:marTop w:val="0"/>
      <w:marBottom w:val="0"/>
      <w:divBdr>
        <w:top w:val="none" w:sz="0" w:space="0" w:color="auto"/>
        <w:left w:val="none" w:sz="0" w:space="0" w:color="auto"/>
        <w:bottom w:val="none" w:sz="0" w:space="0" w:color="auto"/>
        <w:right w:val="none" w:sz="0" w:space="0" w:color="auto"/>
      </w:divBdr>
      <w:divsChild>
        <w:div w:id="1396008280">
          <w:marLeft w:val="0"/>
          <w:marRight w:val="0"/>
          <w:marTop w:val="0"/>
          <w:marBottom w:val="0"/>
          <w:divBdr>
            <w:top w:val="none" w:sz="0" w:space="0" w:color="auto"/>
            <w:left w:val="none" w:sz="0" w:space="0" w:color="auto"/>
            <w:bottom w:val="none" w:sz="0" w:space="0" w:color="auto"/>
            <w:right w:val="none" w:sz="0" w:space="0" w:color="auto"/>
          </w:divBdr>
        </w:div>
        <w:div w:id="2124882093">
          <w:marLeft w:val="0"/>
          <w:marRight w:val="0"/>
          <w:marTop w:val="0"/>
          <w:marBottom w:val="0"/>
          <w:divBdr>
            <w:top w:val="none" w:sz="0" w:space="0" w:color="auto"/>
            <w:left w:val="none" w:sz="0" w:space="0" w:color="auto"/>
            <w:bottom w:val="none" w:sz="0" w:space="0" w:color="auto"/>
            <w:right w:val="none" w:sz="0" w:space="0" w:color="auto"/>
          </w:divBdr>
        </w:div>
      </w:divsChild>
    </w:div>
    <w:div w:id="685794052">
      <w:bodyDiv w:val="1"/>
      <w:marLeft w:val="0"/>
      <w:marRight w:val="0"/>
      <w:marTop w:val="0"/>
      <w:marBottom w:val="0"/>
      <w:divBdr>
        <w:top w:val="none" w:sz="0" w:space="0" w:color="auto"/>
        <w:left w:val="none" w:sz="0" w:space="0" w:color="auto"/>
        <w:bottom w:val="none" w:sz="0" w:space="0" w:color="auto"/>
        <w:right w:val="none" w:sz="0" w:space="0" w:color="auto"/>
      </w:divBdr>
      <w:divsChild>
        <w:div w:id="797650531">
          <w:marLeft w:val="0"/>
          <w:marRight w:val="0"/>
          <w:marTop w:val="0"/>
          <w:marBottom w:val="0"/>
          <w:divBdr>
            <w:top w:val="none" w:sz="0" w:space="0" w:color="auto"/>
            <w:left w:val="none" w:sz="0" w:space="0" w:color="auto"/>
            <w:bottom w:val="none" w:sz="0" w:space="0" w:color="auto"/>
            <w:right w:val="none" w:sz="0" w:space="0" w:color="auto"/>
          </w:divBdr>
          <w:divsChild>
            <w:div w:id="2112119468">
              <w:marLeft w:val="0"/>
              <w:marRight w:val="0"/>
              <w:marTop w:val="0"/>
              <w:marBottom w:val="0"/>
              <w:divBdr>
                <w:top w:val="none" w:sz="0" w:space="0" w:color="auto"/>
                <w:left w:val="none" w:sz="0" w:space="0" w:color="auto"/>
                <w:bottom w:val="none" w:sz="0" w:space="0" w:color="auto"/>
                <w:right w:val="none" w:sz="0" w:space="0" w:color="auto"/>
              </w:divBdr>
            </w:div>
            <w:div w:id="38211430">
              <w:marLeft w:val="0"/>
              <w:marRight w:val="0"/>
              <w:marTop w:val="0"/>
              <w:marBottom w:val="0"/>
              <w:divBdr>
                <w:top w:val="none" w:sz="0" w:space="0" w:color="auto"/>
                <w:left w:val="none" w:sz="0" w:space="0" w:color="auto"/>
                <w:bottom w:val="none" w:sz="0" w:space="0" w:color="auto"/>
                <w:right w:val="none" w:sz="0" w:space="0" w:color="auto"/>
              </w:divBdr>
            </w:div>
            <w:div w:id="998121207">
              <w:marLeft w:val="0"/>
              <w:marRight w:val="0"/>
              <w:marTop w:val="0"/>
              <w:marBottom w:val="0"/>
              <w:divBdr>
                <w:top w:val="none" w:sz="0" w:space="0" w:color="auto"/>
                <w:left w:val="none" w:sz="0" w:space="0" w:color="auto"/>
                <w:bottom w:val="none" w:sz="0" w:space="0" w:color="auto"/>
                <w:right w:val="none" w:sz="0" w:space="0" w:color="auto"/>
              </w:divBdr>
            </w:div>
            <w:div w:id="56248694">
              <w:marLeft w:val="0"/>
              <w:marRight w:val="0"/>
              <w:marTop w:val="0"/>
              <w:marBottom w:val="0"/>
              <w:divBdr>
                <w:top w:val="none" w:sz="0" w:space="0" w:color="auto"/>
                <w:left w:val="none" w:sz="0" w:space="0" w:color="auto"/>
                <w:bottom w:val="none" w:sz="0" w:space="0" w:color="auto"/>
                <w:right w:val="none" w:sz="0" w:space="0" w:color="auto"/>
              </w:divBdr>
            </w:div>
            <w:div w:id="1645889354">
              <w:marLeft w:val="0"/>
              <w:marRight w:val="0"/>
              <w:marTop w:val="0"/>
              <w:marBottom w:val="0"/>
              <w:divBdr>
                <w:top w:val="none" w:sz="0" w:space="0" w:color="auto"/>
                <w:left w:val="none" w:sz="0" w:space="0" w:color="auto"/>
                <w:bottom w:val="none" w:sz="0" w:space="0" w:color="auto"/>
                <w:right w:val="none" w:sz="0" w:space="0" w:color="auto"/>
              </w:divBdr>
            </w:div>
            <w:div w:id="1798647779">
              <w:marLeft w:val="0"/>
              <w:marRight w:val="0"/>
              <w:marTop w:val="0"/>
              <w:marBottom w:val="0"/>
              <w:divBdr>
                <w:top w:val="none" w:sz="0" w:space="0" w:color="auto"/>
                <w:left w:val="none" w:sz="0" w:space="0" w:color="auto"/>
                <w:bottom w:val="none" w:sz="0" w:space="0" w:color="auto"/>
                <w:right w:val="none" w:sz="0" w:space="0" w:color="auto"/>
              </w:divBdr>
            </w:div>
            <w:div w:id="1965578575">
              <w:marLeft w:val="0"/>
              <w:marRight w:val="0"/>
              <w:marTop w:val="0"/>
              <w:marBottom w:val="0"/>
              <w:divBdr>
                <w:top w:val="none" w:sz="0" w:space="0" w:color="auto"/>
                <w:left w:val="none" w:sz="0" w:space="0" w:color="auto"/>
                <w:bottom w:val="none" w:sz="0" w:space="0" w:color="auto"/>
                <w:right w:val="none" w:sz="0" w:space="0" w:color="auto"/>
              </w:divBdr>
            </w:div>
            <w:div w:id="1497767439">
              <w:marLeft w:val="0"/>
              <w:marRight w:val="0"/>
              <w:marTop w:val="0"/>
              <w:marBottom w:val="0"/>
              <w:divBdr>
                <w:top w:val="none" w:sz="0" w:space="0" w:color="auto"/>
                <w:left w:val="none" w:sz="0" w:space="0" w:color="auto"/>
                <w:bottom w:val="none" w:sz="0" w:space="0" w:color="auto"/>
                <w:right w:val="none" w:sz="0" w:space="0" w:color="auto"/>
              </w:divBdr>
            </w:div>
            <w:div w:id="838815764">
              <w:marLeft w:val="0"/>
              <w:marRight w:val="0"/>
              <w:marTop w:val="0"/>
              <w:marBottom w:val="0"/>
              <w:divBdr>
                <w:top w:val="none" w:sz="0" w:space="0" w:color="auto"/>
                <w:left w:val="none" w:sz="0" w:space="0" w:color="auto"/>
                <w:bottom w:val="none" w:sz="0" w:space="0" w:color="auto"/>
                <w:right w:val="none" w:sz="0" w:space="0" w:color="auto"/>
              </w:divBdr>
            </w:div>
          </w:divsChild>
        </w:div>
        <w:div w:id="1681355071">
          <w:marLeft w:val="0"/>
          <w:marRight w:val="0"/>
          <w:marTop w:val="0"/>
          <w:marBottom w:val="0"/>
          <w:divBdr>
            <w:top w:val="none" w:sz="0" w:space="0" w:color="auto"/>
            <w:left w:val="none" w:sz="0" w:space="0" w:color="auto"/>
            <w:bottom w:val="none" w:sz="0" w:space="0" w:color="auto"/>
            <w:right w:val="none" w:sz="0" w:space="0" w:color="auto"/>
          </w:divBdr>
          <w:divsChild>
            <w:div w:id="740636436">
              <w:marLeft w:val="0"/>
              <w:marRight w:val="0"/>
              <w:marTop w:val="0"/>
              <w:marBottom w:val="0"/>
              <w:divBdr>
                <w:top w:val="none" w:sz="0" w:space="0" w:color="auto"/>
                <w:left w:val="none" w:sz="0" w:space="0" w:color="auto"/>
                <w:bottom w:val="none" w:sz="0" w:space="0" w:color="auto"/>
                <w:right w:val="none" w:sz="0" w:space="0" w:color="auto"/>
              </w:divBdr>
            </w:div>
            <w:div w:id="48922473">
              <w:marLeft w:val="0"/>
              <w:marRight w:val="0"/>
              <w:marTop w:val="0"/>
              <w:marBottom w:val="0"/>
              <w:divBdr>
                <w:top w:val="none" w:sz="0" w:space="0" w:color="auto"/>
                <w:left w:val="none" w:sz="0" w:space="0" w:color="auto"/>
                <w:bottom w:val="none" w:sz="0" w:space="0" w:color="auto"/>
                <w:right w:val="none" w:sz="0" w:space="0" w:color="auto"/>
              </w:divBdr>
            </w:div>
            <w:div w:id="1000546287">
              <w:marLeft w:val="0"/>
              <w:marRight w:val="0"/>
              <w:marTop w:val="0"/>
              <w:marBottom w:val="0"/>
              <w:divBdr>
                <w:top w:val="none" w:sz="0" w:space="0" w:color="auto"/>
                <w:left w:val="none" w:sz="0" w:space="0" w:color="auto"/>
                <w:bottom w:val="none" w:sz="0" w:space="0" w:color="auto"/>
                <w:right w:val="none" w:sz="0" w:space="0" w:color="auto"/>
              </w:divBdr>
            </w:div>
            <w:div w:id="2073579464">
              <w:marLeft w:val="0"/>
              <w:marRight w:val="0"/>
              <w:marTop w:val="0"/>
              <w:marBottom w:val="0"/>
              <w:divBdr>
                <w:top w:val="none" w:sz="0" w:space="0" w:color="auto"/>
                <w:left w:val="none" w:sz="0" w:space="0" w:color="auto"/>
                <w:bottom w:val="none" w:sz="0" w:space="0" w:color="auto"/>
                <w:right w:val="none" w:sz="0" w:space="0" w:color="auto"/>
              </w:divBdr>
            </w:div>
            <w:div w:id="1520849725">
              <w:marLeft w:val="0"/>
              <w:marRight w:val="0"/>
              <w:marTop w:val="0"/>
              <w:marBottom w:val="0"/>
              <w:divBdr>
                <w:top w:val="none" w:sz="0" w:space="0" w:color="auto"/>
                <w:left w:val="none" w:sz="0" w:space="0" w:color="auto"/>
                <w:bottom w:val="none" w:sz="0" w:space="0" w:color="auto"/>
                <w:right w:val="none" w:sz="0" w:space="0" w:color="auto"/>
              </w:divBdr>
            </w:div>
            <w:div w:id="1844977363">
              <w:marLeft w:val="0"/>
              <w:marRight w:val="0"/>
              <w:marTop w:val="0"/>
              <w:marBottom w:val="0"/>
              <w:divBdr>
                <w:top w:val="none" w:sz="0" w:space="0" w:color="auto"/>
                <w:left w:val="none" w:sz="0" w:space="0" w:color="auto"/>
                <w:bottom w:val="none" w:sz="0" w:space="0" w:color="auto"/>
                <w:right w:val="none" w:sz="0" w:space="0" w:color="auto"/>
              </w:divBdr>
            </w:div>
            <w:div w:id="61302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109029">
      <w:bodyDiv w:val="1"/>
      <w:marLeft w:val="0"/>
      <w:marRight w:val="0"/>
      <w:marTop w:val="0"/>
      <w:marBottom w:val="0"/>
      <w:divBdr>
        <w:top w:val="none" w:sz="0" w:space="0" w:color="auto"/>
        <w:left w:val="none" w:sz="0" w:space="0" w:color="auto"/>
        <w:bottom w:val="none" w:sz="0" w:space="0" w:color="auto"/>
        <w:right w:val="none" w:sz="0" w:space="0" w:color="auto"/>
      </w:divBdr>
    </w:div>
    <w:div w:id="699355303">
      <w:bodyDiv w:val="1"/>
      <w:marLeft w:val="0"/>
      <w:marRight w:val="0"/>
      <w:marTop w:val="0"/>
      <w:marBottom w:val="0"/>
      <w:divBdr>
        <w:top w:val="none" w:sz="0" w:space="0" w:color="auto"/>
        <w:left w:val="none" w:sz="0" w:space="0" w:color="auto"/>
        <w:bottom w:val="none" w:sz="0" w:space="0" w:color="auto"/>
        <w:right w:val="none" w:sz="0" w:space="0" w:color="auto"/>
      </w:divBdr>
      <w:divsChild>
        <w:div w:id="28143558">
          <w:marLeft w:val="0"/>
          <w:marRight w:val="0"/>
          <w:marTop w:val="0"/>
          <w:marBottom w:val="0"/>
          <w:divBdr>
            <w:top w:val="none" w:sz="0" w:space="0" w:color="auto"/>
            <w:left w:val="none" w:sz="0" w:space="0" w:color="auto"/>
            <w:bottom w:val="none" w:sz="0" w:space="0" w:color="auto"/>
            <w:right w:val="none" w:sz="0" w:space="0" w:color="auto"/>
          </w:divBdr>
        </w:div>
        <w:div w:id="44916325">
          <w:marLeft w:val="0"/>
          <w:marRight w:val="0"/>
          <w:marTop w:val="0"/>
          <w:marBottom w:val="0"/>
          <w:divBdr>
            <w:top w:val="none" w:sz="0" w:space="0" w:color="auto"/>
            <w:left w:val="none" w:sz="0" w:space="0" w:color="auto"/>
            <w:bottom w:val="none" w:sz="0" w:space="0" w:color="auto"/>
            <w:right w:val="none" w:sz="0" w:space="0" w:color="auto"/>
          </w:divBdr>
        </w:div>
        <w:div w:id="174271934">
          <w:marLeft w:val="0"/>
          <w:marRight w:val="0"/>
          <w:marTop w:val="0"/>
          <w:marBottom w:val="0"/>
          <w:divBdr>
            <w:top w:val="none" w:sz="0" w:space="0" w:color="auto"/>
            <w:left w:val="none" w:sz="0" w:space="0" w:color="auto"/>
            <w:bottom w:val="none" w:sz="0" w:space="0" w:color="auto"/>
            <w:right w:val="none" w:sz="0" w:space="0" w:color="auto"/>
          </w:divBdr>
        </w:div>
        <w:div w:id="246235691">
          <w:marLeft w:val="0"/>
          <w:marRight w:val="0"/>
          <w:marTop w:val="0"/>
          <w:marBottom w:val="0"/>
          <w:divBdr>
            <w:top w:val="none" w:sz="0" w:space="0" w:color="auto"/>
            <w:left w:val="none" w:sz="0" w:space="0" w:color="auto"/>
            <w:bottom w:val="none" w:sz="0" w:space="0" w:color="auto"/>
            <w:right w:val="none" w:sz="0" w:space="0" w:color="auto"/>
          </w:divBdr>
        </w:div>
        <w:div w:id="340013994">
          <w:marLeft w:val="0"/>
          <w:marRight w:val="0"/>
          <w:marTop w:val="0"/>
          <w:marBottom w:val="0"/>
          <w:divBdr>
            <w:top w:val="none" w:sz="0" w:space="0" w:color="auto"/>
            <w:left w:val="none" w:sz="0" w:space="0" w:color="auto"/>
            <w:bottom w:val="none" w:sz="0" w:space="0" w:color="auto"/>
            <w:right w:val="none" w:sz="0" w:space="0" w:color="auto"/>
          </w:divBdr>
        </w:div>
        <w:div w:id="359430787">
          <w:marLeft w:val="0"/>
          <w:marRight w:val="0"/>
          <w:marTop w:val="0"/>
          <w:marBottom w:val="0"/>
          <w:divBdr>
            <w:top w:val="none" w:sz="0" w:space="0" w:color="auto"/>
            <w:left w:val="none" w:sz="0" w:space="0" w:color="auto"/>
            <w:bottom w:val="none" w:sz="0" w:space="0" w:color="auto"/>
            <w:right w:val="none" w:sz="0" w:space="0" w:color="auto"/>
          </w:divBdr>
        </w:div>
        <w:div w:id="557017744">
          <w:marLeft w:val="0"/>
          <w:marRight w:val="0"/>
          <w:marTop w:val="0"/>
          <w:marBottom w:val="0"/>
          <w:divBdr>
            <w:top w:val="none" w:sz="0" w:space="0" w:color="auto"/>
            <w:left w:val="none" w:sz="0" w:space="0" w:color="auto"/>
            <w:bottom w:val="none" w:sz="0" w:space="0" w:color="auto"/>
            <w:right w:val="none" w:sz="0" w:space="0" w:color="auto"/>
          </w:divBdr>
        </w:div>
        <w:div w:id="652413698">
          <w:marLeft w:val="0"/>
          <w:marRight w:val="0"/>
          <w:marTop w:val="0"/>
          <w:marBottom w:val="0"/>
          <w:divBdr>
            <w:top w:val="none" w:sz="0" w:space="0" w:color="auto"/>
            <w:left w:val="none" w:sz="0" w:space="0" w:color="auto"/>
            <w:bottom w:val="none" w:sz="0" w:space="0" w:color="auto"/>
            <w:right w:val="none" w:sz="0" w:space="0" w:color="auto"/>
          </w:divBdr>
        </w:div>
        <w:div w:id="698969237">
          <w:marLeft w:val="0"/>
          <w:marRight w:val="0"/>
          <w:marTop w:val="0"/>
          <w:marBottom w:val="0"/>
          <w:divBdr>
            <w:top w:val="none" w:sz="0" w:space="0" w:color="auto"/>
            <w:left w:val="none" w:sz="0" w:space="0" w:color="auto"/>
            <w:bottom w:val="none" w:sz="0" w:space="0" w:color="auto"/>
            <w:right w:val="none" w:sz="0" w:space="0" w:color="auto"/>
          </w:divBdr>
        </w:div>
        <w:div w:id="793326734">
          <w:marLeft w:val="0"/>
          <w:marRight w:val="0"/>
          <w:marTop w:val="0"/>
          <w:marBottom w:val="0"/>
          <w:divBdr>
            <w:top w:val="none" w:sz="0" w:space="0" w:color="auto"/>
            <w:left w:val="none" w:sz="0" w:space="0" w:color="auto"/>
            <w:bottom w:val="none" w:sz="0" w:space="0" w:color="auto"/>
            <w:right w:val="none" w:sz="0" w:space="0" w:color="auto"/>
          </w:divBdr>
        </w:div>
        <w:div w:id="841042847">
          <w:marLeft w:val="0"/>
          <w:marRight w:val="0"/>
          <w:marTop w:val="0"/>
          <w:marBottom w:val="0"/>
          <w:divBdr>
            <w:top w:val="none" w:sz="0" w:space="0" w:color="auto"/>
            <w:left w:val="none" w:sz="0" w:space="0" w:color="auto"/>
            <w:bottom w:val="none" w:sz="0" w:space="0" w:color="auto"/>
            <w:right w:val="none" w:sz="0" w:space="0" w:color="auto"/>
          </w:divBdr>
        </w:div>
        <w:div w:id="853809290">
          <w:marLeft w:val="0"/>
          <w:marRight w:val="0"/>
          <w:marTop w:val="0"/>
          <w:marBottom w:val="0"/>
          <w:divBdr>
            <w:top w:val="none" w:sz="0" w:space="0" w:color="auto"/>
            <w:left w:val="none" w:sz="0" w:space="0" w:color="auto"/>
            <w:bottom w:val="none" w:sz="0" w:space="0" w:color="auto"/>
            <w:right w:val="none" w:sz="0" w:space="0" w:color="auto"/>
          </w:divBdr>
        </w:div>
        <w:div w:id="879173260">
          <w:marLeft w:val="0"/>
          <w:marRight w:val="0"/>
          <w:marTop w:val="0"/>
          <w:marBottom w:val="0"/>
          <w:divBdr>
            <w:top w:val="none" w:sz="0" w:space="0" w:color="auto"/>
            <w:left w:val="none" w:sz="0" w:space="0" w:color="auto"/>
            <w:bottom w:val="none" w:sz="0" w:space="0" w:color="auto"/>
            <w:right w:val="none" w:sz="0" w:space="0" w:color="auto"/>
          </w:divBdr>
        </w:div>
        <w:div w:id="968121405">
          <w:marLeft w:val="0"/>
          <w:marRight w:val="0"/>
          <w:marTop w:val="0"/>
          <w:marBottom w:val="0"/>
          <w:divBdr>
            <w:top w:val="none" w:sz="0" w:space="0" w:color="auto"/>
            <w:left w:val="none" w:sz="0" w:space="0" w:color="auto"/>
            <w:bottom w:val="none" w:sz="0" w:space="0" w:color="auto"/>
            <w:right w:val="none" w:sz="0" w:space="0" w:color="auto"/>
          </w:divBdr>
        </w:div>
        <w:div w:id="992174538">
          <w:marLeft w:val="0"/>
          <w:marRight w:val="0"/>
          <w:marTop w:val="0"/>
          <w:marBottom w:val="0"/>
          <w:divBdr>
            <w:top w:val="none" w:sz="0" w:space="0" w:color="auto"/>
            <w:left w:val="none" w:sz="0" w:space="0" w:color="auto"/>
            <w:bottom w:val="none" w:sz="0" w:space="0" w:color="auto"/>
            <w:right w:val="none" w:sz="0" w:space="0" w:color="auto"/>
          </w:divBdr>
        </w:div>
        <w:div w:id="1055546861">
          <w:marLeft w:val="0"/>
          <w:marRight w:val="0"/>
          <w:marTop w:val="0"/>
          <w:marBottom w:val="0"/>
          <w:divBdr>
            <w:top w:val="none" w:sz="0" w:space="0" w:color="auto"/>
            <w:left w:val="none" w:sz="0" w:space="0" w:color="auto"/>
            <w:bottom w:val="none" w:sz="0" w:space="0" w:color="auto"/>
            <w:right w:val="none" w:sz="0" w:space="0" w:color="auto"/>
          </w:divBdr>
        </w:div>
        <w:div w:id="1263611161">
          <w:marLeft w:val="0"/>
          <w:marRight w:val="0"/>
          <w:marTop w:val="0"/>
          <w:marBottom w:val="0"/>
          <w:divBdr>
            <w:top w:val="none" w:sz="0" w:space="0" w:color="auto"/>
            <w:left w:val="none" w:sz="0" w:space="0" w:color="auto"/>
            <w:bottom w:val="none" w:sz="0" w:space="0" w:color="auto"/>
            <w:right w:val="none" w:sz="0" w:space="0" w:color="auto"/>
          </w:divBdr>
        </w:div>
        <w:div w:id="1415543372">
          <w:marLeft w:val="0"/>
          <w:marRight w:val="0"/>
          <w:marTop w:val="0"/>
          <w:marBottom w:val="0"/>
          <w:divBdr>
            <w:top w:val="none" w:sz="0" w:space="0" w:color="auto"/>
            <w:left w:val="none" w:sz="0" w:space="0" w:color="auto"/>
            <w:bottom w:val="none" w:sz="0" w:space="0" w:color="auto"/>
            <w:right w:val="none" w:sz="0" w:space="0" w:color="auto"/>
          </w:divBdr>
        </w:div>
        <w:div w:id="1563522617">
          <w:marLeft w:val="0"/>
          <w:marRight w:val="0"/>
          <w:marTop w:val="0"/>
          <w:marBottom w:val="0"/>
          <w:divBdr>
            <w:top w:val="none" w:sz="0" w:space="0" w:color="auto"/>
            <w:left w:val="none" w:sz="0" w:space="0" w:color="auto"/>
            <w:bottom w:val="none" w:sz="0" w:space="0" w:color="auto"/>
            <w:right w:val="none" w:sz="0" w:space="0" w:color="auto"/>
          </w:divBdr>
        </w:div>
        <w:div w:id="1888177889">
          <w:marLeft w:val="0"/>
          <w:marRight w:val="0"/>
          <w:marTop w:val="0"/>
          <w:marBottom w:val="0"/>
          <w:divBdr>
            <w:top w:val="none" w:sz="0" w:space="0" w:color="auto"/>
            <w:left w:val="none" w:sz="0" w:space="0" w:color="auto"/>
            <w:bottom w:val="none" w:sz="0" w:space="0" w:color="auto"/>
            <w:right w:val="none" w:sz="0" w:space="0" w:color="auto"/>
          </w:divBdr>
        </w:div>
        <w:div w:id="1905875591">
          <w:marLeft w:val="0"/>
          <w:marRight w:val="0"/>
          <w:marTop w:val="0"/>
          <w:marBottom w:val="0"/>
          <w:divBdr>
            <w:top w:val="none" w:sz="0" w:space="0" w:color="auto"/>
            <w:left w:val="none" w:sz="0" w:space="0" w:color="auto"/>
            <w:bottom w:val="none" w:sz="0" w:space="0" w:color="auto"/>
            <w:right w:val="none" w:sz="0" w:space="0" w:color="auto"/>
          </w:divBdr>
        </w:div>
        <w:div w:id="1913079190">
          <w:marLeft w:val="0"/>
          <w:marRight w:val="0"/>
          <w:marTop w:val="0"/>
          <w:marBottom w:val="0"/>
          <w:divBdr>
            <w:top w:val="none" w:sz="0" w:space="0" w:color="auto"/>
            <w:left w:val="none" w:sz="0" w:space="0" w:color="auto"/>
            <w:bottom w:val="none" w:sz="0" w:space="0" w:color="auto"/>
            <w:right w:val="none" w:sz="0" w:space="0" w:color="auto"/>
          </w:divBdr>
        </w:div>
        <w:div w:id="1960066360">
          <w:marLeft w:val="0"/>
          <w:marRight w:val="0"/>
          <w:marTop w:val="0"/>
          <w:marBottom w:val="0"/>
          <w:divBdr>
            <w:top w:val="none" w:sz="0" w:space="0" w:color="auto"/>
            <w:left w:val="none" w:sz="0" w:space="0" w:color="auto"/>
            <w:bottom w:val="none" w:sz="0" w:space="0" w:color="auto"/>
            <w:right w:val="none" w:sz="0" w:space="0" w:color="auto"/>
          </w:divBdr>
        </w:div>
        <w:div w:id="1986547874">
          <w:marLeft w:val="0"/>
          <w:marRight w:val="0"/>
          <w:marTop w:val="0"/>
          <w:marBottom w:val="0"/>
          <w:divBdr>
            <w:top w:val="none" w:sz="0" w:space="0" w:color="auto"/>
            <w:left w:val="none" w:sz="0" w:space="0" w:color="auto"/>
            <w:bottom w:val="none" w:sz="0" w:space="0" w:color="auto"/>
            <w:right w:val="none" w:sz="0" w:space="0" w:color="auto"/>
          </w:divBdr>
        </w:div>
        <w:div w:id="2027293818">
          <w:marLeft w:val="0"/>
          <w:marRight w:val="0"/>
          <w:marTop w:val="0"/>
          <w:marBottom w:val="0"/>
          <w:divBdr>
            <w:top w:val="none" w:sz="0" w:space="0" w:color="auto"/>
            <w:left w:val="none" w:sz="0" w:space="0" w:color="auto"/>
            <w:bottom w:val="none" w:sz="0" w:space="0" w:color="auto"/>
            <w:right w:val="none" w:sz="0" w:space="0" w:color="auto"/>
          </w:divBdr>
        </w:div>
        <w:div w:id="2091541705">
          <w:marLeft w:val="0"/>
          <w:marRight w:val="0"/>
          <w:marTop w:val="0"/>
          <w:marBottom w:val="0"/>
          <w:divBdr>
            <w:top w:val="none" w:sz="0" w:space="0" w:color="auto"/>
            <w:left w:val="none" w:sz="0" w:space="0" w:color="auto"/>
            <w:bottom w:val="none" w:sz="0" w:space="0" w:color="auto"/>
            <w:right w:val="none" w:sz="0" w:space="0" w:color="auto"/>
          </w:divBdr>
        </w:div>
      </w:divsChild>
    </w:div>
    <w:div w:id="703990901">
      <w:bodyDiv w:val="1"/>
      <w:marLeft w:val="0"/>
      <w:marRight w:val="0"/>
      <w:marTop w:val="0"/>
      <w:marBottom w:val="0"/>
      <w:divBdr>
        <w:top w:val="none" w:sz="0" w:space="0" w:color="auto"/>
        <w:left w:val="none" w:sz="0" w:space="0" w:color="auto"/>
        <w:bottom w:val="none" w:sz="0" w:space="0" w:color="auto"/>
        <w:right w:val="none" w:sz="0" w:space="0" w:color="auto"/>
      </w:divBdr>
      <w:divsChild>
        <w:div w:id="1485925124">
          <w:marLeft w:val="0"/>
          <w:marRight w:val="0"/>
          <w:marTop w:val="0"/>
          <w:marBottom w:val="0"/>
          <w:divBdr>
            <w:top w:val="none" w:sz="0" w:space="0" w:color="auto"/>
            <w:left w:val="none" w:sz="0" w:space="0" w:color="auto"/>
            <w:bottom w:val="none" w:sz="0" w:space="0" w:color="auto"/>
            <w:right w:val="none" w:sz="0" w:space="0" w:color="auto"/>
          </w:divBdr>
        </w:div>
        <w:div w:id="505091680">
          <w:marLeft w:val="0"/>
          <w:marRight w:val="0"/>
          <w:marTop w:val="0"/>
          <w:marBottom w:val="0"/>
          <w:divBdr>
            <w:top w:val="none" w:sz="0" w:space="0" w:color="auto"/>
            <w:left w:val="none" w:sz="0" w:space="0" w:color="auto"/>
            <w:bottom w:val="none" w:sz="0" w:space="0" w:color="auto"/>
            <w:right w:val="none" w:sz="0" w:space="0" w:color="auto"/>
          </w:divBdr>
        </w:div>
        <w:div w:id="1811241366">
          <w:marLeft w:val="0"/>
          <w:marRight w:val="0"/>
          <w:marTop w:val="0"/>
          <w:marBottom w:val="0"/>
          <w:divBdr>
            <w:top w:val="none" w:sz="0" w:space="0" w:color="auto"/>
            <w:left w:val="none" w:sz="0" w:space="0" w:color="auto"/>
            <w:bottom w:val="none" w:sz="0" w:space="0" w:color="auto"/>
            <w:right w:val="none" w:sz="0" w:space="0" w:color="auto"/>
          </w:divBdr>
        </w:div>
        <w:div w:id="2130513587">
          <w:marLeft w:val="0"/>
          <w:marRight w:val="0"/>
          <w:marTop w:val="0"/>
          <w:marBottom w:val="0"/>
          <w:divBdr>
            <w:top w:val="none" w:sz="0" w:space="0" w:color="auto"/>
            <w:left w:val="none" w:sz="0" w:space="0" w:color="auto"/>
            <w:bottom w:val="none" w:sz="0" w:space="0" w:color="auto"/>
            <w:right w:val="none" w:sz="0" w:space="0" w:color="auto"/>
          </w:divBdr>
        </w:div>
        <w:div w:id="1704749832">
          <w:marLeft w:val="0"/>
          <w:marRight w:val="0"/>
          <w:marTop w:val="0"/>
          <w:marBottom w:val="0"/>
          <w:divBdr>
            <w:top w:val="none" w:sz="0" w:space="0" w:color="auto"/>
            <w:left w:val="none" w:sz="0" w:space="0" w:color="auto"/>
            <w:bottom w:val="none" w:sz="0" w:space="0" w:color="auto"/>
            <w:right w:val="none" w:sz="0" w:space="0" w:color="auto"/>
          </w:divBdr>
        </w:div>
        <w:div w:id="1122961489">
          <w:marLeft w:val="0"/>
          <w:marRight w:val="0"/>
          <w:marTop w:val="0"/>
          <w:marBottom w:val="0"/>
          <w:divBdr>
            <w:top w:val="none" w:sz="0" w:space="0" w:color="auto"/>
            <w:left w:val="none" w:sz="0" w:space="0" w:color="auto"/>
            <w:bottom w:val="none" w:sz="0" w:space="0" w:color="auto"/>
            <w:right w:val="none" w:sz="0" w:space="0" w:color="auto"/>
          </w:divBdr>
        </w:div>
        <w:div w:id="236212556">
          <w:marLeft w:val="0"/>
          <w:marRight w:val="0"/>
          <w:marTop w:val="0"/>
          <w:marBottom w:val="0"/>
          <w:divBdr>
            <w:top w:val="none" w:sz="0" w:space="0" w:color="auto"/>
            <w:left w:val="none" w:sz="0" w:space="0" w:color="auto"/>
            <w:bottom w:val="none" w:sz="0" w:space="0" w:color="auto"/>
            <w:right w:val="none" w:sz="0" w:space="0" w:color="auto"/>
          </w:divBdr>
        </w:div>
        <w:div w:id="26100104">
          <w:marLeft w:val="0"/>
          <w:marRight w:val="0"/>
          <w:marTop w:val="0"/>
          <w:marBottom w:val="0"/>
          <w:divBdr>
            <w:top w:val="none" w:sz="0" w:space="0" w:color="auto"/>
            <w:left w:val="none" w:sz="0" w:space="0" w:color="auto"/>
            <w:bottom w:val="none" w:sz="0" w:space="0" w:color="auto"/>
            <w:right w:val="none" w:sz="0" w:space="0" w:color="auto"/>
          </w:divBdr>
        </w:div>
        <w:div w:id="523711915">
          <w:marLeft w:val="0"/>
          <w:marRight w:val="0"/>
          <w:marTop w:val="0"/>
          <w:marBottom w:val="0"/>
          <w:divBdr>
            <w:top w:val="none" w:sz="0" w:space="0" w:color="auto"/>
            <w:left w:val="none" w:sz="0" w:space="0" w:color="auto"/>
            <w:bottom w:val="none" w:sz="0" w:space="0" w:color="auto"/>
            <w:right w:val="none" w:sz="0" w:space="0" w:color="auto"/>
          </w:divBdr>
          <w:divsChild>
            <w:div w:id="394201948">
              <w:marLeft w:val="0"/>
              <w:marRight w:val="0"/>
              <w:marTop w:val="0"/>
              <w:marBottom w:val="0"/>
              <w:divBdr>
                <w:top w:val="none" w:sz="0" w:space="0" w:color="auto"/>
                <w:left w:val="none" w:sz="0" w:space="0" w:color="auto"/>
                <w:bottom w:val="none" w:sz="0" w:space="0" w:color="auto"/>
                <w:right w:val="none" w:sz="0" w:space="0" w:color="auto"/>
              </w:divBdr>
            </w:div>
            <w:div w:id="1597861185">
              <w:marLeft w:val="0"/>
              <w:marRight w:val="0"/>
              <w:marTop w:val="0"/>
              <w:marBottom w:val="0"/>
              <w:divBdr>
                <w:top w:val="none" w:sz="0" w:space="0" w:color="auto"/>
                <w:left w:val="none" w:sz="0" w:space="0" w:color="auto"/>
                <w:bottom w:val="none" w:sz="0" w:space="0" w:color="auto"/>
                <w:right w:val="none" w:sz="0" w:space="0" w:color="auto"/>
              </w:divBdr>
            </w:div>
            <w:div w:id="2006785884">
              <w:marLeft w:val="0"/>
              <w:marRight w:val="0"/>
              <w:marTop w:val="0"/>
              <w:marBottom w:val="0"/>
              <w:divBdr>
                <w:top w:val="none" w:sz="0" w:space="0" w:color="auto"/>
                <w:left w:val="none" w:sz="0" w:space="0" w:color="auto"/>
                <w:bottom w:val="none" w:sz="0" w:space="0" w:color="auto"/>
                <w:right w:val="none" w:sz="0" w:space="0" w:color="auto"/>
              </w:divBdr>
            </w:div>
            <w:div w:id="784885839">
              <w:marLeft w:val="0"/>
              <w:marRight w:val="0"/>
              <w:marTop w:val="0"/>
              <w:marBottom w:val="0"/>
              <w:divBdr>
                <w:top w:val="none" w:sz="0" w:space="0" w:color="auto"/>
                <w:left w:val="none" w:sz="0" w:space="0" w:color="auto"/>
                <w:bottom w:val="none" w:sz="0" w:space="0" w:color="auto"/>
                <w:right w:val="none" w:sz="0" w:space="0" w:color="auto"/>
              </w:divBdr>
            </w:div>
            <w:div w:id="1010520436">
              <w:marLeft w:val="0"/>
              <w:marRight w:val="0"/>
              <w:marTop w:val="0"/>
              <w:marBottom w:val="0"/>
              <w:divBdr>
                <w:top w:val="none" w:sz="0" w:space="0" w:color="auto"/>
                <w:left w:val="none" w:sz="0" w:space="0" w:color="auto"/>
                <w:bottom w:val="none" w:sz="0" w:space="0" w:color="auto"/>
                <w:right w:val="none" w:sz="0" w:space="0" w:color="auto"/>
              </w:divBdr>
            </w:div>
            <w:div w:id="564146289">
              <w:marLeft w:val="0"/>
              <w:marRight w:val="0"/>
              <w:marTop w:val="0"/>
              <w:marBottom w:val="0"/>
              <w:divBdr>
                <w:top w:val="none" w:sz="0" w:space="0" w:color="auto"/>
                <w:left w:val="none" w:sz="0" w:space="0" w:color="auto"/>
                <w:bottom w:val="none" w:sz="0" w:space="0" w:color="auto"/>
                <w:right w:val="none" w:sz="0" w:space="0" w:color="auto"/>
              </w:divBdr>
            </w:div>
            <w:div w:id="1308513203">
              <w:marLeft w:val="0"/>
              <w:marRight w:val="0"/>
              <w:marTop w:val="0"/>
              <w:marBottom w:val="0"/>
              <w:divBdr>
                <w:top w:val="none" w:sz="0" w:space="0" w:color="auto"/>
                <w:left w:val="none" w:sz="0" w:space="0" w:color="auto"/>
                <w:bottom w:val="none" w:sz="0" w:space="0" w:color="auto"/>
                <w:right w:val="none" w:sz="0" w:space="0" w:color="auto"/>
              </w:divBdr>
            </w:div>
            <w:div w:id="1881360440">
              <w:marLeft w:val="0"/>
              <w:marRight w:val="0"/>
              <w:marTop w:val="0"/>
              <w:marBottom w:val="0"/>
              <w:divBdr>
                <w:top w:val="none" w:sz="0" w:space="0" w:color="auto"/>
                <w:left w:val="none" w:sz="0" w:space="0" w:color="auto"/>
                <w:bottom w:val="none" w:sz="0" w:space="0" w:color="auto"/>
                <w:right w:val="none" w:sz="0" w:space="0" w:color="auto"/>
              </w:divBdr>
            </w:div>
            <w:div w:id="441658126">
              <w:marLeft w:val="0"/>
              <w:marRight w:val="0"/>
              <w:marTop w:val="0"/>
              <w:marBottom w:val="0"/>
              <w:divBdr>
                <w:top w:val="none" w:sz="0" w:space="0" w:color="auto"/>
                <w:left w:val="none" w:sz="0" w:space="0" w:color="auto"/>
                <w:bottom w:val="none" w:sz="0" w:space="0" w:color="auto"/>
                <w:right w:val="none" w:sz="0" w:space="0" w:color="auto"/>
              </w:divBdr>
            </w:div>
            <w:div w:id="1731878250">
              <w:marLeft w:val="0"/>
              <w:marRight w:val="0"/>
              <w:marTop w:val="0"/>
              <w:marBottom w:val="0"/>
              <w:divBdr>
                <w:top w:val="none" w:sz="0" w:space="0" w:color="auto"/>
                <w:left w:val="none" w:sz="0" w:space="0" w:color="auto"/>
                <w:bottom w:val="none" w:sz="0" w:space="0" w:color="auto"/>
                <w:right w:val="none" w:sz="0" w:space="0" w:color="auto"/>
              </w:divBdr>
            </w:div>
            <w:div w:id="1687436560">
              <w:marLeft w:val="0"/>
              <w:marRight w:val="0"/>
              <w:marTop w:val="0"/>
              <w:marBottom w:val="0"/>
              <w:divBdr>
                <w:top w:val="none" w:sz="0" w:space="0" w:color="auto"/>
                <w:left w:val="none" w:sz="0" w:space="0" w:color="auto"/>
                <w:bottom w:val="none" w:sz="0" w:space="0" w:color="auto"/>
                <w:right w:val="none" w:sz="0" w:space="0" w:color="auto"/>
              </w:divBdr>
            </w:div>
            <w:div w:id="1801797533">
              <w:marLeft w:val="0"/>
              <w:marRight w:val="0"/>
              <w:marTop w:val="0"/>
              <w:marBottom w:val="0"/>
              <w:divBdr>
                <w:top w:val="none" w:sz="0" w:space="0" w:color="auto"/>
                <w:left w:val="none" w:sz="0" w:space="0" w:color="auto"/>
                <w:bottom w:val="none" w:sz="0" w:space="0" w:color="auto"/>
                <w:right w:val="none" w:sz="0" w:space="0" w:color="auto"/>
              </w:divBdr>
            </w:div>
            <w:div w:id="88624765">
              <w:marLeft w:val="0"/>
              <w:marRight w:val="0"/>
              <w:marTop w:val="0"/>
              <w:marBottom w:val="0"/>
              <w:divBdr>
                <w:top w:val="none" w:sz="0" w:space="0" w:color="auto"/>
                <w:left w:val="none" w:sz="0" w:space="0" w:color="auto"/>
                <w:bottom w:val="none" w:sz="0" w:space="0" w:color="auto"/>
                <w:right w:val="none" w:sz="0" w:space="0" w:color="auto"/>
              </w:divBdr>
            </w:div>
            <w:div w:id="1240945279">
              <w:marLeft w:val="0"/>
              <w:marRight w:val="0"/>
              <w:marTop w:val="0"/>
              <w:marBottom w:val="0"/>
              <w:divBdr>
                <w:top w:val="none" w:sz="0" w:space="0" w:color="auto"/>
                <w:left w:val="none" w:sz="0" w:space="0" w:color="auto"/>
                <w:bottom w:val="none" w:sz="0" w:space="0" w:color="auto"/>
                <w:right w:val="none" w:sz="0" w:space="0" w:color="auto"/>
              </w:divBdr>
            </w:div>
            <w:div w:id="77141213">
              <w:marLeft w:val="0"/>
              <w:marRight w:val="0"/>
              <w:marTop w:val="0"/>
              <w:marBottom w:val="0"/>
              <w:divBdr>
                <w:top w:val="none" w:sz="0" w:space="0" w:color="auto"/>
                <w:left w:val="none" w:sz="0" w:space="0" w:color="auto"/>
                <w:bottom w:val="none" w:sz="0" w:space="0" w:color="auto"/>
                <w:right w:val="none" w:sz="0" w:space="0" w:color="auto"/>
              </w:divBdr>
            </w:div>
            <w:div w:id="1785997799">
              <w:marLeft w:val="0"/>
              <w:marRight w:val="0"/>
              <w:marTop w:val="0"/>
              <w:marBottom w:val="0"/>
              <w:divBdr>
                <w:top w:val="none" w:sz="0" w:space="0" w:color="auto"/>
                <w:left w:val="none" w:sz="0" w:space="0" w:color="auto"/>
                <w:bottom w:val="none" w:sz="0" w:space="0" w:color="auto"/>
                <w:right w:val="none" w:sz="0" w:space="0" w:color="auto"/>
              </w:divBdr>
            </w:div>
            <w:div w:id="359669792">
              <w:marLeft w:val="0"/>
              <w:marRight w:val="0"/>
              <w:marTop w:val="0"/>
              <w:marBottom w:val="0"/>
              <w:divBdr>
                <w:top w:val="none" w:sz="0" w:space="0" w:color="auto"/>
                <w:left w:val="none" w:sz="0" w:space="0" w:color="auto"/>
                <w:bottom w:val="none" w:sz="0" w:space="0" w:color="auto"/>
                <w:right w:val="none" w:sz="0" w:space="0" w:color="auto"/>
              </w:divBdr>
            </w:div>
            <w:div w:id="1827936821">
              <w:marLeft w:val="0"/>
              <w:marRight w:val="0"/>
              <w:marTop w:val="0"/>
              <w:marBottom w:val="0"/>
              <w:divBdr>
                <w:top w:val="none" w:sz="0" w:space="0" w:color="auto"/>
                <w:left w:val="none" w:sz="0" w:space="0" w:color="auto"/>
                <w:bottom w:val="none" w:sz="0" w:space="0" w:color="auto"/>
                <w:right w:val="none" w:sz="0" w:space="0" w:color="auto"/>
              </w:divBdr>
            </w:div>
            <w:div w:id="64449483">
              <w:marLeft w:val="0"/>
              <w:marRight w:val="0"/>
              <w:marTop w:val="0"/>
              <w:marBottom w:val="0"/>
              <w:divBdr>
                <w:top w:val="none" w:sz="0" w:space="0" w:color="auto"/>
                <w:left w:val="none" w:sz="0" w:space="0" w:color="auto"/>
                <w:bottom w:val="none" w:sz="0" w:space="0" w:color="auto"/>
                <w:right w:val="none" w:sz="0" w:space="0" w:color="auto"/>
              </w:divBdr>
            </w:div>
            <w:div w:id="2064214504">
              <w:marLeft w:val="0"/>
              <w:marRight w:val="0"/>
              <w:marTop w:val="0"/>
              <w:marBottom w:val="0"/>
              <w:divBdr>
                <w:top w:val="none" w:sz="0" w:space="0" w:color="auto"/>
                <w:left w:val="none" w:sz="0" w:space="0" w:color="auto"/>
                <w:bottom w:val="none" w:sz="0" w:space="0" w:color="auto"/>
                <w:right w:val="none" w:sz="0" w:space="0" w:color="auto"/>
              </w:divBdr>
            </w:div>
          </w:divsChild>
        </w:div>
        <w:div w:id="1864172712">
          <w:marLeft w:val="0"/>
          <w:marRight w:val="0"/>
          <w:marTop w:val="0"/>
          <w:marBottom w:val="0"/>
          <w:divBdr>
            <w:top w:val="none" w:sz="0" w:space="0" w:color="auto"/>
            <w:left w:val="none" w:sz="0" w:space="0" w:color="auto"/>
            <w:bottom w:val="none" w:sz="0" w:space="0" w:color="auto"/>
            <w:right w:val="none" w:sz="0" w:space="0" w:color="auto"/>
          </w:divBdr>
        </w:div>
        <w:div w:id="411202946">
          <w:marLeft w:val="0"/>
          <w:marRight w:val="0"/>
          <w:marTop w:val="0"/>
          <w:marBottom w:val="0"/>
          <w:divBdr>
            <w:top w:val="none" w:sz="0" w:space="0" w:color="auto"/>
            <w:left w:val="none" w:sz="0" w:space="0" w:color="auto"/>
            <w:bottom w:val="none" w:sz="0" w:space="0" w:color="auto"/>
            <w:right w:val="none" w:sz="0" w:space="0" w:color="auto"/>
          </w:divBdr>
        </w:div>
      </w:divsChild>
    </w:div>
    <w:div w:id="716976875">
      <w:bodyDiv w:val="1"/>
      <w:marLeft w:val="0"/>
      <w:marRight w:val="0"/>
      <w:marTop w:val="0"/>
      <w:marBottom w:val="0"/>
      <w:divBdr>
        <w:top w:val="none" w:sz="0" w:space="0" w:color="auto"/>
        <w:left w:val="none" w:sz="0" w:space="0" w:color="auto"/>
        <w:bottom w:val="none" w:sz="0" w:space="0" w:color="auto"/>
        <w:right w:val="none" w:sz="0" w:space="0" w:color="auto"/>
      </w:divBdr>
    </w:div>
    <w:div w:id="721247039">
      <w:bodyDiv w:val="1"/>
      <w:marLeft w:val="0"/>
      <w:marRight w:val="0"/>
      <w:marTop w:val="0"/>
      <w:marBottom w:val="0"/>
      <w:divBdr>
        <w:top w:val="none" w:sz="0" w:space="0" w:color="auto"/>
        <w:left w:val="none" w:sz="0" w:space="0" w:color="auto"/>
        <w:bottom w:val="none" w:sz="0" w:space="0" w:color="auto"/>
        <w:right w:val="none" w:sz="0" w:space="0" w:color="auto"/>
      </w:divBdr>
      <w:divsChild>
        <w:div w:id="306322727">
          <w:marLeft w:val="0"/>
          <w:marRight w:val="0"/>
          <w:marTop w:val="0"/>
          <w:marBottom w:val="0"/>
          <w:divBdr>
            <w:top w:val="none" w:sz="0" w:space="0" w:color="auto"/>
            <w:left w:val="none" w:sz="0" w:space="0" w:color="auto"/>
            <w:bottom w:val="none" w:sz="0" w:space="0" w:color="auto"/>
            <w:right w:val="none" w:sz="0" w:space="0" w:color="auto"/>
          </w:divBdr>
        </w:div>
        <w:div w:id="817112514">
          <w:marLeft w:val="0"/>
          <w:marRight w:val="0"/>
          <w:marTop w:val="0"/>
          <w:marBottom w:val="0"/>
          <w:divBdr>
            <w:top w:val="none" w:sz="0" w:space="0" w:color="auto"/>
            <w:left w:val="none" w:sz="0" w:space="0" w:color="auto"/>
            <w:bottom w:val="none" w:sz="0" w:space="0" w:color="auto"/>
            <w:right w:val="none" w:sz="0" w:space="0" w:color="auto"/>
          </w:divBdr>
        </w:div>
        <w:div w:id="1102532603">
          <w:marLeft w:val="0"/>
          <w:marRight w:val="0"/>
          <w:marTop w:val="0"/>
          <w:marBottom w:val="0"/>
          <w:divBdr>
            <w:top w:val="none" w:sz="0" w:space="0" w:color="auto"/>
            <w:left w:val="none" w:sz="0" w:space="0" w:color="auto"/>
            <w:bottom w:val="none" w:sz="0" w:space="0" w:color="auto"/>
            <w:right w:val="none" w:sz="0" w:space="0" w:color="auto"/>
          </w:divBdr>
        </w:div>
        <w:div w:id="1509978619">
          <w:marLeft w:val="0"/>
          <w:marRight w:val="0"/>
          <w:marTop w:val="0"/>
          <w:marBottom w:val="0"/>
          <w:divBdr>
            <w:top w:val="none" w:sz="0" w:space="0" w:color="auto"/>
            <w:left w:val="none" w:sz="0" w:space="0" w:color="auto"/>
            <w:bottom w:val="none" w:sz="0" w:space="0" w:color="auto"/>
            <w:right w:val="none" w:sz="0" w:space="0" w:color="auto"/>
          </w:divBdr>
        </w:div>
        <w:div w:id="1638295872">
          <w:marLeft w:val="0"/>
          <w:marRight w:val="0"/>
          <w:marTop w:val="0"/>
          <w:marBottom w:val="0"/>
          <w:divBdr>
            <w:top w:val="none" w:sz="0" w:space="0" w:color="auto"/>
            <w:left w:val="none" w:sz="0" w:space="0" w:color="auto"/>
            <w:bottom w:val="none" w:sz="0" w:space="0" w:color="auto"/>
            <w:right w:val="none" w:sz="0" w:space="0" w:color="auto"/>
          </w:divBdr>
        </w:div>
        <w:div w:id="1739744732">
          <w:marLeft w:val="0"/>
          <w:marRight w:val="0"/>
          <w:marTop w:val="0"/>
          <w:marBottom w:val="0"/>
          <w:divBdr>
            <w:top w:val="none" w:sz="0" w:space="0" w:color="auto"/>
            <w:left w:val="none" w:sz="0" w:space="0" w:color="auto"/>
            <w:bottom w:val="none" w:sz="0" w:space="0" w:color="auto"/>
            <w:right w:val="none" w:sz="0" w:space="0" w:color="auto"/>
          </w:divBdr>
        </w:div>
        <w:div w:id="1882086958">
          <w:marLeft w:val="0"/>
          <w:marRight w:val="0"/>
          <w:marTop w:val="0"/>
          <w:marBottom w:val="0"/>
          <w:divBdr>
            <w:top w:val="none" w:sz="0" w:space="0" w:color="auto"/>
            <w:left w:val="none" w:sz="0" w:space="0" w:color="auto"/>
            <w:bottom w:val="none" w:sz="0" w:space="0" w:color="auto"/>
            <w:right w:val="none" w:sz="0" w:space="0" w:color="auto"/>
          </w:divBdr>
        </w:div>
        <w:div w:id="2044161480">
          <w:marLeft w:val="0"/>
          <w:marRight w:val="0"/>
          <w:marTop w:val="0"/>
          <w:marBottom w:val="0"/>
          <w:divBdr>
            <w:top w:val="none" w:sz="0" w:space="0" w:color="auto"/>
            <w:left w:val="none" w:sz="0" w:space="0" w:color="auto"/>
            <w:bottom w:val="none" w:sz="0" w:space="0" w:color="auto"/>
            <w:right w:val="none" w:sz="0" w:space="0" w:color="auto"/>
          </w:divBdr>
        </w:div>
      </w:divsChild>
    </w:div>
    <w:div w:id="748619913">
      <w:bodyDiv w:val="1"/>
      <w:marLeft w:val="0"/>
      <w:marRight w:val="0"/>
      <w:marTop w:val="0"/>
      <w:marBottom w:val="0"/>
      <w:divBdr>
        <w:top w:val="none" w:sz="0" w:space="0" w:color="auto"/>
        <w:left w:val="none" w:sz="0" w:space="0" w:color="auto"/>
        <w:bottom w:val="none" w:sz="0" w:space="0" w:color="auto"/>
        <w:right w:val="none" w:sz="0" w:space="0" w:color="auto"/>
      </w:divBdr>
    </w:div>
    <w:div w:id="764568966">
      <w:bodyDiv w:val="1"/>
      <w:marLeft w:val="0"/>
      <w:marRight w:val="0"/>
      <w:marTop w:val="0"/>
      <w:marBottom w:val="0"/>
      <w:divBdr>
        <w:top w:val="none" w:sz="0" w:space="0" w:color="auto"/>
        <w:left w:val="none" w:sz="0" w:space="0" w:color="auto"/>
        <w:bottom w:val="none" w:sz="0" w:space="0" w:color="auto"/>
        <w:right w:val="none" w:sz="0" w:space="0" w:color="auto"/>
      </w:divBdr>
      <w:divsChild>
        <w:div w:id="1119567162">
          <w:marLeft w:val="0"/>
          <w:marRight w:val="0"/>
          <w:marTop w:val="0"/>
          <w:marBottom w:val="0"/>
          <w:divBdr>
            <w:top w:val="none" w:sz="0" w:space="0" w:color="auto"/>
            <w:left w:val="none" w:sz="0" w:space="0" w:color="auto"/>
            <w:bottom w:val="none" w:sz="0" w:space="0" w:color="auto"/>
            <w:right w:val="none" w:sz="0" w:space="0" w:color="auto"/>
          </w:divBdr>
        </w:div>
        <w:div w:id="1910457671">
          <w:marLeft w:val="0"/>
          <w:marRight w:val="0"/>
          <w:marTop w:val="0"/>
          <w:marBottom w:val="0"/>
          <w:divBdr>
            <w:top w:val="none" w:sz="0" w:space="0" w:color="auto"/>
            <w:left w:val="none" w:sz="0" w:space="0" w:color="auto"/>
            <w:bottom w:val="none" w:sz="0" w:space="0" w:color="auto"/>
            <w:right w:val="none" w:sz="0" w:space="0" w:color="auto"/>
          </w:divBdr>
        </w:div>
        <w:div w:id="1424300566">
          <w:marLeft w:val="0"/>
          <w:marRight w:val="0"/>
          <w:marTop w:val="0"/>
          <w:marBottom w:val="0"/>
          <w:divBdr>
            <w:top w:val="none" w:sz="0" w:space="0" w:color="auto"/>
            <w:left w:val="none" w:sz="0" w:space="0" w:color="auto"/>
            <w:bottom w:val="none" w:sz="0" w:space="0" w:color="auto"/>
            <w:right w:val="none" w:sz="0" w:space="0" w:color="auto"/>
          </w:divBdr>
        </w:div>
        <w:div w:id="1183932123">
          <w:marLeft w:val="0"/>
          <w:marRight w:val="0"/>
          <w:marTop w:val="0"/>
          <w:marBottom w:val="0"/>
          <w:divBdr>
            <w:top w:val="none" w:sz="0" w:space="0" w:color="auto"/>
            <w:left w:val="none" w:sz="0" w:space="0" w:color="auto"/>
            <w:bottom w:val="none" w:sz="0" w:space="0" w:color="auto"/>
            <w:right w:val="none" w:sz="0" w:space="0" w:color="auto"/>
          </w:divBdr>
        </w:div>
        <w:div w:id="698429555">
          <w:marLeft w:val="0"/>
          <w:marRight w:val="0"/>
          <w:marTop w:val="0"/>
          <w:marBottom w:val="0"/>
          <w:divBdr>
            <w:top w:val="none" w:sz="0" w:space="0" w:color="auto"/>
            <w:left w:val="none" w:sz="0" w:space="0" w:color="auto"/>
            <w:bottom w:val="none" w:sz="0" w:space="0" w:color="auto"/>
            <w:right w:val="none" w:sz="0" w:space="0" w:color="auto"/>
          </w:divBdr>
        </w:div>
        <w:div w:id="969625819">
          <w:marLeft w:val="0"/>
          <w:marRight w:val="0"/>
          <w:marTop w:val="0"/>
          <w:marBottom w:val="0"/>
          <w:divBdr>
            <w:top w:val="none" w:sz="0" w:space="0" w:color="auto"/>
            <w:left w:val="none" w:sz="0" w:space="0" w:color="auto"/>
            <w:bottom w:val="none" w:sz="0" w:space="0" w:color="auto"/>
            <w:right w:val="none" w:sz="0" w:space="0" w:color="auto"/>
          </w:divBdr>
        </w:div>
        <w:div w:id="2022967409">
          <w:marLeft w:val="0"/>
          <w:marRight w:val="0"/>
          <w:marTop w:val="0"/>
          <w:marBottom w:val="0"/>
          <w:divBdr>
            <w:top w:val="none" w:sz="0" w:space="0" w:color="auto"/>
            <w:left w:val="none" w:sz="0" w:space="0" w:color="auto"/>
            <w:bottom w:val="none" w:sz="0" w:space="0" w:color="auto"/>
            <w:right w:val="none" w:sz="0" w:space="0" w:color="auto"/>
          </w:divBdr>
        </w:div>
        <w:div w:id="529807442">
          <w:marLeft w:val="0"/>
          <w:marRight w:val="0"/>
          <w:marTop w:val="0"/>
          <w:marBottom w:val="0"/>
          <w:divBdr>
            <w:top w:val="none" w:sz="0" w:space="0" w:color="auto"/>
            <w:left w:val="none" w:sz="0" w:space="0" w:color="auto"/>
            <w:bottom w:val="none" w:sz="0" w:space="0" w:color="auto"/>
            <w:right w:val="none" w:sz="0" w:space="0" w:color="auto"/>
          </w:divBdr>
        </w:div>
        <w:div w:id="660502179">
          <w:marLeft w:val="0"/>
          <w:marRight w:val="0"/>
          <w:marTop w:val="0"/>
          <w:marBottom w:val="0"/>
          <w:divBdr>
            <w:top w:val="none" w:sz="0" w:space="0" w:color="auto"/>
            <w:left w:val="none" w:sz="0" w:space="0" w:color="auto"/>
            <w:bottom w:val="none" w:sz="0" w:space="0" w:color="auto"/>
            <w:right w:val="none" w:sz="0" w:space="0" w:color="auto"/>
          </w:divBdr>
        </w:div>
        <w:div w:id="31351171">
          <w:marLeft w:val="0"/>
          <w:marRight w:val="0"/>
          <w:marTop w:val="0"/>
          <w:marBottom w:val="0"/>
          <w:divBdr>
            <w:top w:val="none" w:sz="0" w:space="0" w:color="auto"/>
            <w:left w:val="none" w:sz="0" w:space="0" w:color="auto"/>
            <w:bottom w:val="none" w:sz="0" w:space="0" w:color="auto"/>
            <w:right w:val="none" w:sz="0" w:space="0" w:color="auto"/>
          </w:divBdr>
        </w:div>
        <w:div w:id="2133818191">
          <w:marLeft w:val="0"/>
          <w:marRight w:val="0"/>
          <w:marTop w:val="0"/>
          <w:marBottom w:val="0"/>
          <w:divBdr>
            <w:top w:val="none" w:sz="0" w:space="0" w:color="auto"/>
            <w:left w:val="none" w:sz="0" w:space="0" w:color="auto"/>
            <w:bottom w:val="none" w:sz="0" w:space="0" w:color="auto"/>
            <w:right w:val="none" w:sz="0" w:space="0" w:color="auto"/>
          </w:divBdr>
        </w:div>
        <w:div w:id="1536387390">
          <w:marLeft w:val="0"/>
          <w:marRight w:val="0"/>
          <w:marTop w:val="0"/>
          <w:marBottom w:val="0"/>
          <w:divBdr>
            <w:top w:val="none" w:sz="0" w:space="0" w:color="auto"/>
            <w:left w:val="none" w:sz="0" w:space="0" w:color="auto"/>
            <w:bottom w:val="none" w:sz="0" w:space="0" w:color="auto"/>
            <w:right w:val="none" w:sz="0" w:space="0" w:color="auto"/>
          </w:divBdr>
        </w:div>
        <w:div w:id="750857372">
          <w:marLeft w:val="0"/>
          <w:marRight w:val="0"/>
          <w:marTop w:val="0"/>
          <w:marBottom w:val="0"/>
          <w:divBdr>
            <w:top w:val="none" w:sz="0" w:space="0" w:color="auto"/>
            <w:left w:val="none" w:sz="0" w:space="0" w:color="auto"/>
            <w:bottom w:val="none" w:sz="0" w:space="0" w:color="auto"/>
            <w:right w:val="none" w:sz="0" w:space="0" w:color="auto"/>
          </w:divBdr>
        </w:div>
        <w:div w:id="1725181645">
          <w:marLeft w:val="0"/>
          <w:marRight w:val="0"/>
          <w:marTop w:val="0"/>
          <w:marBottom w:val="0"/>
          <w:divBdr>
            <w:top w:val="none" w:sz="0" w:space="0" w:color="auto"/>
            <w:left w:val="none" w:sz="0" w:space="0" w:color="auto"/>
            <w:bottom w:val="none" w:sz="0" w:space="0" w:color="auto"/>
            <w:right w:val="none" w:sz="0" w:space="0" w:color="auto"/>
          </w:divBdr>
        </w:div>
        <w:div w:id="82650711">
          <w:marLeft w:val="0"/>
          <w:marRight w:val="0"/>
          <w:marTop w:val="0"/>
          <w:marBottom w:val="0"/>
          <w:divBdr>
            <w:top w:val="none" w:sz="0" w:space="0" w:color="auto"/>
            <w:left w:val="none" w:sz="0" w:space="0" w:color="auto"/>
            <w:bottom w:val="none" w:sz="0" w:space="0" w:color="auto"/>
            <w:right w:val="none" w:sz="0" w:space="0" w:color="auto"/>
          </w:divBdr>
        </w:div>
        <w:div w:id="2081823065">
          <w:marLeft w:val="0"/>
          <w:marRight w:val="0"/>
          <w:marTop w:val="0"/>
          <w:marBottom w:val="0"/>
          <w:divBdr>
            <w:top w:val="none" w:sz="0" w:space="0" w:color="auto"/>
            <w:left w:val="none" w:sz="0" w:space="0" w:color="auto"/>
            <w:bottom w:val="none" w:sz="0" w:space="0" w:color="auto"/>
            <w:right w:val="none" w:sz="0" w:space="0" w:color="auto"/>
          </w:divBdr>
        </w:div>
        <w:div w:id="162939416">
          <w:marLeft w:val="0"/>
          <w:marRight w:val="0"/>
          <w:marTop w:val="0"/>
          <w:marBottom w:val="0"/>
          <w:divBdr>
            <w:top w:val="none" w:sz="0" w:space="0" w:color="auto"/>
            <w:left w:val="none" w:sz="0" w:space="0" w:color="auto"/>
            <w:bottom w:val="none" w:sz="0" w:space="0" w:color="auto"/>
            <w:right w:val="none" w:sz="0" w:space="0" w:color="auto"/>
          </w:divBdr>
        </w:div>
        <w:div w:id="966354557">
          <w:marLeft w:val="0"/>
          <w:marRight w:val="0"/>
          <w:marTop w:val="0"/>
          <w:marBottom w:val="0"/>
          <w:divBdr>
            <w:top w:val="none" w:sz="0" w:space="0" w:color="auto"/>
            <w:left w:val="none" w:sz="0" w:space="0" w:color="auto"/>
            <w:bottom w:val="none" w:sz="0" w:space="0" w:color="auto"/>
            <w:right w:val="none" w:sz="0" w:space="0" w:color="auto"/>
          </w:divBdr>
        </w:div>
        <w:div w:id="2142914278">
          <w:marLeft w:val="0"/>
          <w:marRight w:val="0"/>
          <w:marTop w:val="0"/>
          <w:marBottom w:val="0"/>
          <w:divBdr>
            <w:top w:val="none" w:sz="0" w:space="0" w:color="auto"/>
            <w:left w:val="none" w:sz="0" w:space="0" w:color="auto"/>
            <w:bottom w:val="none" w:sz="0" w:space="0" w:color="auto"/>
            <w:right w:val="none" w:sz="0" w:space="0" w:color="auto"/>
          </w:divBdr>
        </w:div>
        <w:div w:id="208684057">
          <w:marLeft w:val="0"/>
          <w:marRight w:val="0"/>
          <w:marTop w:val="0"/>
          <w:marBottom w:val="0"/>
          <w:divBdr>
            <w:top w:val="none" w:sz="0" w:space="0" w:color="auto"/>
            <w:left w:val="none" w:sz="0" w:space="0" w:color="auto"/>
            <w:bottom w:val="none" w:sz="0" w:space="0" w:color="auto"/>
            <w:right w:val="none" w:sz="0" w:space="0" w:color="auto"/>
          </w:divBdr>
        </w:div>
        <w:div w:id="2063745209">
          <w:marLeft w:val="0"/>
          <w:marRight w:val="0"/>
          <w:marTop w:val="0"/>
          <w:marBottom w:val="0"/>
          <w:divBdr>
            <w:top w:val="none" w:sz="0" w:space="0" w:color="auto"/>
            <w:left w:val="none" w:sz="0" w:space="0" w:color="auto"/>
            <w:bottom w:val="none" w:sz="0" w:space="0" w:color="auto"/>
            <w:right w:val="none" w:sz="0" w:space="0" w:color="auto"/>
          </w:divBdr>
        </w:div>
        <w:div w:id="1565140843">
          <w:marLeft w:val="0"/>
          <w:marRight w:val="0"/>
          <w:marTop w:val="0"/>
          <w:marBottom w:val="0"/>
          <w:divBdr>
            <w:top w:val="none" w:sz="0" w:space="0" w:color="auto"/>
            <w:left w:val="none" w:sz="0" w:space="0" w:color="auto"/>
            <w:bottom w:val="none" w:sz="0" w:space="0" w:color="auto"/>
            <w:right w:val="none" w:sz="0" w:space="0" w:color="auto"/>
          </w:divBdr>
        </w:div>
        <w:div w:id="2095668015">
          <w:marLeft w:val="0"/>
          <w:marRight w:val="0"/>
          <w:marTop w:val="0"/>
          <w:marBottom w:val="0"/>
          <w:divBdr>
            <w:top w:val="none" w:sz="0" w:space="0" w:color="auto"/>
            <w:left w:val="none" w:sz="0" w:space="0" w:color="auto"/>
            <w:bottom w:val="none" w:sz="0" w:space="0" w:color="auto"/>
            <w:right w:val="none" w:sz="0" w:space="0" w:color="auto"/>
          </w:divBdr>
        </w:div>
      </w:divsChild>
    </w:div>
    <w:div w:id="775291086">
      <w:bodyDiv w:val="1"/>
      <w:marLeft w:val="0"/>
      <w:marRight w:val="0"/>
      <w:marTop w:val="0"/>
      <w:marBottom w:val="0"/>
      <w:divBdr>
        <w:top w:val="none" w:sz="0" w:space="0" w:color="auto"/>
        <w:left w:val="none" w:sz="0" w:space="0" w:color="auto"/>
        <w:bottom w:val="none" w:sz="0" w:space="0" w:color="auto"/>
        <w:right w:val="none" w:sz="0" w:space="0" w:color="auto"/>
      </w:divBdr>
    </w:div>
    <w:div w:id="778574234">
      <w:bodyDiv w:val="1"/>
      <w:marLeft w:val="0"/>
      <w:marRight w:val="0"/>
      <w:marTop w:val="0"/>
      <w:marBottom w:val="0"/>
      <w:divBdr>
        <w:top w:val="none" w:sz="0" w:space="0" w:color="auto"/>
        <w:left w:val="none" w:sz="0" w:space="0" w:color="auto"/>
        <w:bottom w:val="none" w:sz="0" w:space="0" w:color="auto"/>
        <w:right w:val="none" w:sz="0" w:space="0" w:color="auto"/>
      </w:divBdr>
      <w:divsChild>
        <w:div w:id="1442333405">
          <w:marLeft w:val="0"/>
          <w:marRight w:val="0"/>
          <w:marTop w:val="0"/>
          <w:marBottom w:val="0"/>
          <w:divBdr>
            <w:top w:val="none" w:sz="0" w:space="0" w:color="auto"/>
            <w:left w:val="none" w:sz="0" w:space="0" w:color="auto"/>
            <w:bottom w:val="none" w:sz="0" w:space="0" w:color="auto"/>
            <w:right w:val="none" w:sz="0" w:space="0" w:color="auto"/>
          </w:divBdr>
          <w:divsChild>
            <w:div w:id="1847748150">
              <w:marLeft w:val="0"/>
              <w:marRight w:val="0"/>
              <w:marTop w:val="0"/>
              <w:marBottom w:val="0"/>
              <w:divBdr>
                <w:top w:val="none" w:sz="0" w:space="0" w:color="auto"/>
                <w:left w:val="none" w:sz="0" w:space="0" w:color="auto"/>
                <w:bottom w:val="none" w:sz="0" w:space="0" w:color="auto"/>
                <w:right w:val="none" w:sz="0" w:space="0" w:color="auto"/>
              </w:divBdr>
            </w:div>
            <w:div w:id="1169901493">
              <w:marLeft w:val="0"/>
              <w:marRight w:val="0"/>
              <w:marTop w:val="0"/>
              <w:marBottom w:val="0"/>
              <w:divBdr>
                <w:top w:val="none" w:sz="0" w:space="0" w:color="auto"/>
                <w:left w:val="none" w:sz="0" w:space="0" w:color="auto"/>
                <w:bottom w:val="none" w:sz="0" w:space="0" w:color="auto"/>
                <w:right w:val="none" w:sz="0" w:space="0" w:color="auto"/>
              </w:divBdr>
            </w:div>
            <w:div w:id="94593612">
              <w:marLeft w:val="0"/>
              <w:marRight w:val="0"/>
              <w:marTop w:val="0"/>
              <w:marBottom w:val="0"/>
              <w:divBdr>
                <w:top w:val="none" w:sz="0" w:space="0" w:color="auto"/>
                <w:left w:val="none" w:sz="0" w:space="0" w:color="auto"/>
                <w:bottom w:val="none" w:sz="0" w:space="0" w:color="auto"/>
                <w:right w:val="none" w:sz="0" w:space="0" w:color="auto"/>
              </w:divBdr>
            </w:div>
            <w:div w:id="686758504">
              <w:marLeft w:val="0"/>
              <w:marRight w:val="0"/>
              <w:marTop w:val="0"/>
              <w:marBottom w:val="0"/>
              <w:divBdr>
                <w:top w:val="none" w:sz="0" w:space="0" w:color="auto"/>
                <w:left w:val="none" w:sz="0" w:space="0" w:color="auto"/>
                <w:bottom w:val="none" w:sz="0" w:space="0" w:color="auto"/>
                <w:right w:val="none" w:sz="0" w:space="0" w:color="auto"/>
              </w:divBdr>
            </w:div>
            <w:div w:id="669867749">
              <w:marLeft w:val="0"/>
              <w:marRight w:val="0"/>
              <w:marTop w:val="0"/>
              <w:marBottom w:val="0"/>
              <w:divBdr>
                <w:top w:val="none" w:sz="0" w:space="0" w:color="auto"/>
                <w:left w:val="none" w:sz="0" w:space="0" w:color="auto"/>
                <w:bottom w:val="none" w:sz="0" w:space="0" w:color="auto"/>
                <w:right w:val="none" w:sz="0" w:space="0" w:color="auto"/>
              </w:divBdr>
            </w:div>
            <w:div w:id="1076980412">
              <w:marLeft w:val="0"/>
              <w:marRight w:val="0"/>
              <w:marTop w:val="0"/>
              <w:marBottom w:val="0"/>
              <w:divBdr>
                <w:top w:val="none" w:sz="0" w:space="0" w:color="auto"/>
                <w:left w:val="none" w:sz="0" w:space="0" w:color="auto"/>
                <w:bottom w:val="none" w:sz="0" w:space="0" w:color="auto"/>
                <w:right w:val="none" w:sz="0" w:space="0" w:color="auto"/>
              </w:divBdr>
            </w:div>
            <w:div w:id="249973592">
              <w:marLeft w:val="0"/>
              <w:marRight w:val="0"/>
              <w:marTop w:val="0"/>
              <w:marBottom w:val="0"/>
              <w:divBdr>
                <w:top w:val="none" w:sz="0" w:space="0" w:color="auto"/>
                <w:left w:val="none" w:sz="0" w:space="0" w:color="auto"/>
                <w:bottom w:val="none" w:sz="0" w:space="0" w:color="auto"/>
                <w:right w:val="none" w:sz="0" w:space="0" w:color="auto"/>
              </w:divBdr>
            </w:div>
            <w:div w:id="106315174">
              <w:marLeft w:val="0"/>
              <w:marRight w:val="0"/>
              <w:marTop w:val="0"/>
              <w:marBottom w:val="0"/>
              <w:divBdr>
                <w:top w:val="none" w:sz="0" w:space="0" w:color="auto"/>
                <w:left w:val="none" w:sz="0" w:space="0" w:color="auto"/>
                <w:bottom w:val="none" w:sz="0" w:space="0" w:color="auto"/>
                <w:right w:val="none" w:sz="0" w:space="0" w:color="auto"/>
              </w:divBdr>
            </w:div>
            <w:div w:id="403335306">
              <w:marLeft w:val="0"/>
              <w:marRight w:val="0"/>
              <w:marTop w:val="0"/>
              <w:marBottom w:val="0"/>
              <w:divBdr>
                <w:top w:val="none" w:sz="0" w:space="0" w:color="auto"/>
                <w:left w:val="none" w:sz="0" w:space="0" w:color="auto"/>
                <w:bottom w:val="none" w:sz="0" w:space="0" w:color="auto"/>
                <w:right w:val="none" w:sz="0" w:space="0" w:color="auto"/>
              </w:divBdr>
            </w:div>
            <w:div w:id="492765687">
              <w:marLeft w:val="0"/>
              <w:marRight w:val="0"/>
              <w:marTop w:val="0"/>
              <w:marBottom w:val="0"/>
              <w:divBdr>
                <w:top w:val="none" w:sz="0" w:space="0" w:color="auto"/>
                <w:left w:val="none" w:sz="0" w:space="0" w:color="auto"/>
                <w:bottom w:val="none" w:sz="0" w:space="0" w:color="auto"/>
                <w:right w:val="none" w:sz="0" w:space="0" w:color="auto"/>
              </w:divBdr>
            </w:div>
            <w:div w:id="1966498722">
              <w:marLeft w:val="0"/>
              <w:marRight w:val="0"/>
              <w:marTop w:val="0"/>
              <w:marBottom w:val="0"/>
              <w:divBdr>
                <w:top w:val="none" w:sz="0" w:space="0" w:color="auto"/>
                <w:left w:val="none" w:sz="0" w:space="0" w:color="auto"/>
                <w:bottom w:val="none" w:sz="0" w:space="0" w:color="auto"/>
                <w:right w:val="none" w:sz="0" w:space="0" w:color="auto"/>
              </w:divBdr>
            </w:div>
          </w:divsChild>
        </w:div>
        <w:div w:id="1950618516">
          <w:marLeft w:val="0"/>
          <w:marRight w:val="0"/>
          <w:marTop w:val="0"/>
          <w:marBottom w:val="0"/>
          <w:divBdr>
            <w:top w:val="none" w:sz="0" w:space="0" w:color="auto"/>
            <w:left w:val="none" w:sz="0" w:space="0" w:color="auto"/>
            <w:bottom w:val="none" w:sz="0" w:space="0" w:color="auto"/>
            <w:right w:val="none" w:sz="0" w:space="0" w:color="auto"/>
          </w:divBdr>
          <w:divsChild>
            <w:div w:id="512111598">
              <w:marLeft w:val="0"/>
              <w:marRight w:val="0"/>
              <w:marTop w:val="0"/>
              <w:marBottom w:val="0"/>
              <w:divBdr>
                <w:top w:val="none" w:sz="0" w:space="0" w:color="auto"/>
                <w:left w:val="none" w:sz="0" w:space="0" w:color="auto"/>
                <w:bottom w:val="none" w:sz="0" w:space="0" w:color="auto"/>
                <w:right w:val="none" w:sz="0" w:space="0" w:color="auto"/>
              </w:divBdr>
            </w:div>
            <w:div w:id="1295522892">
              <w:marLeft w:val="0"/>
              <w:marRight w:val="0"/>
              <w:marTop w:val="0"/>
              <w:marBottom w:val="0"/>
              <w:divBdr>
                <w:top w:val="none" w:sz="0" w:space="0" w:color="auto"/>
                <w:left w:val="none" w:sz="0" w:space="0" w:color="auto"/>
                <w:bottom w:val="none" w:sz="0" w:space="0" w:color="auto"/>
                <w:right w:val="none" w:sz="0" w:space="0" w:color="auto"/>
              </w:divBdr>
            </w:div>
            <w:div w:id="1247106167">
              <w:marLeft w:val="0"/>
              <w:marRight w:val="0"/>
              <w:marTop w:val="0"/>
              <w:marBottom w:val="0"/>
              <w:divBdr>
                <w:top w:val="none" w:sz="0" w:space="0" w:color="auto"/>
                <w:left w:val="none" w:sz="0" w:space="0" w:color="auto"/>
                <w:bottom w:val="none" w:sz="0" w:space="0" w:color="auto"/>
                <w:right w:val="none" w:sz="0" w:space="0" w:color="auto"/>
              </w:divBdr>
            </w:div>
            <w:div w:id="601185960">
              <w:marLeft w:val="0"/>
              <w:marRight w:val="0"/>
              <w:marTop w:val="0"/>
              <w:marBottom w:val="0"/>
              <w:divBdr>
                <w:top w:val="none" w:sz="0" w:space="0" w:color="auto"/>
                <w:left w:val="none" w:sz="0" w:space="0" w:color="auto"/>
                <w:bottom w:val="none" w:sz="0" w:space="0" w:color="auto"/>
                <w:right w:val="none" w:sz="0" w:space="0" w:color="auto"/>
              </w:divBdr>
            </w:div>
            <w:div w:id="1721711469">
              <w:marLeft w:val="0"/>
              <w:marRight w:val="0"/>
              <w:marTop w:val="0"/>
              <w:marBottom w:val="0"/>
              <w:divBdr>
                <w:top w:val="none" w:sz="0" w:space="0" w:color="auto"/>
                <w:left w:val="none" w:sz="0" w:space="0" w:color="auto"/>
                <w:bottom w:val="none" w:sz="0" w:space="0" w:color="auto"/>
                <w:right w:val="none" w:sz="0" w:space="0" w:color="auto"/>
              </w:divBdr>
            </w:div>
            <w:div w:id="1650939085">
              <w:marLeft w:val="0"/>
              <w:marRight w:val="0"/>
              <w:marTop w:val="0"/>
              <w:marBottom w:val="0"/>
              <w:divBdr>
                <w:top w:val="none" w:sz="0" w:space="0" w:color="auto"/>
                <w:left w:val="none" w:sz="0" w:space="0" w:color="auto"/>
                <w:bottom w:val="none" w:sz="0" w:space="0" w:color="auto"/>
                <w:right w:val="none" w:sz="0" w:space="0" w:color="auto"/>
              </w:divBdr>
            </w:div>
            <w:div w:id="1459763283">
              <w:marLeft w:val="0"/>
              <w:marRight w:val="0"/>
              <w:marTop w:val="0"/>
              <w:marBottom w:val="0"/>
              <w:divBdr>
                <w:top w:val="none" w:sz="0" w:space="0" w:color="auto"/>
                <w:left w:val="none" w:sz="0" w:space="0" w:color="auto"/>
                <w:bottom w:val="none" w:sz="0" w:space="0" w:color="auto"/>
                <w:right w:val="none" w:sz="0" w:space="0" w:color="auto"/>
              </w:divBdr>
            </w:div>
            <w:div w:id="176731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578516">
      <w:bodyDiv w:val="1"/>
      <w:marLeft w:val="0"/>
      <w:marRight w:val="0"/>
      <w:marTop w:val="0"/>
      <w:marBottom w:val="0"/>
      <w:divBdr>
        <w:top w:val="none" w:sz="0" w:space="0" w:color="auto"/>
        <w:left w:val="none" w:sz="0" w:space="0" w:color="auto"/>
        <w:bottom w:val="none" w:sz="0" w:space="0" w:color="auto"/>
        <w:right w:val="none" w:sz="0" w:space="0" w:color="auto"/>
      </w:divBdr>
    </w:div>
    <w:div w:id="792208575">
      <w:bodyDiv w:val="1"/>
      <w:marLeft w:val="0"/>
      <w:marRight w:val="0"/>
      <w:marTop w:val="0"/>
      <w:marBottom w:val="0"/>
      <w:divBdr>
        <w:top w:val="none" w:sz="0" w:space="0" w:color="auto"/>
        <w:left w:val="none" w:sz="0" w:space="0" w:color="auto"/>
        <w:bottom w:val="none" w:sz="0" w:space="0" w:color="auto"/>
        <w:right w:val="none" w:sz="0" w:space="0" w:color="auto"/>
      </w:divBdr>
    </w:div>
    <w:div w:id="794641474">
      <w:bodyDiv w:val="1"/>
      <w:marLeft w:val="0"/>
      <w:marRight w:val="0"/>
      <w:marTop w:val="0"/>
      <w:marBottom w:val="0"/>
      <w:divBdr>
        <w:top w:val="none" w:sz="0" w:space="0" w:color="auto"/>
        <w:left w:val="none" w:sz="0" w:space="0" w:color="auto"/>
        <w:bottom w:val="none" w:sz="0" w:space="0" w:color="auto"/>
        <w:right w:val="none" w:sz="0" w:space="0" w:color="auto"/>
      </w:divBdr>
      <w:divsChild>
        <w:div w:id="765425301">
          <w:marLeft w:val="0"/>
          <w:marRight w:val="0"/>
          <w:marTop w:val="0"/>
          <w:marBottom w:val="0"/>
          <w:divBdr>
            <w:top w:val="none" w:sz="0" w:space="0" w:color="auto"/>
            <w:left w:val="none" w:sz="0" w:space="0" w:color="auto"/>
            <w:bottom w:val="none" w:sz="0" w:space="0" w:color="auto"/>
            <w:right w:val="none" w:sz="0" w:space="0" w:color="auto"/>
          </w:divBdr>
        </w:div>
        <w:div w:id="1686206352">
          <w:marLeft w:val="0"/>
          <w:marRight w:val="0"/>
          <w:marTop w:val="0"/>
          <w:marBottom w:val="0"/>
          <w:divBdr>
            <w:top w:val="none" w:sz="0" w:space="0" w:color="auto"/>
            <w:left w:val="none" w:sz="0" w:space="0" w:color="auto"/>
            <w:bottom w:val="none" w:sz="0" w:space="0" w:color="auto"/>
            <w:right w:val="none" w:sz="0" w:space="0" w:color="auto"/>
          </w:divBdr>
        </w:div>
        <w:div w:id="36896896">
          <w:marLeft w:val="0"/>
          <w:marRight w:val="0"/>
          <w:marTop w:val="0"/>
          <w:marBottom w:val="0"/>
          <w:divBdr>
            <w:top w:val="none" w:sz="0" w:space="0" w:color="auto"/>
            <w:left w:val="none" w:sz="0" w:space="0" w:color="auto"/>
            <w:bottom w:val="none" w:sz="0" w:space="0" w:color="auto"/>
            <w:right w:val="none" w:sz="0" w:space="0" w:color="auto"/>
          </w:divBdr>
        </w:div>
        <w:div w:id="1010645782">
          <w:marLeft w:val="0"/>
          <w:marRight w:val="0"/>
          <w:marTop w:val="0"/>
          <w:marBottom w:val="0"/>
          <w:divBdr>
            <w:top w:val="none" w:sz="0" w:space="0" w:color="auto"/>
            <w:left w:val="none" w:sz="0" w:space="0" w:color="auto"/>
            <w:bottom w:val="none" w:sz="0" w:space="0" w:color="auto"/>
            <w:right w:val="none" w:sz="0" w:space="0" w:color="auto"/>
          </w:divBdr>
        </w:div>
        <w:div w:id="1357190900">
          <w:marLeft w:val="0"/>
          <w:marRight w:val="0"/>
          <w:marTop w:val="0"/>
          <w:marBottom w:val="0"/>
          <w:divBdr>
            <w:top w:val="none" w:sz="0" w:space="0" w:color="auto"/>
            <w:left w:val="none" w:sz="0" w:space="0" w:color="auto"/>
            <w:bottom w:val="none" w:sz="0" w:space="0" w:color="auto"/>
            <w:right w:val="none" w:sz="0" w:space="0" w:color="auto"/>
          </w:divBdr>
        </w:div>
      </w:divsChild>
    </w:div>
    <w:div w:id="810439166">
      <w:bodyDiv w:val="1"/>
      <w:marLeft w:val="0"/>
      <w:marRight w:val="0"/>
      <w:marTop w:val="0"/>
      <w:marBottom w:val="0"/>
      <w:divBdr>
        <w:top w:val="none" w:sz="0" w:space="0" w:color="auto"/>
        <w:left w:val="none" w:sz="0" w:space="0" w:color="auto"/>
        <w:bottom w:val="none" w:sz="0" w:space="0" w:color="auto"/>
        <w:right w:val="none" w:sz="0" w:space="0" w:color="auto"/>
      </w:divBdr>
    </w:div>
    <w:div w:id="820267056">
      <w:bodyDiv w:val="1"/>
      <w:marLeft w:val="0"/>
      <w:marRight w:val="0"/>
      <w:marTop w:val="0"/>
      <w:marBottom w:val="0"/>
      <w:divBdr>
        <w:top w:val="none" w:sz="0" w:space="0" w:color="auto"/>
        <w:left w:val="none" w:sz="0" w:space="0" w:color="auto"/>
        <w:bottom w:val="none" w:sz="0" w:space="0" w:color="auto"/>
        <w:right w:val="none" w:sz="0" w:space="0" w:color="auto"/>
      </w:divBdr>
      <w:divsChild>
        <w:div w:id="1833065970">
          <w:marLeft w:val="0"/>
          <w:marRight w:val="0"/>
          <w:marTop w:val="0"/>
          <w:marBottom w:val="0"/>
          <w:divBdr>
            <w:top w:val="none" w:sz="0" w:space="0" w:color="auto"/>
            <w:left w:val="none" w:sz="0" w:space="0" w:color="auto"/>
            <w:bottom w:val="none" w:sz="0" w:space="0" w:color="auto"/>
            <w:right w:val="none" w:sz="0" w:space="0" w:color="auto"/>
          </w:divBdr>
        </w:div>
        <w:div w:id="847334332">
          <w:marLeft w:val="0"/>
          <w:marRight w:val="0"/>
          <w:marTop w:val="0"/>
          <w:marBottom w:val="0"/>
          <w:divBdr>
            <w:top w:val="none" w:sz="0" w:space="0" w:color="auto"/>
            <w:left w:val="none" w:sz="0" w:space="0" w:color="auto"/>
            <w:bottom w:val="none" w:sz="0" w:space="0" w:color="auto"/>
            <w:right w:val="none" w:sz="0" w:space="0" w:color="auto"/>
          </w:divBdr>
        </w:div>
        <w:div w:id="33192940">
          <w:marLeft w:val="0"/>
          <w:marRight w:val="0"/>
          <w:marTop w:val="0"/>
          <w:marBottom w:val="0"/>
          <w:divBdr>
            <w:top w:val="none" w:sz="0" w:space="0" w:color="auto"/>
            <w:left w:val="none" w:sz="0" w:space="0" w:color="auto"/>
            <w:bottom w:val="none" w:sz="0" w:space="0" w:color="auto"/>
            <w:right w:val="none" w:sz="0" w:space="0" w:color="auto"/>
          </w:divBdr>
        </w:div>
        <w:div w:id="934170256">
          <w:marLeft w:val="0"/>
          <w:marRight w:val="0"/>
          <w:marTop w:val="0"/>
          <w:marBottom w:val="0"/>
          <w:divBdr>
            <w:top w:val="none" w:sz="0" w:space="0" w:color="auto"/>
            <w:left w:val="none" w:sz="0" w:space="0" w:color="auto"/>
            <w:bottom w:val="none" w:sz="0" w:space="0" w:color="auto"/>
            <w:right w:val="none" w:sz="0" w:space="0" w:color="auto"/>
          </w:divBdr>
        </w:div>
        <w:div w:id="2044092224">
          <w:marLeft w:val="0"/>
          <w:marRight w:val="0"/>
          <w:marTop w:val="0"/>
          <w:marBottom w:val="0"/>
          <w:divBdr>
            <w:top w:val="none" w:sz="0" w:space="0" w:color="auto"/>
            <w:left w:val="none" w:sz="0" w:space="0" w:color="auto"/>
            <w:bottom w:val="none" w:sz="0" w:space="0" w:color="auto"/>
            <w:right w:val="none" w:sz="0" w:space="0" w:color="auto"/>
          </w:divBdr>
        </w:div>
      </w:divsChild>
    </w:div>
    <w:div w:id="839006248">
      <w:bodyDiv w:val="1"/>
      <w:marLeft w:val="0"/>
      <w:marRight w:val="0"/>
      <w:marTop w:val="0"/>
      <w:marBottom w:val="0"/>
      <w:divBdr>
        <w:top w:val="none" w:sz="0" w:space="0" w:color="auto"/>
        <w:left w:val="none" w:sz="0" w:space="0" w:color="auto"/>
        <w:bottom w:val="none" w:sz="0" w:space="0" w:color="auto"/>
        <w:right w:val="none" w:sz="0" w:space="0" w:color="auto"/>
      </w:divBdr>
    </w:div>
    <w:div w:id="839463558">
      <w:bodyDiv w:val="1"/>
      <w:marLeft w:val="0"/>
      <w:marRight w:val="0"/>
      <w:marTop w:val="0"/>
      <w:marBottom w:val="0"/>
      <w:divBdr>
        <w:top w:val="none" w:sz="0" w:space="0" w:color="auto"/>
        <w:left w:val="none" w:sz="0" w:space="0" w:color="auto"/>
        <w:bottom w:val="none" w:sz="0" w:space="0" w:color="auto"/>
        <w:right w:val="none" w:sz="0" w:space="0" w:color="auto"/>
      </w:divBdr>
      <w:divsChild>
        <w:div w:id="299192418">
          <w:marLeft w:val="0"/>
          <w:marRight w:val="0"/>
          <w:marTop w:val="0"/>
          <w:marBottom w:val="0"/>
          <w:divBdr>
            <w:top w:val="none" w:sz="0" w:space="0" w:color="auto"/>
            <w:left w:val="none" w:sz="0" w:space="0" w:color="auto"/>
            <w:bottom w:val="none" w:sz="0" w:space="0" w:color="auto"/>
            <w:right w:val="none" w:sz="0" w:space="0" w:color="auto"/>
          </w:divBdr>
        </w:div>
        <w:div w:id="1920363542">
          <w:marLeft w:val="0"/>
          <w:marRight w:val="0"/>
          <w:marTop w:val="0"/>
          <w:marBottom w:val="0"/>
          <w:divBdr>
            <w:top w:val="none" w:sz="0" w:space="0" w:color="auto"/>
            <w:left w:val="none" w:sz="0" w:space="0" w:color="auto"/>
            <w:bottom w:val="none" w:sz="0" w:space="0" w:color="auto"/>
            <w:right w:val="none" w:sz="0" w:space="0" w:color="auto"/>
          </w:divBdr>
        </w:div>
        <w:div w:id="1082990764">
          <w:marLeft w:val="0"/>
          <w:marRight w:val="0"/>
          <w:marTop w:val="0"/>
          <w:marBottom w:val="0"/>
          <w:divBdr>
            <w:top w:val="none" w:sz="0" w:space="0" w:color="auto"/>
            <w:left w:val="none" w:sz="0" w:space="0" w:color="auto"/>
            <w:bottom w:val="none" w:sz="0" w:space="0" w:color="auto"/>
            <w:right w:val="none" w:sz="0" w:space="0" w:color="auto"/>
          </w:divBdr>
        </w:div>
        <w:div w:id="62412232">
          <w:marLeft w:val="0"/>
          <w:marRight w:val="0"/>
          <w:marTop w:val="0"/>
          <w:marBottom w:val="0"/>
          <w:divBdr>
            <w:top w:val="none" w:sz="0" w:space="0" w:color="auto"/>
            <w:left w:val="none" w:sz="0" w:space="0" w:color="auto"/>
            <w:bottom w:val="none" w:sz="0" w:space="0" w:color="auto"/>
            <w:right w:val="none" w:sz="0" w:space="0" w:color="auto"/>
          </w:divBdr>
        </w:div>
        <w:div w:id="65811519">
          <w:marLeft w:val="0"/>
          <w:marRight w:val="0"/>
          <w:marTop w:val="0"/>
          <w:marBottom w:val="0"/>
          <w:divBdr>
            <w:top w:val="none" w:sz="0" w:space="0" w:color="auto"/>
            <w:left w:val="none" w:sz="0" w:space="0" w:color="auto"/>
            <w:bottom w:val="none" w:sz="0" w:space="0" w:color="auto"/>
            <w:right w:val="none" w:sz="0" w:space="0" w:color="auto"/>
          </w:divBdr>
        </w:div>
        <w:div w:id="2016224367">
          <w:marLeft w:val="0"/>
          <w:marRight w:val="0"/>
          <w:marTop w:val="0"/>
          <w:marBottom w:val="0"/>
          <w:divBdr>
            <w:top w:val="none" w:sz="0" w:space="0" w:color="auto"/>
            <w:left w:val="none" w:sz="0" w:space="0" w:color="auto"/>
            <w:bottom w:val="none" w:sz="0" w:space="0" w:color="auto"/>
            <w:right w:val="none" w:sz="0" w:space="0" w:color="auto"/>
          </w:divBdr>
          <w:divsChild>
            <w:div w:id="2100371943">
              <w:marLeft w:val="0"/>
              <w:marRight w:val="0"/>
              <w:marTop w:val="0"/>
              <w:marBottom w:val="0"/>
              <w:divBdr>
                <w:top w:val="none" w:sz="0" w:space="0" w:color="auto"/>
                <w:left w:val="none" w:sz="0" w:space="0" w:color="auto"/>
                <w:bottom w:val="none" w:sz="0" w:space="0" w:color="auto"/>
                <w:right w:val="none" w:sz="0" w:space="0" w:color="auto"/>
              </w:divBdr>
            </w:div>
            <w:div w:id="927351960">
              <w:marLeft w:val="0"/>
              <w:marRight w:val="0"/>
              <w:marTop w:val="0"/>
              <w:marBottom w:val="0"/>
              <w:divBdr>
                <w:top w:val="none" w:sz="0" w:space="0" w:color="auto"/>
                <w:left w:val="none" w:sz="0" w:space="0" w:color="auto"/>
                <w:bottom w:val="none" w:sz="0" w:space="0" w:color="auto"/>
                <w:right w:val="none" w:sz="0" w:space="0" w:color="auto"/>
              </w:divBdr>
            </w:div>
            <w:div w:id="644360187">
              <w:marLeft w:val="0"/>
              <w:marRight w:val="0"/>
              <w:marTop w:val="0"/>
              <w:marBottom w:val="0"/>
              <w:divBdr>
                <w:top w:val="none" w:sz="0" w:space="0" w:color="auto"/>
                <w:left w:val="none" w:sz="0" w:space="0" w:color="auto"/>
                <w:bottom w:val="none" w:sz="0" w:space="0" w:color="auto"/>
                <w:right w:val="none" w:sz="0" w:space="0" w:color="auto"/>
              </w:divBdr>
            </w:div>
            <w:div w:id="1785803519">
              <w:marLeft w:val="0"/>
              <w:marRight w:val="0"/>
              <w:marTop w:val="0"/>
              <w:marBottom w:val="0"/>
              <w:divBdr>
                <w:top w:val="none" w:sz="0" w:space="0" w:color="auto"/>
                <w:left w:val="none" w:sz="0" w:space="0" w:color="auto"/>
                <w:bottom w:val="none" w:sz="0" w:space="0" w:color="auto"/>
                <w:right w:val="none" w:sz="0" w:space="0" w:color="auto"/>
              </w:divBdr>
            </w:div>
            <w:div w:id="977757239">
              <w:marLeft w:val="0"/>
              <w:marRight w:val="0"/>
              <w:marTop w:val="0"/>
              <w:marBottom w:val="0"/>
              <w:divBdr>
                <w:top w:val="none" w:sz="0" w:space="0" w:color="auto"/>
                <w:left w:val="none" w:sz="0" w:space="0" w:color="auto"/>
                <w:bottom w:val="none" w:sz="0" w:space="0" w:color="auto"/>
                <w:right w:val="none" w:sz="0" w:space="0" w:color="auto"/>
              </w:divBdr>
            </w:div>
            <w:div w:id="1345015258">
              <w:marLeft w:val="0"/>
              <w:marRight w:val="0"/>
              <w:marTop w:val="0"/>
              <w:marBottom w:val="0"/>
              <w:divBdr>
                <w:top w:val="none" w:sz="0" w:space="0" w:color="auto"/>
                <w:left w:val="none" w:sz="0" w:space="0" w:color="auto"/>
                <w:bottom w:val="none" w:sz="0" w:space="0" w:color="auto"/>
                <w:right w:val="none" w:sz="0" w:space="0" w:color="auto"/>
              </w:divBdr>
            </w:div>
            <w:div w:id="1094981723">
              <w:marLeft w:val="0"/>
              <w:marRight w:val="0"/>
              <w:marTop w:val="0"/>
              <w:marBottom w:val="0"/>
              <w:divBdr>
                <w:top w:val="none" w:sz="0" w:space="0" w:color="auto"/>
                <w:left w:val="none" w:sz="0" w:space="0" w:color="auto"/>
                <w:bottom w:val="none" w:sz="0" w:space="0" w:color="auto"/>
                <w:right w:val="none" w:sz="0" w:space="0" w:color="auto"/>
              </w:divBdr>
            </w:div>
            <w:div w:id="1824858578">
              <w:marLeft w:val="0"/>
              <w:marRight w:val="0"/>
              <w:marTop w:val="0"/>
              <w:marBottom w:val="0"/>
              <w:divBdr>
                <w:top w:val="none" w:sz="0" w:space="0" w:color="auto"/>
                <w:left w:val="none" w:sz="0" w:space="0" w:color="auto"/>
                <w:bottom w:val="none" w:sz="0" w:space="0" w:color="auto"/>
                <w:right w:val="none" w:sz="0" w:space="0" w:color="auto"/>
              </w:divBdr>
            </w:div>
            <w:div w:id="1780905658">
              <w:marLeft w:val="0"/>
              <w:marRight w:val="0"/>
              <w:marTop w:val="0"/>
              <w:marBottom w:val="0"/>
              <w:divBdr>
                <w:top w:val="none" w:sz="0" w:space="0" w:color="auto"/>
                <w:left w:val="none" w:sz="0" w:space="0" w:color="auto"/>
                <w:bottom w:val="none" w:sz="0" w:space="0" w:color="auto"/>
                <w:right w:val="none" w:sz="0" w:space="0" w:color="auto"/>
              </w:divBdr>
            </w:div>
            <w:div w:id="1666007812">
              <w:marLeft w:val="0"/>
              <w:marRight w:val="0"/>
              <w:marTop w:val="0"/>
              <w:marBottom w:val="0"/>
              <w:divBdr>
                <w:top w:val="none" w:sz="0" w:space="0" w:color="auto"/>
                <w:left w:val="none" w:sz="0" w:space="0" w:color="auto"/>
                <w:bottom w:val="none" w:sz="0" w:space="0" w:color="auto"/>
                <w:right w:val="none" w:sz="0" w:space="0" w:color="auto"/>
              </w:divBdr>
            </w:div>
            <w:div w:id="62609336">
              <w:marLeft w:val="0"/>
              <w:marRight w:val="0"/>
              <w:marTop w:val="0"/>
              <w:marBottom w:val="0"/>
              <w:divBdr>
                <w:top w:val="none" w:sz="0" w:space="0" w:color="auto"/>
                <w:left w:val="none" w:sz="0" w:space="0" w:color="auto"/>
                <w:bottom w:val="none" w:sz="0" w:space="0" w:color="auto"/>
                <w:right w:val="none" w:sz="0" w:space="0" w:color="auto"/>
              </w:divBdr>
            </w:div>
            <w:div w:id="1410007908">
              <w:marLeft w:val="0"/>
              <w:marRight w:val="0"/>
              <w:marTop w:val="0"/>
              <w:marBottom w:val="0"/>
              <w:divBdr>
                <w:top w:val="none" w:sz="0" w:space="0" w:color="auto"/>
                <w:left w:val="none" w:sz="0" w:space="0" w:color="auto"/>
                <w:bottom w:val="none" w:sz="0" w:space="0" w:color="auto"/>
                <w:right w:val="none" w:sz="0" w:space="0" w:color="auto"/>
              </w:divBdr>
            </w:div>
            <w:div w:id="853030165">
              <w:marLeft w:val="0"/>
              <w:marRight w:val="0"/>
              <w:marTop w:val="0"/>
              <w:marBottom w:val="0"/>
              <w:divBdr>
                <w:top w:val="none" w:sz="0" w:space="0" w:color="auto"/>
                <w:left w:val="none" w:sz="0" w:space="0" w:color="auto"/>
                <w:bottom w:val="none" w:sz="0" w:space="0" w:color="auto"/>
                <w:right w:val="none" w:sz="0" w:space="0" w:color="auto"/>
              </w:divBdr>
            </w:div>
            <w:div w:id="289291483">
              <w:marLeft w:val="0"/>
              <w:marRight w:val="0"/>
              <w:marTop w:val="0"/>
              <w:marBottom w:val="0"/>
              <w:divBdr>
                <w:top w:val="none" w:sz="0" w:space="0" w:color="auto"/>
                <w:left w:val="none" w:sz="0" w:space="0" w:color="auto"/>
                <w:bottom w:val="none" w:sz="0" w:space="0" w:color="auto"/>
                <w:right w:val="none" w:sz="0" w:space="0" w:color="auto"/>
              </w:divBdr>
            </w:div>
            <w:div w:id="627859168">
              <w:marLeft w:val="0"/>
              <w:marRight w:val="0"/>
              <w:marTop w:val="0"/>
              <w:marBottom w:val="0"/>
              <w:divBdr>
                <w:top w:val="none" w:sz="0" w:space="0" w:color="auto"/>
                <w:left w:val="none" w:sz="0" w:space="0" w:color="auto"/>
                <w:bottom w:val="none" w:sz="0" w:space="0" w:color="auto"/>
                <w:right w:val="none" w:sz="0" w:space="0" w:color="auto"/>
              </w:divBdr>
            </w:div>
            <w:div w:id="1286766247">
              <w:marLeft w:val="0"/>
              <w:marRight w:val="0"/>
              <w:marTop w:val="0"/>
              <w:marBottom w:val="0"/>
              <w:divBdr>
                <w:top w:val="none" w:sz="0" w:space="0" w:color="auto"/>
                <w:left w:val="none" w:sz="0" w:space="0" w:color="auto"/>
                <w:bottom w:val="none" w:sz="0" w:space="0" w:color="auto"/>
                <w:right w:val="none" w:sz="0" w:space="0" w:color="auto"/>
              </w:divBdr>
            </w:div>
            <w:div w:id="194971415">
              <w:marLeft w:val="0"/>
              <w:marRight w:val="0"/>
              <w:marTop w:val="0"/>
              <w:marBottom w:val="0"/>
              <w:divBdr>
                <w:top w:val="none" w:sz="0" w:space="0" w:color="auto"/>
                <w:left w:val="none" w:sz="0" w:space="0" w:color="auto"/>
                <w:bottom w:val="none" w:sz="0" w:space="0" w:color="auto"/>
                <w:right w:val="none" w:sz="0" w:space="0" w:color="auto"/>
              </w:divBdr>
            </w:div>
            <w:div w:id="355893107">
              <w:marLeft w:val="0"/>
              <w:marRight w:val="0"/>
              <w:marTop w:val="0"/>
              <w:marBottom w:val="0"/>
              <w:divBdr>
                <w:top w:val="none" w:sz="0" w:space="0" w:color="auto"/>
                <w:left w:val="none" w:sz="0" w:space="0" w:color="auto"/>
                <w:bottom w:val="none" w:sz="0" w:space="0" w:color="auto"/>
                <w:right w:val="none" w:sz="0" w:space="0" w:color="auto"/>
              </w:divBdr>
            </w:div>
            <w:div w:id="2125230076">
              <w:marLeft w:val="0"/>
              <w:marRight w:val="0"/>
              <w:marTop w:val="0"/>
              <w:marBottom w:val="0"/>
              <w:divBdr>
                <w:top w:val="none" w:sz="0" w:space="0" w:color="auto"/>
                <w:left w:val="none" w:sz="0" w:space="0" w:color="auto"/>
                <w:bottom w:val="none" w:sz="0" w:space="0" w:color="auto"/>
                <w:right w:val="none" w:sz="0" w:space="0" w:color="auto"/>
              </w:divBdr>
            </w:div>
            <w:div w:id="596207449">
              <w:marLeft w:val="0"/>
              <w:marRight w:val="0"/>
              <w:marTop w:val="0"/>
              <w:marBottom w:val="0"/>
              <w:divBdr>
                <w:top w:val="none" w:sz="0" w:space="0" w:color="auto"/>
                <w:left w:val="none" w:sz="0" w:space="0" w:color="auto"/>
                <w:bottom w:val="none" w:sz="0" w:space="0" w:color="auto"/>
                <w:right w:val="none" w:sz="0" w:space="0" w:color="auto"/>
              </w:divBdr>
            </w:div>
          </w:divsChild>
        </w:div>
        <w:div w:id="1436053534">
          <w:marLeft w:val="0"/>
          <w:marRight w:val="0"/>
          <w:marTop w:val="0"/>
          <w:marBottom w:val="0"/>
          <w:divBdr>
            <w:top w:val="none" w:sz="0" w:space="0" w:color="auto"/>
            <w:left w:val="none" w:sz="0" w:space="0" w:color="auto"/>
            <w:bottom w:val="none" w:sz="0" w:space="0" w:color="auto"/>
            <w:right w:val="none" w:sz="0" w:space="0" w:color="auto"/>
          </w:divBdr>
        </w:div>
        <w:div w:id="1575356718">
          <w:marLeft w:val="0"/>
          <w:marRight w:val="0"/>
          <w:marTop w:val="0"/>
          <w:marBottom w:val="0"/>
          <w:divBdr>
            <w:top w:val="none" w:sz="0" w:space="0" w:color="auto"/>
            <w:left w:val="none" w:sz="0" w:space="0" w:color="auto"/>
            <w:bottom w:val="none" w:sz="0" w:space="0" w:color="auto"/>
            <w:right w:val="none" w:sz="0" w:space="0" w:color="auto"/>
          </w:divBdr>
        </w:div>
        <w:div w:id="931358827">
          <w:marLeft w:val="0"/>
          <w:marRight w:val="0"/>
          <w:marTop w:val="0"/>
          <w:marBottom w:val="0"/>
          <w:divBdr>
            <w:top w:val="none" w:sz="0" w:space="0" w:color="auto"/>
            <w:left w:val="none" w:sz="0" w:space="0" w:color="auto"/>
            <w:bottom w:val="none" w:sz="0" w:space="0" w:color="auto"/>
            <w:right w:val="none" w:sz="0" w:space="0" w:color="auto"/>
          </w:divBdr>
        </w:div>
        <w:div w:id="1726564069">
          <w:marLeft w:val="0"/>
          <w:marRight w:val="0"/>
          <w:marTop w:val="0"/>
          <w:marBottom w:val="0"/>
          <w:divBdr>
            <w:top w:val="none" w:sz="0" w:space="0" w:color="auto"/>
            <w:left w:val="none" w:sz="0" w:space="0" w:color="auto"/>
            <w:bottom w:val="none" w:sz="0" w:space="0" w:color="auto"/>
            <w:right w:val="none" w:sz="0" w:space="0" w:color="auto"/>
          </w:divBdr>
        </w:div>
        <w:div w:id="1762601155">
          <w:marLeft w:val="0"/>
          <w:marRight w:val="0"/>
          <w:marTop w:val="0"/>
          <w:marBottom w:val="0"/>
          <w:divBdr>
            <w:top w:val="none" w:sz="0" w:space="0" w:color="auto"/>
            <w:left w:val="none" w:sz="0" w:space="0" w:color="auto"/>
            <w:bottom w:val="none" w:sz="0" w:space="0" w:color="auto"/>
            <w:right w:val="none" w:sz="0" w:space="0" w:color="auto"/>
          </w:divBdr>
        </w:div>
        <w:div w:id="1175613829">
          <w:marLeft w:val="0"/>
          <w:marRight w:val="0"/>
          <w:marTop w:val="0"/>
          <w:marBottom w:val="0"/>
          <w:divBdr>
            <w:top w:val="none" w:sz="0" w:space="0" w:color="auto"/>
            <w:left w:val="none" w:sz="0" w:space="0" w:color="auto"/>
            <w:bottom w:val="none" w:sz="0" w:space="0" w:color="auto"/>
            <w:right w:val="none" w:sz="0" w:space="0" w:color="auto"/>
          </w:divBdr>
        </w:div>
      </w:divsChild>
    </w:div>
    <w:div w:id="844709012">
      <w:bodyDiv w:val="1"/>
      <w:marLeft w:val="0"/>
      <w:marRight w:val="0"/>
      <w:marTop w:val="0"/>
      <w:marBottom w:val="0"/>
      <w:divBdr>
        <w:top w:val="none" w:sz="0" w:space="0" w:color="auto"/>
        <w:left w:val="none" w:sz="0" w:space="0" w:color="auto"/>
        <w:bottom w:val="none" w:sz="0" w:space="0" w:color="auto"/>
        <w:right w:val="none" w:sz="0" w:space="0" w:color="auto"/>
      </w:divBdr>
      <w:divsChild>
        <w:div w:id="276646588">
          <w:marLeft w:val="0"/>
          <w:marRight w:val="0"/>
          <w:marTop w:val="0"/>
          <w:marBottom w:val="0"/>
          <w:divBdr>
            <w:top w:val="none" w:sz="0" w:space="0" w:color="auto"/>
            <w:left w:val="none" w:sz="0" w:space="0" w:color="auto"/>
            <w:bottom w:val="none" w:sz="0" w:space="0" w:color="auto"/>
            <w:right w:val="none" w:sz="0" w:space="0" w:color="auto"/>
          </w:divBdr>
        </w:div>
        <w:div w:id="378818778">
          <w:marLeft w:val="0"/>
          <w:marRight w:val="0"/>
          <w:marTop w:val="0"/>
          <w:marBottom w:val="0"/>
          <w:divBdr>
            <w:top w:val="none" w:sz="0" w:space="0" w:color="auto"/>
            <w:left w:val="none" w:sz="0" w:space="0" w:color="auto"/>
            <w:bottom w:val="none" w:sz="0" w:space="0" w:color="auto"/>
            <w:right w:val="none" w:sz="0" w:space="0" w:color="auto"/>
          </w:divBdr>
        </w:div>
        <w:div w:id="1085343972">
          <w:marLeft w:val="0"/>
          <w:marRight w:val="0"/>
          <w:marTop w:val="0"/>
          <w:marBottom w:val="0"/>
          <w:divBdr>
            <w:top w:val="none" w:sz="0" w:space="0" w:color="auto"/>
            <w:left w:val="none" w:sz="0" w:space="0" w:color="auto"/>
            <w:bottom w:val="none" w:sz="0" w:space="0" w:color="auto"/>
            <w:right w:val="none" w:sz="0" w:space="0" w:color="auto"/>
          </w:divBdr>
        </w:div>
        <w:div w:id="1425029538">
          <w:marLeft w:val="0"/>
          <w:marRight w:val="0"/>
          <w:marTop w:val="0"/>
          <w:marBottom w:val="0"/>
          <w:divBdr>
            <w:top w:val="none" w:sz="0" w:space="0" w:color="auto"/>
            <w:left w:val="none" w:sz="0" w:space="0" w:color="auto"/>
            <w:bottom w:val="none" w:sz="0" w:space="0" w:color="auto"/>
            <w:right w:val="none" w:sz="0" w:space="0" w:color="auto"/>
          </w:divBdr>
        </w:div>
        <w:div w:id="1516771434">
          <w:marLeft w:val="0"/>
          <w:marRight w:val="0"/>
          <w:marTop w:val="0"/>
          <w:marBottom w:val="0"/>
          <w:divBdr>
            <w:top w:val="none" w:sz="0" w:space="0" w:color="auto"/>
            <w:left w:val="none" w:sz="0" w:space="0" w:color="auto"/>
            <w:bottom w:val="none" w:sz="0" w:space="0" w:color="auto"/>
            <w:right w:val="none" w:sz="0" w:space="0" w:color="auto"/>
          </w:divBdr>
        </w:div>
        <w:div w:id="1971475474">
          <w:marLeft w:val="0"/>
          <w:marRight w:val="0"/>
          <w:marTop w:val="0"/>
          <w:marBottom w:val="0"/>
          <w:divBdr>
            <w:top w:val="none" w:sz="0" w:space="0" w:color="auto"/>
            <w:left w:val="none" w:sz="0" w:space="0" w:color="auto"/>
            <w:bottom w:val="none" w:sz="0" w:space="0" w:color="auto"/>
            <w:right w:val="none" w:sz="0" w:space="0" w:color="auto"/>
          </w:divBdr>
        </w:div>
        <w:div w:id="2027823427">
          <w:marLeft w:val="0"/>
          <w:marRight w:val="0"/>
          <w:marTop w:val="0"/>
          <w:marBottom w:val="0"/>
          <w:divBdr>
            <w:top w:val="none" w:sz="0" w:space="0" w:color="auto"/>
            <w:left w:val="none" w:sz="0" w:space="0" w:color="auto"/>
            <w:bottom w:val="none" w:sz="0" w:space="0" w:color="auto"/>
            <w:right w:val="none" w:sz="0" w:space="0" w:color="auto"/>
          </w:divBdr>
        </w:div>
      </w:divsChild>
    </w:div>
    <w:div w:id="897402992">
      <w:bodyDiv w:val="1"/>
      <w:marLeft w:val="0"/>
      <w:marRight w:val="0"/>
      <w:marTop w:val="0"/>
      <w:marBottom w:val="0"/>
      <w:divBdr>
        <w:top w:val="none" w:sz="0" w:space="0" w:color="auto"/>
        <w:left w:val="none" w:sz="0" w:space="0" w:color="auto"/>
        <w:bottom w:val="none" w:sz="0" w:space="0" w:color="auto"/>
        <w:right w:val="none" w:sz="0" w:space="0" w:color="auto"/>
      </w:divBdr>
      <w:divsChild>
        <w:div w:id="137382235">
          <w:marLeft w:val="0"/>
          <w:marRight w:val="0"/>
          <w:marTop w:val="0"/>
          <w:marBottom w:val="0"/>
          <w:divBdr>
            <w:top w:val="none" w:sz="0" w:space="0" w:color="auto"/>
            <w:left w:val="none" w:sz="0" w:space="0" w:color="auto"/>
            <w:bottom w:val="none" w:sz="0" w:space="0" w:color="auto"/>
            <w:right w:val="none" w:sz="0" w:space="0" w:color="auto"/>
          </w:divBdr>
        </w:div>
        <w:div w:id="221643172">
          <w:marLeft w:val="0"/>
          <w:marRight w:val="0"/>
          <w:marTop w:val="0"/>
          <w:marBottom w:val="0"/>
          <w:divBdr>
            <w:top w:val="none" w:sz="0" w:space="0" w:color="auto"/>
            <w:left w:val="none" w:sz="0" w:space="0" w:color="auto"/>
            <w:bottom w:val="none" w:sz="0" w:space="0" w:color="auto"/>
            <w:right w:val="none" w:sz="0" w:space="0" w:color="auto"/>
          </w:divBdr>
        </w:div>
        <w:div w:id="376047565">
          <w:marLeft w:val="0"/>
          <w:marRight w:val="0"/>
          <w:marTop w:val="0"/>
          <w:marBottom w:val="0"/>
          <w:divBdr>
            <w:top w:val="none" w:sz="0" w:space="0" w:color="auto"/>
            <w:left w:val="none" w:sz="0" w:space="0" w:color="auto"/>
            <w:bottom w:val="none" w:sz="0" w:space="0" w:color="auto"/>
            <w:right w:val="none" w:sz="0" w:space="0" w:color="auto"/>
          </w:divBdr>
        </w:div>
        <w:div w:id="748232254">
          <w:marLeft w:val="0"/>
          <w:marRight w:val="0"/>
          <w:marTop w:val="0"/>
          <w:marBottom w:val="0"/>
          <w:divBdr>
            <w:top w:val="none" w:sz="0" w:space="0" w:color="auto"/>
            <w:left w:val="none" w:sz="0" w:space="0" w:color="auto"/>
            <w:bottom w:val="none" w:sz="0" w:space="0" w:color="auto"/>
            <w:right w:val="none" w:sz="0" w:space="0" w:color="auto"/>
          </w:divBdr>
        </w:div>
        <w:div w:id="1001812301">
          <w:marLeft w:val="0"/>
          <w:marRight w:val="0"/>
          <w:marTop w:val="0"/>
          <w:marBottom w:val="0"/>
          <w:divBdr>
            <w:top w:val="none" w:sz="0" w:space="0" w:color="auto"/>
            <w:left w:val="none" w:sz="0" w:space="0" w:color="auto"/>
            <w:bottom w:val="none" w:sz="0" w:space="0" w:color="auto"/>
            <w:right w:val="none" w:sz="0" w:space="0" w:color="auto"/>
          </w:divBdr>
        </w:div>
        <w:div w:id="1019770667">
          <w:marLeft w:val="0"/>
          <w:marRight w:val="0"/>
          <w:marTop w:val="0"/>
          <w:marBottom w:val="0"/>
          <w:divBdr>
            <w:top w:val="none" w:sz="0" w:space="0" w:color="auto"/>
            <w:left w:val="none" w:sz="0" w:space="0" w:color="auto"/>
            <w:bottom w:val="none" w:sz="0" w:space="0" w:color="auto"/>
            <w:right w:val="none" w:sz="0" w:space="0" w:color="auto"/>
          </w:divBdr>
        </w:div>
        <w:div w:id="1039476535">
          <w:marLeft w:val="0"/>
          <w:marRight w:val="0"/>
          <w:marTop w:val="0"/>
          <w:marBottom w:val="0"/>
          <w:divBdr>
            <w:top w:val="none" w:sz="0" w:space="0" w:color="auto"/>
            <w:left w:val="none" w:sz="0" w:space="0" w:color="auto"/>
            <w:bottom w:val="none" w:sz="0" w:space="0" w:color="auto"/>
            <w:right w:val="none" w:sz="0" w:space="0" w:color="auto"/>
          </w:divBdr>
        </w:div>
        <w:div w:id="1253851692">
          <w:marLeft w:val="0"/>
          <w:marRight w:val="0"/>
          <w:marTop w:val="0"/>
          <w:marBottom w:val="0"/>
          <w:divBdr>
            <w:top w:val="none" w:sz="0" w:space="0" w:color="auto"/>
            <w:left w:val="none" w:sz="0" w:space="0" w:color="auto"/>
            <w:bottom w:val="none" w:sz="0" w:space="0" w:color="auto"/>
            <w:right w:val="none" w:sz="0" w:space="0" w:color="auto"/>
          </w:divBdr>
        </w:div>
        <w:div w:id="1370371332">
          <w:marLeft w:val="0"/>
          <w:marRight w:val="0"/>
          <w:marTop w:val="0"/>
          <w:marBottom w:val="0"/>
          <w:divBdr>
            <w:top w:val="none" w:sz="0" w:space="0" w:color="auto"/>
            <w:left w:val="none" w:sz="0" w:space="0" w:color="auto"/>
            <w:bottom w:val="none" w:sz="0" w:space="0" w:color="auto"/>
            <w:right w:val="none" w:sz="0" w:space="0" w:color="auto"/>
          </w:divBdr>
        </w:div>
        <w:div w:id="1603219991">
          <w:marLeft w:val="0"/>
          <w:marRight w:val="0"/>
          <w:marTop w:val="0"/>
          <w:marBottom w:val="0"/>
          <w:divBdr>
            <w:top w:val="none" w:sz="0" w:space="0" w:color="auto"/>
            <w:left w:val="none" w:sz="0" w:space="0" w:color="auto"/>
            <w:bottom w:val="none" w:sz="0" w:space="0" w:color="auto"/>
            <w:right w:val="none" w:sz="0" w:space="0" w:color="auto"/>
          </w:divBdr>
        </w:div>
        <w:div w:id="1642149499">
          <w:marLeft w:val="0"/>
          <w:marRight w:val="0"/>
          <w:marTop w:val="0"/>
          <w:marBottom w:val="0"/>
          <w:divBdr>
            <w:top w:val="none" w:sz="0" w:space="0" w:color="auto"/>
            <w:left w:val="none" w:sz="0" w:space="0" w:color="auto"/>
            <w:bottom w:val="none" w:sz="0" w:space="0" w:color="auto"/>
            <w:right w:val="none" w:sz="0" w:space="0" w:color="auto"/>
          </w:divBdr>
        </w:div>
        <w:div w:id="1671908792">
          <w:marLeft w:val="0"/>
          <w:marRight w:val="0"/>
          <w:marTop w:val="0"/>
          <w:marBottom w:val="0"/>
          <w:divBdr>
            <w:top w:val="none" w:sz="0" w:space="0" w:color="auto"/>
            <w:left w:val="none" w:sz="0" w:space="0" w:color="auto"/>
            <w:bottom w:val="none" w:sz="0" w:space="0" w:color="auto"/>
            <w:right w:val="none" w:sz="0" w:space="0" w:color="auto"/>
          </w:divBdr>
        </w:div>
        <w:div w:id="2012562401">
          <w:marLeft w:val="0"/>
          <w:marRight w:val="0"/>
          <w:marTop w:val="0"/>
          <w:marBottom w:val="0"/>
          <w:divBdr>
            <w:top w:val="none" w:sz="0" w:space="0" w:color="auto"/>
            <w:left w:val="none" w:sz="0" w:space="0" w:color="auto"/>
            <w:bottom w:val="none" w:sz="0" w:space="0" w:color="auto"/>
            <w:right w:val="none" w:sz="0" w:space="0" w:color="auto"/>
          </w:divBdr>
        </w:div>
      </w:divsChild>
    </w:div>
    <w:div w:id="903292228">
      <w:bodyDiv w:val="1"/>
      <w:marLeft w:val="0"/>
      <w:marRight w:val="0"/>
      <w:marTop w:val="0"/>
      <w:marBottom w:val="0"/>
      <w:divBdr>
        <w:top w:val="none" w:sz="0" w:space="0" w:color="auto"/>
        <w:left w:val="none" w:sz="0" w:space="0" w:color="auto"/>
        <w:bottom w:val="none" w:sz="0" w:space="0" w:color="auto"/>
        <w:right w:val="none" w:sz="0" w:space="0" w:color="auto"/>
      </w:divBdr>
      <w:divsChild>
        <w:div w:id="1425688392">
          <w:marLeft w:val="0"/>
          <w:marRight w:val="0"/>
          <w:marTop w:val="0"/>
          <w:marBottom w:val="0"/>
          <w:divBdr>
            <w:top w:val="none" w:sz="0" w:space="0" w:color="auto"/>
            <w:left w:val="none" w:sz="0" w:space="0" w:color="auto"/>
            <w:bottom w:val="none" w:sz="0" w:space="0" w:color="auto"/>
            <w:right w:val="none" w:sz="0" w:space="0" w:color="auto"/>
          </w:divBdr>
        </w:div>
        <w:div w:id="1697928139">
          <w:marLeft w:val="0"/>
          <w:marRight w:val="0"/>
          <w:marTop w:val="0"/>
          <w:marBottom w:val="0"/>
          <w:divBdr>
            <w:top w:val="none" w:sz="0" w:space="0" w:color="auto"/>
            <w:left w:val="none" w:sz="0" w:space="0" w:color="auto"/>
            <w:bottom w:val="none" w:sz="0" w:space="0" w:color="auto"/>
            <w:right w:val="none" w:sz="0" w:space="0" w:color="auto"/>
          </w:divBdr>
        </w:div>
      </w:divsChild>
    </w:div>
    <w:div w:id="912660392">
      <w:bodyDiv w:val="1"/>
      <w:marLeft w:val="0"/>
      <w:marRight w:val="0"/>
      <w:marTop w:val="0"/>
      <w:marBottom w:val="0"/>
      <w:divBdr>
        <w:top w:val="none" w:sz="0" w:space="0" w:color="auto"/>
        <w:left w:val="none" w:sz="0" w:space="0" w:color="auto"/>
        <w:bottom w:val="none" w:sz="0" w:space="0" w:color="auto"/>
        <w:right w:val="none" w:sz="0" w:space="0" w:color="auto"/>
      </w:divBdr>
      <w:divsChild>
        <w:div w:id="1646541611">
          <w:marLeft w:val="0"/>
          <w:marRight w:val="0"/>
          <w:marTop w:val="0"/>
          <w:marBottom w:val="0"/>
          <w:divBdr>
            <w:top w:val="none" w:sz="0" w:space="0" w:color="auto"/>
            <w:left w:val="none" w:sz="0" w:space="0" w:color="auto"/>
            <w:bottom w:val="none" w:sz="0" w:space="0" w:color="auto"/>
            <w:right w:val="none" w:sz="0" w:space="0" w:color="auto"/>
          </w:divBdr>
        </w:div>
        <w:div w:id="304286461">
          <w:marLeft w:val="0"/>
          <w:marRight w:val="0"/>
          <w:marTop w:val="0"/>
          <w:marBottom w:val="0"/>
          <w:divBdr>
            <w:top w:val="none" w:sz="0" w:space="0" w:color="auto"/>
            <w:left w:val="none" w:sz="0" w:space="0" w:color="auto"/>
            <w:bottom w:val="none" w:sz="0" w:space="0" w:color="auto"/>
            <w:right w:val="none" w:sz="0" w:space="0" w:color="auto"/>
          </w:divBdr>
        </w:div>
        <w:div w:id="1228614935">
          <w:marLeft w:val="0"/>
          <w:marRight w:val="0"/>
          <w:marTop w:val="0"/>
          <w:marBottom w:val="0"/>
          <w:divBdr>
            <w:top w:val="none" w:sz="0" w:space="0" w:color="auto"/>
            <w:left w:val="none" w:sz="0" w:space="0" w:color="auto"/>
            <w:bottom w:val="none" w:sz="0" w:space="0" w:color="auto"/>
            <w:right w:val="none" w:sz="0" w:space="0" w:color="auto"/>
          </w:divBdr>
        </w:div>
        <w:div w:id="1225869418">
          <w:marLeft w:val="0"/>
          <w:marRight w:val="0"/>
          <w:marTop w:val="0"/>
          <w:marBottom w:val="0"/>
          <w:divBdr>
            <w:top w:val="none" w:sz="0" w:space="0" w:color="auto"/>
            <w:left w:val="none" w:sz="0" w:space="0" w:color="auto"/>
            <w:bottom w:val="none" w:sz="0" w:space="0" w:color="auto"/>
            <w:right w:val="none" w:sz="0" w:space="0" w:color="auto"/>
          </w:divBdr>
        </w:div>
        <w:div w:id="374165205">
          <w:marLeft w:val="0"/>
          <w:marRight w:val="0"/>
          <w:marTop w:val="0"/>
          <w:marBottom w:val="0"/>
          <w:divBdr>
            <w:top w:val="none" w:sz="0" w:space="0" w:color="auto"/>
            <w:left w:val="none" w:sz="0" w:space="0" w:color="auto"/>
            <w:bottom w:val="none" w:sz="0" w:space="0" w:color="auto"/>
            <w:right w:val="none" w:sz="0" w:space="0" w:color="auto"/>
          </w:divBdr>
        </w:div>
        <w:div w:id="1634024700">
          <w:marLeft w:val="0"/>
          <w:marRight w:val="0"/>
          <w:marTop w:val="0"/>
          <w:marBottom w:val="0"/>
          <w:divBdr>
            <w:top w:val="none" w:sz="0" w:space="0" w:color="auto"/>
            <w:left w:val="none" w:sz="0" w:space="0" w:color="auto"/>
            <w:bottom w:val="none" w:sz="0" w:space="0" w:color="auto"/>
            <w:right w:val="none" w:sz="0" w:space="0" w:color="auto"/>
          </w:divBdr>
        </w:div>
        <w:div w:id="1089737704">
          <w:marLeft w:val="0"/>
          <w:marRight w:val="0"/>
          <w:marTop w:val="0"/>
          <w:marBottom w:val="0"/>
          <w:divBdr>
            <w:top w:val="none" w:sz="0" w:space="0" w:color="auto"/>
            <w:left w:val="none" w:sz="0" w:space="0" w:color="auto"/>
            <w:bottom w:val="none" w:sz="0" w:space="0" w:color="auto"/>
            <w:right w:val="none" w:sz="0" w:space="0" w:color="auto"/>
          </w:divBdr>
        </w:div>
        <w:div w:id="518741805">
          <w:marLeft w:val="0"/>
          <w:marRight w:val="0"/>
          <w:marTop w:val="0"/>
          <w:marBottom w:val="0"/>
          <w:divBdr>
            <w:top w:val="none" w:sz="0" w:space="0" w:color="auto"/>
            <w:left w:val="none" w:sz="0" w:space="0" w:color="auto"/>
            <w:bottom w:val="none" w:sz="0" w:space="0" w:color="auto"/>
            <w:right w:val="none" w:sz="0" w:space="0" w:color="auto"/>
          </w:divBdr>
        </w:div>
        <w:div w:id="1074203954">
          <w:marLeft w:val="0"/>
          <w:marRight w:val="0"/>
          <w:marTop w:val="0"/>
          <w:marBottom w:val="0"/>
          <w:divBdr>
            <w:top w:val="none" w:sz="0" w:space="0" w:color="auto"/>
            <w:left w:val="none" w:sz="0" w:space="0" w:color="auto"/>
            <w:bottom w:val="none" w:sz="0" w:space="0" w:color="auto"/>
            <w:right w:val="none" w:sz="0" w:space="0" w:color="auto"/>
          </w:divBdr>
        </w:div>
        <w:div w:id="716047395">
          <w:marLeft w:val="0"/>
          <w:marRight w:val="0"/>
          <w:marTop w:val="0"/>
          <w:marBottom w:val="0"/>
          <w:divBdr>
            <w:top w:val="none" w:sz="0" w:space="0" w:color="auto"/>
            <w:left w:val="none" w:sz="0" w:space="0" w:color="auto"/>
            <w:bottom w:val="none" w:sz="0" w:space="0" w:color="auto"/>
            <w:right w:val="none" w:sz="0" w:space="0" w:color="auto"/>
          </w:divBdr>
        </w:div>
        <w:div w:id="1258709422">
          <w:marLeft w:val="0"/>
          <w:marRight w:val="0"/>
          <w:marTop w:val="0"/>
          <w:marBottom w:val="0"/>
          <w:divBdr>
            <w:top w:val="none" w:sz="0" w:space="0" w:color="auto"/>
            <w:left w:val="none" w:sz="0" w:space="0" w:color="auto"/>
            <w:bottom w:val="none" w:sz="0" w:space="0" w:color="auto"/>
            <w:right w:val="none" w:sz="0" w:space="0" w:color="auto"/>
          </w:divBdr>
        </w:div>
        <w:div w:id="2045128246">
          <w:marLeft w:val="0"/>
          <w:marRight w:val="0"/>
          <w:marTop w:val="0"/>
          <w:marBottom w:val="0"/>
          <w:divBdr>
            <w:top w:val="none" w:sz="0" w:space="0" w:color="auto"/>
            <w:left w:val="none" w:sz="0" w:space="0" w:color="auto"/>
            <w:bottom w:val="none" w:sz="0" w:space="0" w:color="auto"/>
            <w:right w:val="none" w:sz="0" w:space="0" w:color="auto"/>
          </w:divBdr>
        </w:div>
        <w:div w:id="1721589217">
          <w:marLeft w:val="0"/>
          <w:marRight w:val="0"/>
          <w:marTop w:val="0"/>
          <w:marBottom w:val="0"/>
          <w:divBdr>
            <w:top w:val="none" w:sz="0" w:space="0" w:color="auto"/>
            <w:left w:val="none" w:sz="0" w:space="0" w:color="auto"/>
            <w:bottom w:val="none" w:sz="0" w:space="0" w:color="auto"/>
            <w:right w:val="none" w:sz="0" w:space="0" w:color="auto"/>
          </w:divBdr>
        </w:div>
        <w:div w:id="740444339">
          <w:marLeft w:val="0"/>
          <w:marRight w:val="0"/>
          <w:marTop w:val="0"/>
          <w:marBottom w:val="0"/>
          <w:divBdr>
            <w:top w:val="none" w:sz="0" w:space="0" w:color="auto"/>
            <w:left w:val="none" w:sz="0" w:space="0" w:color="auto"/>
            <w:bottom w:val="none" w:sz="0" w:space="0" w:color="auto"/>
            <w:right w:val="none" w:sz="0" w:space="0" w:color="auto"/>
          </w:divBdr>
        </w:div>
        <w:div w:id="151802844">
          <w:marLeft w:val="0"/>
          <w:marRight w:val="0"/>
          <w:marTop w:val="0"/>
          <w:marBottom w:val="0"/>
          <w:divBdr>
            <w:top w:val="none" w:sz="0" w:space="0" w:color="auto"/>
            <w:left w:val="none" w:sz="0" w:space="0" w:color="auto"/>
            <w:bottom w:val="none" w:sz="0" w:space="0" w:color="auto"/>
            <w:right w:val="none" w:sz="0" w:space="0" w:color="auto"/>
          </w:divBdr>
        </w:div>
        <w:div w:id="1138844160">
          <w:marLeft w:val="0"/>
          <w:marRight w:val="0"/>
          <w:marTop w:val="0"/>
          <w:marBottom w:val="0"/>
          <w:divBdr>
            <w:top w:val="none" w:sz="0" w:space="0" w:color="auto"/>
            <w:left w:val="none" w:sz="0" w:space="0" w:color="auto"/>
            <w:bottom w:val="none" w:sz="0" w:space="0" w:color="auto"/>
            <w:right w:val="none" w:sz="0" w:space="0" w:color="auto"/>
          </w:divBdr>
        </w:div>
        <w:div w:id="1024984365">
          <w:marLeft w:val="0"/>
          <w:marRight w:val="0"/>
          <w:marTop w:val="0"/>
          <w:marBottom w:val="0"/>
          <w:divBdr>
            <w:top w:val="none" w:sz="0" w:space="0" w:color="auto"/>
            <w:left w:val="none" w:sz="0" w:space="0" w:color="auto"/>
            <w:bottom w:val="none" w:sz="0" w:space="0" w:color="auto"/>
            <w:right w:val="none" w:sz="0" w:space="0" w:color="auto"/>
          </w:divBdr>
        </w:div>
        <w:div w:id="692415966">
          <w:marLeft w:val="0"/>
          <w:marRight w:val="0"/>
          <w:marTop w:val="0"/>
          <w:marBottom w:val="0"/>
          <w:divBdr>
            <w:top w:val="none" w:sz="0" w:space="0" w:color="auto"/>
            <w:left w:val="none" w:sz="0" w:space="0" w:color="auto"/>
            <w:bottom w:val="none" w:sz="0" w:space="0" w:color="auto"/>
            <w:right w:val="none" w:sz="0" w:space="0" w:color="auto"/>
          </w:divBdr>
        </w:div>
        <w:div w:id="2122723426">
          <w:marLeft w:val="0"/>
          <w:marRight w:val="0"/>
          <w:marTop w:val="0"/>
          <w:marBottom w:val="0"/>
          <w:divBdr>
            <w:top w:val="none" w:sz="0" w:space="0" w:color="auto"/>
            <w:left w:val="none" w:sz="0" w:space="0" w:color="auto"/>
            <w:bottom w:val="none" w:sz="0" w:space="0" w:color="auto"/>
            <w:right w:val="none" w:sz="0" w:space="0" w:color="auto"/>
          </w:divBdr>
        </w:div>
        <w:div w:id="993872803">
          <w:marLeft w:val="0"/>
          <w:marRight w:val="0"/>
          <w:marTop w:val="0"/>
          <w:marBottom w:val="0"/>
          <w:divBdr>
            <w:top w:val="none" w:sz="0" w:space="0" w:color="auto"/>
            <w:left w:val="none" w:sz="0" w:space="0" w:color="auto"/>
            <w:bottom w:val="none" w:sz="0" w:space="0" w:color="auto"/>
            <w:right w:val="none" w:sz="0" w:space="0" w:color="auto"/>
          </w:divBdr>
        </w:div>
        <w:div w:id="1124617096">
          <w:marLeft w:val="0"/>
          <w:marRight w:val="0"/>
          <w:marTop w:val="0"/>
          <w:marBottom w:val="0"/>
          <w:divBdr>
            <w:top w:val="none" w:sz="0" w:space="0" w:color="auto"/>
            <w:left w:val="none" w:sz="0" w:space="0" w:color="auto"/>
            <w:bottom w:val="none" w:sz="0" w:space="0" w:color="auto"/>
            <w:right w:val="none" w:sz="0" w:space="0" w:color="auto"/>
          </w:divBdr>
        </w:div>
        <w:div w:id="1307786249">
          <w:marLeft w:val="0"/>
          <w:marRight w:val="0"/>
          <w:marTop w:val="0"/>
          <w:marBottom w:val="0"/>
          <w:divBdr>
            <w:top w:val="none" w:sz="0" w:space="0" w:color="auto"/>
            <w:left w:val="none" w:sz="0" w:space="0" w:color="auto"/>
            <w:bottom w:val="none" w:sz="0" w:space="0" w:color="auto"/>
            <w:right w:val="none" w:sz="0" w:space="0" w:color="auto"/>
          </w:divBdr>
        </w:div>
        <w:div w:id="286854633">
          <w:marLeft w:val="0"/>
          <w:marRight w:val="0"/>
          <w:marTop w:val="0"/>
          <w:marBottom w:val="0"/>
          <w:divBdr>
            <w:top w:val="none" w:sz="0" w:space="0" w:color="auto"/>
            <w:left w:val="none" w:sz="0" w:space="0" w:color="auto"/>
            <w:bottom w:val="none" w:sz="0" w:space="0" w:color="auto"/>
            <w:right w:val="none" w:sz="0" w:space="0" w:color="auto"/>
          </w:divBdr>
        </w:div>
        <w:div w:id="616791263">
          <w:marLeft w:val="0"/>
          <w:marRight w:val="0"/>
          <w:marTop w:val="0"/>
          <w:marBottom w:val="0"/>
          <w:divBdr>
            <w:top w:val="none" w:sz="0" w:space="0" w:color="auto"/>
            <w:left w:val="none" w:sz="0" w:space="0" w:color="auto"/>
            <w:bottom w:val="none" w:sz="0" w:space="0" w:color="auto"/>
            <w:right w:val="none" w:sz="0" w:space="0" w:color="auto"/>
          </w:divBdr>
        </w:div>
        <w:div w:id="586768256">
          <w:marLeft w:val="0"/>
          <w:marRight w:val="0"/>
          <w:marTop w:val="0"/>
          <w:marBottom w:val="0"/>
          <w:divBdr>
            <w:top w:val="none" w:sz="0" w:space="0" w:color="auto"/>
            <w:left w:val="none" w:sz="0" w:space="0" w:color="auto"/>
            <w:bottom w:val="none" w:sz="0" w:space="0" w:color="auto"/>
            <w:right w:val="none" w:sz="0" w:space="0" w:color="auto"/>
          </w:divBdr>
        </w:div>
        <w:div w:id="942953348">
          <w:marLeft w:val="0"/>
          <w:marRight w:val="0"/>
          <w:marTop w:val="0"/>
          <w:marBottom w:val="0"/>
          <w:divBdr>
            <w:top w:val="none" w:sz="0" w:space="0" w:color="auto"/>
            <w:left w:val="none" w:sz="0" w:space="0" w:color="auto"/>
            <w:bottom w:val="none" w:sz="0" w:space="0" w:color="auto"/>
            <w:right w:val="none" w:sz="0" w:space="0" w:color="auto"/>
          </w:divBdr>
        </w:div>
        <w:div w:id="1063987727">
          <w:marLeft w:val="0"/>
          <w:marRight w:val="0"/>
          <w:marTop w:val="0"/>
          <w:marBottom w:val="0"/>
          <w:divBdr>
            <w:top w:val="none" w:sz="0" w:space="0" w:color="auto"/>
            <w:left w:val="none" w:sz="0" w:space="0" w:color="auto"/>
            <w:bottom w:val="none" w:sz="0" w:space="0" w:color="auto"/>
            <w:right w:val="none" w:sz="0" w:space="0" w:color="auto"/>
          </w:divBdr>
        </w:div>
        <w:div w:id="254830090">
          <w:marLeft w:val="0"/>
          <w:marRight w:val="0"/>
          <w:marTop w:val="0"/>
          <w:marBottom w:val="0"/>
          <w:divBdr>
            <w:top w:val="none" w:sz="0" w:space="0" w:color="auto"/>
            <w:left w:val="none" w:sz="0" w:space="0" w:color="auto"/>
            <w:bottom w:val="none" w:sz="0" w:space="0" w:color="auto"/>
            <w:right w:val="none" w:sz="0" w:space="0" w:color="auto"/>
          </w:divBdr>
        </w:div>
        <w:div w:id="736169579">
          <w:marLeft w:val="0"/>
          <w:marRight w:val="0"/>
          <w:marTop w:val="0"/>
          <w:marBottom w:val="0"/>
          <w:divBdr>
            <w:top w:val="none" w:sz="0" w:space="0" w:color="auto"/>
            <w:left w:val="none" w:sz="0" w:space="0" w:color="auto"/>
            <w:bottom w:val="none" w:sz="0" w:space="0" w:color="auto"/>
            <w:right w:val="none" w:sz="0" w:space="0" w:color="auto"/>
          </w:divBdr>
        </w:div>
        <w:div w:id="785544736">
          <w:marLeft w:val="0"/>
          <w:marRight w:val="0"/>
          <w:marTop w:val="0"/>
          <w:marBottom w:val="0"/>
          <w:divBdr>
            <w:top w:val="none" w:sz="0" w:space="0" w:color="auto"/>
            <w:left w:val="none" w:sz="0" w:space="0" w:color="auto"/>
            <w:bottom w:val="none" w:sz="0" w:space="0" w:color="auto"/>
            <w:right w:val="none" w:sz="0" w:space="0" w:color="auto"/>
          </w:divBdr>
        </w:div>
        <w:div w:id="365569739">
          <w:marLeft w:val="0"/>
          <w:marRight w:val="0"/>
          <w:marTop w:val="0"/>
          <w:marBottom w:val="0"/>
          <w:divBdr>
            <w:top w:val="none" w:sz="0" w:space="0" w:color="auto"/>
            <w:left w:val="none" w:sz="0" w:space="0" w:color="auto"/>
            <w:bottom w:val="none" w:sz="0" w:space="0" w:color="auto"/>
            <w:right w:val="none" w:sz="0" w:space="0" w:color="auto"/>
          </w:divBdr>
        </w:div>
        <w:div w:id="331689715">
          <w:marLeft w:val="0"/>
          <w:marRight w:val="0"/>
          <w:marTop w:val="0"/>
          <w:marBottom w:val="0"/>
          <w:divBdr>
            <w:top w:val="none" w:sz="0" w:space="0" w:color="auto"/>
            <w:left w:val="none" w:sz="0" w:space="0" w:color="auto"/>
            <w:bottom w:val="none" w:sz="0" w:space="0" w:color="auto"/>
            <w:right w:val="none" w:sz="0" w:space="0" w:color="auto"/>
          </w:divBdr>
        </w:div>
        <w:div w:id="908923859">
          <w:marLeft w:val="0"/>
          <w:marRight w:val="0"/>
          <w:marTop w:val="0"/>
          <w:marBottom w:val="0"/>
          <w:divBdr>
            <w:top w:val="none" w:sz="0" w:space="0" w:color="auto"/>
            <w:left w:val="none" w:sz="0" w:space="0" w:color="auto"/>
            <w:bottom w:val="none" w:sz="0" w:space="0" w:color="auto"/>
            <w:right w:val="none" w:sz="0" w:space="0" w:color="auto"/>
          </w:divBdr>
        </w:div>
        <w:div w:id="283924567">
          <w:marLeft w:val="0"/>
          <w:marRight w:val="0"/>
          <w:marTop w:val="0"/>
          <w:marBottom w:val="0"/>
          <w:divBdr>
            <w:top w:val="none" w:sz="0" w:space="0" w:color="auto"/>
            <w:left w:val="none" w:sz="0" w:space="0" w:color="auto"/>
            <w:bottom w:val="none" w:sz="0" w:space="0" w:color="auto"/>
            <w:right w:val="none" w:sz="0" w:space="0" w:color="auto"/>
          </w:divBdr>
        </w:div>
        <w:div w:id="969941642">
          <w:marLeft w:val="0"/>
          <w:marRight w:val="0"/>
          <w:marTop w:val="0"/>
          <w:marBottom w:val="0"/>
          <w:divBdr>
            <w:top w:val="none" w:sz="0" w:space="0" w:color="auto"/>
            <w:left w:val="none" w:sz="0" w:space="0" w:color="auto"/>
            <w:bottom w:val="none" w:sz="0" w:space="0" w:color="auto"/>
            <w:right w:val="none" w:sz="0" w:space="0" w:color="auto"/>
          </w:divBdr>
        </w:div>
        <w:div w:id="1947611383">
          <w:marLeft w:val="0"/>
          <w:marRight w:val="0"/>
          <w:marTop w:val="0"/>
          <w:marBottom w:val="0"/>
          <w:divBdr>
            <w:top w:val="none" w:sz="0" w:space="0" w:color="auto"/>
            <w:left w:val="none" w:sz="0" w:space="0" w:color="auto"/>
            <w:bottom w:val="none" w:sz="0" w:space="0" w:color="auto"/>
            <w:right w:val="none" w:sz="0" w:space="0" w:color="auto"/>
          </w:divBdr>
        </w:div>
        <w:div w:id="590938196">
          <w:marLeft w:val="0"/>
          <w:marRight w:val="0"/>
          <w:marTop w:val="0"/>
          <w:marBottom w:val="0"/>
          <w:divBdr>
            <w:top w:val="none" w:sz="0" w:space="0" w:color="auto"/>
            <w:left w:val="none" w:sz="0" w:space="0" w:color="auto"/>
            <w:bottom w:val="none" w:sz="0" w:space="0" w:color="auto"/>
            <w:right w:val="none" w:sz="0" w:space="0" w:color="auto"/>
          </w:divBdr>
        </w:div>
        <w:div w:id="1336113243">
          <w:marLeft w:val="0"/>
          <w:marRight w:val="0"/>
          <w:marTop w:val="0"/>
          <w:marBottom w:val="0"/>
          <w:divBdr>
            <w:top w:val="none" w:sz="0" w:space="0" w:color="auto"/>
            <w:left w:val="none" w:sz="0" w:space="0" w:color="auto"/>
            <w:bottom w:val="none" w:sz="0" w:space="0" w:color="auto"/>
            <w:right w:val="none" w:sz="0" w:space="0" w:color="auto"/>
          </w:divBdr>
        </w:div>
        <w:div w:id="1425224342">
          <w:marLeft w:val="0"/>
          <w:marRight w:val="0"/>
          <w:marTop w:val="0"/>
          <w:marBottom w:val="0"/>
          <w:divBdr>
            <w:top w:val="none" w:sz="0" w:space="0" w:color="auto"/>
            <w:left w:val="none" w:sz="0" w:space="0" w:color="auto"/>
            <w:bottom w:val="none" w:sz="0" w:space="0" w:color="auto"/>
            <w:right w:val="none" w:sz="0" w:space="0" w:color="auto"/>
          </w:divBdr>
        </w:div>
      </w:divsChild>
    </w:div>
    <w:div w:id="914626791">
      <w:bodyDiv w:val="1"/>
      <w:marLeft w:val="0"/>
      <w:marRight w:val="0"/>
      <w:marTop w:val="0"/>
      <w:marBottom w:val="0"/>
      <w:divBdr>
        <w:top w:val="none" w:sz="0" w:space="0" w:color="auto"/>
        <w:left w:val="none" w:sz="0" w:space="0" w:color="auto"/>
        <w:bottom w:val="none" w:sz="0" w:space="0" w:color="auto"/>
        <w:right w:val="none" w:sz="0" w:space="0" w:color="auto"/>
      </w:divBdr>
      <w:divsChild>
        <w:div w:id="174879758">
          <w:marLeft w:val="0"/>
          <w:marRight w:val="0"/>
          <w:marTop w:val="0"/>
          <w:marBottom w:val="0"/>
          <w:divBdr>
            <w:top w:val="none" w:sz="0" w:space="0" w:color="auto"/>
            <w:left w:val="none" w:sz="0" w:space="0" w:color="auto"/>
            <w:bottom w:val="none" w:sz="0" w:space="0" w:color="auto"/>
            <w:right w:val="none" w:sz="0" w:space="0" w:color="auto"/>
          </w:divBdr>
        </w:div>
        <w:div w:id="507674338">
          <w:marLeft w:val="0"/>
          <w:marRight w:val="0"/>
          <w:marTop w:val="0"/>
          <w:marBottom w:val="0"/>
          <w:divBdr>
            <w:top w:val="none" w:sz="0" w:space="0" w:color="auto"/>
            <w:left w:val="none" w:sz="0" w:space="0" w:color="auto"/>
            <w:bottom w:val="none" w:sz="0" w:space="0" w:color="auto"/>
            <w:right w:val="none" w:sz="0" w:space="0" w:color="auto"/>
          </w:divBdr>
        </w:div>
        <w:div w:id="577712753">
          <w:marLeft w:val="0"/>
          <w:marRight w:val="0"/>
          <w:marTop w:val="0"/>
          <w:marBottom w:val="0"/>
          <w:divBdr>
            <w:top w:val="none" w:sz="0" w:space="0" w:color="auto"/>
            <w:left w:val="none" w:sz="0" w:space="0" w:color="auto"/>
            <w:bottom w:val="none" w:sz="0" w:space="0" w:color="auto"/>
            <w:right w:val="none" w:sz="0" w:space="0" w:color="auto"/>
          </w:divBdr>
        </w:div>
        <w:div w:id="1311712540">
          <w:marLeft w:val="0"/>
          <w:marRight w:val="0"/>
          <w:marTop w:val="0"/>
          <w:marBottom w:val="0"/>
          <w:divBdr>
            <w:top w:val="none" w:sz="0" w:space="0" w:color="auto"/>
            <w:left w:val="none" w:sz="0" w:space="0" w:color="auto"/>
            <w:bottom w:val="none" w:sz="0" w:space="0" w:color="auto"/>
            <w:right w:val="none" w:sz="0" w:space="0" w:color="auto"/>
          </w:divBdr>
          <w:divsChild>
            <w:div w:id="778305565">
              <w:marLeft w:val="0"/>
              <w:marRight w:val="0"/>
              <w:marTop w:val="0"/>
              <w:marBottom w:val="0"/>
              <w:divBdr>
                <w:top w:val="none" w:sz="0" w:space="0" w:color="auto"/>
                <w:left w:val="none" w:sz="0" w:space="0" w:color="auto"/>
                <w:bottom w:val="none" w:sz="0" w:space="0" w:color="auto"/>
                <w:right w:val="none" w:sz="0" w:space="0" w:color="auto"/>
              </w:divBdr>
            </w:div>
          </w:divsChild>
        </w:div>
        <w:div w:id="1424298486">
          <w:marLeft w:val="0"/>
          <w:marRight w:val="0"/>
          <w:marTop w:val="0"/>
          <w:marBottom w:val="0"/>
          <w:divBdr>
            <w:top w:val="none" w:sz="0" w:space="0" w:color="auto"/>
            <w:left w:val="none" w:sz="0" w:space="0" w:color="auto"/>
            <w:bottom w:val="none" w:sz="0" w:space="0" w:color="auto"/>
            <w:right w:val="none" w:sz="0" w:space="0" w:color="auto"/>
          </w:divBdr>
        </w:div>
        <w:div w:id="1733313688">
          <w:marLeft w:val="0"/>
          <w:marRight w:val="0"/>
          <w:marTop w:val="0"/>
          <w:marBottom w:val="0"/>
          <w:divBdr>
            <w:top w:val="none" w:sz="0" w:space="0" w:color="auto"/>
            <w:left w:val="none" w:sz="0" w:space="0" w:color="auto"/>
            <w:bottom w:val="none" w:sz="0" w:space="0" w:color="auto"/>
            <w:right w:val="none" w:sz="0" w:space="0" w:color="auto"/>
          </w:divBdr>
          <w:divsChild>
            <w:div w:id="1428887783">
              <w:marLeft w:val="0"/>
              <w:marRight w:val="0"/>
              <w:marTop w:val="0"/>
              <w:marBottom w:val="0"/>
              <w:divBdr>
                <w:top w:val="none" w:sz="0" w:space="0" w:color="auto"/>
                <w:left w:val="none" w:sz="0" w:space="0" w:color="auto"/>
                <w:bottom w:val="none" w:sz="0" w:space="0" w:color="auto"/>
                <w:right w:val="none" w:sz="0" w:space="0" w:color="auto"/>
              </w:divBdr>
            </w:div>
          </w:divsChild>
        </w:div>
        <w:div w:id="1923827941">
          <w:marLeft w:val="0"/>
          <w:marRight w:val="0"/>
          <w:marTop w:val="0"/>
          <w:marBottom w:val="0"/>
          <w:divBdr>
            <w:top w:val="none" w:sz="0" w:space="0" w:color="auto"/>
            <w:left w:val="none" w:sz="0" w:space="0" w:color="auto"/>
            <w:bottom w:val="none" w:sz="0" w:space="0" w:color="auto"/>
            <w:right w:val="none" w:sz="0" w:space="0" w:color="auto"/>
          </w:divBdr>
        </w:div>
      </w:divsChild>
    </w:div>
    <w:div w:id="929316328">
      <w:bodyDiv w:val="1"/>
      <w:marLeft w:val="0"/>
      <w:marRight w:val="0"/>
      <w:marTop w:val="0"/>
      <w:marBottom w:val="0"/>
      <w:divBdr>
        <w:top w:val="none" w:sz="0" w:space="0" w:color="auto"/>
        <w:left w:val="none" w:sz="0" w:space="0" w:color="auto"/>
        <w:bottom w:val="none" w:sz="0" w:space="0" w:color="auto"/>
        <w:right w:val="none" w:sz="0" w:space="0" w:color="auto"/>
      </w:divBdr>
      <w:divsChild>
        <w:div w:id="45420118">
          <w:marLeft w:val="0"/>
          <w:marRight w:val="0"/>
          <w:marTop w:val="0"/>
          <w:marBottom w:val="0"/>
          <w:divBdr>
            <w:top w:val="none" w:sz="0" w:space="0" w:color="auto"/>
            <w:left w:val="none" w:sz="0" w:space="0" w:color="auto"/>
            <w:bottom w:val="none" w:sz="0" w:space="0" w:color="auto"/>
            <w:right w:val="none" w:sz="0" w:space="0" w:color="auto"/>
          </w:divBdr>
        </w:div>
        <w:div w:id="242421885">
          <w:marLeft w:val="0"/>
          <w:marRight w:val="0"/>
          <w:marTop w:val="0"/>
          <w:marBottom w:val="0"/>
          <w:divBdr>
            <w:top w:val="none" w:sz="0" w:space="0" w:color="auto"/>
            <w:left w:val="none" w:sz="0" w:space="0" w:color="auto"/>
            <w:bottom w:val="none" w:sz="0" w:space="0" w:color="auto"/>
            <w:right w:val="none" w:sz="0" w:space="0" w:color="auto"/>
          </w:divBdr>
        </w:div>
        <w:div w:id="378870142">
          <w:marLeft w:val="0"/>
          <w:marRight w:val="0"/>
          <w:marTop w:val="0"/>
          <w:marBottom w:val="0"/>
          <w:divBdr>
            <w:top w:val="none" w:sz="0" w:space="0" w:color="auto"/>
            <w:left w:val="none" w:sz="0" w:space="0" w:color="auto"/>
            <w:bottom w:val="none" w:sz="0" w:space="0" w:color="auto"/>
            <w:right w:val="none" w:sz="0" w:space="0" w:color="auto"/>
          </w:divBdr>
        </w:div>
        <w:div w:id="479736020">
          <w:marLeft w:val="0"/>
          <w:marRight w:val="0"/>
          <w:marTop w:val="0"/>
          <w:marBottom w:val="0"/>
          <w:divBdr>
            <w:top w:val="none" w:sz="0" w:space="0" w:color="auto"/>
            <w:left w:val="none" w:sz="0" w:space="0" w:color="auto"/>
            <w:bottom w:val="none" w:sz="0" w:space="0" w:color="auto"/>
            <w:right w:val="none" w:sz="0" w:space="0" w:color="auto"/>
          </w:divBdr>
        </w:div>
        <w:div w:id="739792955">
          <w:marLeft w:val="0"/>
          <w:marRight w:val="0"/>
          <w:marTop w:val="0"/>
          <w:marBottom w:val="0"/>
          <w:divBdr>
            <w:top w:val="none" w:sz="0" w:space="0" w:color="auto"/>
            <w:left w:val="none" w:sz="0" w:space="0" w:color="auto"/>
            <w:bottom w:val="none" w:sz="0" w:space="0" w:color="auto"/>
            <w:right w:val="none" w:sz="0" w:space="0" w:color="auto"/>
          </w:divBdr>
        </w:div>
        <w:div w:id="993603709">
          <w:marLeft w:val="0"/>
          <w:marRight w:val="0"/>
          <w:marTop w:val="0"/>
          <w:marBottom w:val="0"/>
          <w:divBdr>
            <w:top w:val="none" w:sz="0" w:space="0" w:color="auto"/>
            <w:left w:val="none" w:sz="0" w:space="0" w:color="auto"/>
            <w:bottom w:val="none" w:sz="0" w:space="0" w:color="auto"/>
            <w:right w:val="none" w:sz="0" w:space="0" w:color="auto"/>
          </w:divBdr>
        </w:div>
        <w:div w:id="1009135398">
          <w:marLeft w:val="0"/>
          <w:marRight w:val="0"/>
          <w:marTop w:val="0"/>
          <w:marBottom w:val="0"/>
          <w:divBdr>
            <w:top w:val="none" w:sz="0" w:space="0" w:color="auto"/>
            <w:left w:val="none" w:sz="0" w:space="0" w:color="auto"/>
            <w:bottom w:val="none" w:sz="0" w:space="0" w:color="auto"/>
            <w:right w:val="none" w:sz="0" w:space="0" w:color="auto"/>
          </w:divBdr>
        </w:div>
        <w:div w:id="1022777789">
          <w:marLeft w:val="0"/>
          <w:marRight w:val="0"/>
          <w:marTop w:val="0"/>
          <w:marBottom w:val="0"/>
          <w:divBdr>
            <w:top w:val="none" w:sz="0" w:space="0" w:color="auto"/>
            <w:left w:val="none" w:sz="0" w:space="0" w:color="auto"/>
            <w:bottom w:val="none" w:sz="0" w:space="0" w:color="auto"/>
            <w:right w:val="none" w:sz="0" w:space="0" w:color="auto"/>
          </w:divBdr>
        </w:div>
        <w:div w:id="1041324372">
          <w:marLeft w:val="0"/>
          <w:marRight w:val="0"/>
          <w:marTop w:val="0"/>
          <w:marBottom w:val="0"/>
          <w:divBdr>
            <w:top w:val="none" w:sz="0" w:space="0" w:color="auto"/>
            <w:left w:val="none" w:sz="0" w:space="0" w:color="auto"/>
            <w:bottom w:val="none" w:sz="0" w:space="0" w:color="auto"/>
            <w:right w:val="none" w:sz="0" w:space="0" w:color="auto"/>
          </w:divBdr>
        </w:div>
        <w:div w:id="1119564578">
          <w:marLeft w:val="0"/>
          <w:marRight w:val="0"/>
          <w:marTop w:val="0"/>
          <w:marBottom w:val="0"/>
          <w:divBdr>
            <w:top w:val="none" w:sz="0" w:space="0" w:color="auto"/>
            <w:left w:val="none" w:sz="0" w:space="0" w:color="auto"/>
            <w:bottom w:val="none" w:sz="0" w:space="0" w:color="auto"/>
            <w:right w:val="none" w:sz="0" w:space="0" w:color="auto"/>
          </w:divBdr>
        </w:div>
        <w:div w:id="1180510122">
          <w:marLeft w:val="0"/>
          <w:marRight w:val="0"/>
          <w:marTop w:val="0"/>
          <w:marBottom w:val="0"/>
          <w:divBdr>
            <w:top w:val="none" w:sz="0" w:space="0" w:color="auto"/>
            <w:left w:val="none" w:sz="0" w:space="0" w:color="auto"/>
            <w:bottom w:val="none" w:sz="0" w:space="0" w:color="auto"/>
            <w:right w:val="none" w:sz="0" w:space="0" w:color="auto"/>
          </w:divBdr>
        </w:div>
        <w:div w:id="1291673121">
          <w:marLeft w:val="0"/>
          <w:marRight w:val="0"/>
          <w:marTop w:val="0"/>
          <w:marBottom w:val="0"/>
          <w:divBdr>
            <w:top w:val="none" w:sz="0" w:space="0" w:color="auto"/>
            <w:left w:val="none" w:sz="0" w:space="0" w:color="auto"/>
            <w:bottom w:val="none" w:sz="0" w:space="0" w:color="auto"/>
            <w:right w:val="none" w:sz="0" w:space="0" w:color="auto"/>
          </w:divBdr>
        </w:div>
        <w:div w:id="1338271508">
          <w:marLeft w:val="0"/>
          <w:marRight w:val="0"/>
          <w:marTop w:val="0"/>
          <w:marBottom w:val="0"/>
          <w:divBdr>
            <w:top w:val="none" w:sz="0" w:space="0" w:color="auto"/>
            <w:left w:val="none" w:sz="0" w:space="0" w:color="auto"/>
            <w:bottom w:val="none" w:sz="0" w:space="0" w:color="auto"/>
            <w:right w:val="none" w:sz="0" w:space="0" w:color="auto"/>
          </w:divBdr>
        </w:div>
        <w:div w:id="1389113898">
          <w:marLeft w:val="0"/>
          <w:marRight w:val="0"/>
          <w:marTop w:val="0"/>
          <w:marBottom w:val="0"/>
          <w:divBdr>
            <w:top w:val="none" w:sz="0" w:space="0" w:color="auto"/>
            <w:left w:val="none" w:sz="0" w:space="0" w:color="auto"/>
            <w:bottom w:val="none" w:sz="0" w:space="0" w:color="auto"/>
            <w:right w:val="none" w:sz="0" w:space="0" w:color="auto"/>
          </w:divBdr>
        </w:div>
      </w:divsChild>
    </w:div>
    <w:div w:id="939795693">
      <w:bodyDiv w:val="1"/>
      <w:marLeft w:val="0"/>
      <w:marRight w:val="0"/>
      <w:marTop w:val="0"/>
      <w:marBottom w:val="0"/>
      <w:divBdr>
        <w:top w:val="none" w:sz="0" w:space="0" w:color="auto"/>
        <w:left w:val="none" w:sz="0" w:space="0" w:color="auto"/>
        <w:bottom w:val="none" w:sz="0" w:space="0" w:color="auto"/>
        <w:right w:val="none" w:sz="0" w:space="0" w:color="auto"/>
      </w:divBdr>
      <w:divsChild>
        <w:div w:id="519583883">
          <w:marLeft w:val="0"/>
          <w:marRight w:val="0"/>
          <w:marTop w:val="0"/>
          <w:marBottom w:val="0"/>
          <w:divBdr>
            <w:top w:val="none" w:sz="0" w:space="0" w:color="auto"/>
            <w:left w:val="none" w:sz="0" w:space="0" w:color="auto"/>
            <w:bottom w:val="none" w:sz="0" w:space="0" w:color="auto"/>
            <w:right w:val="none" w:sz="0" w:space="0" w:color="auto"/>
          </w:divBdr>
          <w:divsChild>
            <w:div w:id="1566450370">
              <w:marLeft w:val="0"/>
              <w:marRight w:val="0"/>
              <w:marTop w:val="0"/>
              <w:marBottom w:val="0"/>
              <w:divBdr>
                <w:top w:val="none" w:sz="0" w:space="0" w:color="auto"/>
                <w:left w:val="none" w:sz="0" w:space="0" w:color="auto"/>
                <w:bottom w:val="none" w:sz="0" w:space="0" w:color="auto"/>
                <w:right w:val="none" w:sz="0" w:space="0" w:color="auto"/>
              </w:divBdr>
            </w:div>
            <w:div w:id="137839569">
              <w:marLeft w:val="0"/>
              <w:marRight w:val="0"/>
              <w:marTop w:val="0"/>
              <w:marBottom w:val="0"/>
              <w:divBdr>
                <w:top w:val="none" w:sz="0" w:space="0" w:color="auto"/>
                <w:left w:val="none" w:sz="0" w:space="0" w:color="auto"/>
                <w:bottom w:val="none" w:sz="0" w:space="0" w:color="auto"/>
                <w:right w:val="none" w:sz="0" w:space="0" w:color="auto"/>
              </w:divBdr>
            </w:div>
            <w:div w:id="1035807291">
              <w:marLeft w:val="0"/>
              <w:marRight w:val="0"/>
              <w:marTop w:val="0"/>
              <w:marBottom w:val="0"/>
              <w:divBdr>
                <w:top w:val="none" w:sz="0" w:space="0" w:color="auto"/>
                <w:left w:val="none" w:sz="0" w:space="0" w:color="auto"/>
                <w:bottom w:val="none" w:sz="0" w:space="0" w:color="auto"/>
                <w:right w:val="none" w:sz="0" w:space="0" w:color="auto"/>
              </w:divBdr>
            </w:div>
            <w:div w:id="896087509">
              <w:marLeft w:val="0"/>
              <w:marRight w:val="0"/>
              <w:marTop w:val="0"/>
              <w:marBottom w:val="0"/>
              <w:divBdr>
                <w:top w:val="none" w:sz="0" w:space="0" w:color="auto"/>
                <w:left w:val="none" w:sz="0" w:space="0" w:color="auto"/>
                <w:bottom w:val="none" w:sz="0" w:space="0" w:color="auto"/>
                <w:right w:val="none" w:sz="0" w:space="0" w:color="auto"/>
              </w:divBdr>
            </w:div>
            <w:div w:id="1097680751">
              <w:marLeft w:val="0"/>
              <w:marRight w:val="0"/>
              <w:marTop w:val="0"/>
              <w:marBottom w:val="0"/>
              <w:divBdr>
                <w:top w:val="none" w:sz="0" w:space="0" w:color="auto"/>
                <w:left w:val="none" w:sz="0" w:space="0" w:color="auto"/>
                <w:bottom w:val="none" w:sz="0" w:space="0" w:color="auto"/>
                <w:right w:val="none" w:sz="0" w:space="0" w:color="auto"/>
              </w:divBdr>
            </w:div>
            <w:div w:id="107747350">
              <w:marLeft w:val="0"/>
              <w:marRight w:val="0"/>
              <w:marTop w:val="0"/>
              <w:marBottom w:val="0"/>
              <w:divBdr>
                <w:top w:val="none" w:sz="0" w:space="0" w:color="auto"/>
                <w:left w:val="none" w:sz="0" w:space="0" w:color="auto"/>
                <w:bottom w:val="none" w:sz="0" w:space="0" w:color="auto"/>
                <w:right w:val="none" w:sz="0" w:space="0" w:color="auto"/>
              </w:divBdr>
            </w:div>
            <w:div w:id="960502039">
              <w:marLeft w:val="0"/>
              <w:marRight w:val="0"/>
              <w:marTop w:val="0"/>
              <w:marBottom w:val="0"/>
              <w:divBdr>
                <w:top w:val="none" w:sz="0" w:space="0" w:color="auto"/>
                <w:left w:val="none" w:sz="0" w:space="0" w:color="auto"/>
                <w:bottom w:val="none" w:sz="0" w:space="0" w:color="auto"/>
                <w:right w:val="none" w:sz="0" w:space="0" w:color="auto"/>
              </w:divBdr>
            </w:div>
            <w:div w:id="229191123">
              <w:marLeft w:val="0"/>
              <w:marRight w:val="0"/>
              <w:marTop w:val="0"/>
              <w:marBottom w:val="0"/>
              <w:divBdr>
                <w:top w:val="none" w:sz="0" w:space="0" w:color="auto"/>
                <w:left w:val="none" w:sz="0" w:space="0" w:color="auto"/>
                <w:bottom w:val="none" w:sz="0" w:space="0" w:color="auto"/>
                <w:right w:val="none" w:sz="0" w:space="0" w:color="auto"/>
              </w:divBdr>
            </w:div>
            <w:div w:id="2125729213">
              <w:marLeft w:val="0"/>
              <w:marRight w:val="0"/>
              <w:marTop w:val="0"/>
              <w:marBottom w:val="0"/>
              <w:divBdr>
                <w:top w:val="none" w:sz="0" w:space="0" w:color="auto"/>
                <w:left w:val="none" w:sz="0" w:space="0" w:color="auto"/>
                <w:bottom w:val="none" w:sz="0" w:space="0" w:color="auto"/>
                <w:right w:val="none" w:sz="0" w:space="0" w:color="auto"/>
              </w:divBdr>
            </w:div>
            <w:div w:id="585698146">
              <w:marLeft w:val="0"/>
              <w:marRight w:val="0"/>
              <w:marTop w:val="0"/>
              <w:marBottom w:val="0"/>
              <w:divBdr>
                <w:top w:val="none" w:sz="0" w:space="0" w:color="auto"/>
                <w:left w:val="none" w:sz="0" w:space="0" w:color="auto"/>
                <w:bottom w:val="none" w:sz="0" w:space="0" w:color="auto"/>
                <w:right w:val="none" w:sz="0" w:space="0" w:color="auto"/>
              </w:divBdr>
            </w:div>
            <w:div w:id="1845515057">
              <w:marLeft w:val="0"/>
              <w:marRight w:val="0"/>
              <w:marTop w:val="0"/>
              <w:marBottom w:val="0"/>
              <w:divBdr>
                <w:top w:val="none" w:sz="0" w:space="0" w:color="auto"/>
                <w:left w:val="none" w:sz="0" w:space="0" w:color="auto"/>
                <w:bottom w:val="none" w:sz="0" w:space="0" w:color="auto"/>
                <w:right w:val="none" w:sz="0" w:space="0" w:color="auto"/>
              </w:divBdr>
            </w:div>
            <w:div w:id="762652691">
              <w:marLeft w:val="0"/>
              <w:marRight w:val="0"/>
              <w:marTop w:val="0"/>
              <w:marBottom w:val="0"/>
              <w:divBdr>
                <w:top w:val="none" w:sz="0" w:space="0" w:color="auto"/>
                <w:left w:val="none" w:sz="0" w:space="0" w:color="auto"/>
                <w:bottom w:val="none" w:sz="0" w:space="0" w:color="auto"/>
                <w:right w:val="none" w:sz="0" w:space="0" w:color="auto"/>
              </w:divBdr>
            </w:div>
            <w:div w:id="1984654463">
              <w:marLeft w:val="0"/>
              <w:marRight w:val="0"/>
              <w:marTop w:val="0"/>
              <w:marBottom w:val="0"/>
              <w:divBdr>
                <w:top w:val="none" w:sz="0" w:space="0" w:color="auto"/>
                <w:left w:val="none" w:sz="0" w:space="0" w:color="auto"/>
                <w:bottom w:val="none" w:sz="0" w:space="0" w:color="auto"/>
                <w:right w:val="none" w:sz="0" w:space="0" w:color="auto"/>
              </w:divBdr>
            </w:div>
            <w:div w:id="1092162952">
              <w:marLeft w:val="0"/>
              <w:marRight w:val="0"/>
              <w:marTop w:val="0"/>
              <w:marBottom w:val="0"/>
              <w:divBdr>
                <w:top w:val="none" w:sz="0" w:space="0" w:color="auto"/>
                <w:left w:val="none" w:sz="0" w:space="0" w:color="auto"/>
                <w:bottom w:val="none" w:sz="0" w:space="0" w:color="auto"/>
                <w:right w:val="none" w:sz="0" w:space="0" w:color="auto"/>
              </w:divBdr>
            </w:div>
          </w:divsChild>
        </w:div>
        <w:div w:id="1465807825">
          <w:marLeft w:val="0"/>
          <w:marRight w:val="0"/>
          <w:marTop w:val="0"/>
          <w:marBottom w:val="0"/>
          <w:divBdr>
            <w:top w:val="none" w:sz="0" w:space="0" w:color="auto"/>
            <w:left w:val="none" w:sz="0" w:space="0" w:color="auto"/>
            <w:bottom w:val="none" w:sz="0" w:space="0" w:color="auto"/>
            <w:right w:val="none" w:sz="0" w:space="0" w:color="auto"/>
          </w:divBdr>
          <w:divsChild>
            <w:div w:id="630945765">
              <w:marLeft w:val="0"/>
              <w:marRight w:val="0"/>
              <w:marTop w:val="0"/>
              <w:marBottom w:val="0"/>
              <w:divBdr>
                <w:top w:val="none" w:sz="0" w:space="0" w:color="auto"/>
                <w:left w:val="none" w:sz="0" w:space="0" w:color="auto"/>
                <w:bottom w:val="none" w:sz="0" w:space="0" w:color="auto"/>
                <w:right w:val="none" w:sz="0" w:space="0" w:color="auto"/>
              </w:divBdr>
            </w:div>
            <w:div w:id="857933415">
              <w:marLeft w:val="0"/>
              <w:marRight w:val="0"/>
              <w:marTop w:val="0"/>
              <w:marBottom w:val="0"/>
              <w:divBdr>
                <w:top w:val="none" w:sz="0" w:space="0" w:color="auto"/>
                <w:left w:val="none" w:sz="0" w:space="0" w:color="auto"/>
                <w:bottom w:val="none" w:sz="0" w:space="0" w:color="auto"/>
                <w:right w:val="none" w:sz="0" w:space="0" w:color="auto"/>
              </w:divBdr>
            </w:div>
            <w:div w:id="393167842">
              <w:marLeft w:val="0"/>
              <w:marRight w:val="0"/>
              <w:marTop w:val="0"/>
              <w:marBottom w:val="0"/>
              <w:divBdr>
                <w:top w:val="none" w:sz="0" w:space="0" w:color="auto"/>
                <w:left w:val="none" w:sz="0" w:space="0" w:color="auto"/>
                <w:bottom w:val="none" w:sz="0" w:space="0" w:color="auto"/>
                <w:right w:val="none" w:sz="0" w:space="0" w:color="auto"/>
              </w:divBdr>
            </w:div>
            <w:div w:id="135935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234572">
      <w:bodyDiv w:val="1"/>
      <w:marLeft w:val="0"/>
      <w:marRight w:val="0"/>
      <w:marTop w:val="0"/>
      <w:marBottom w:val="0"/>
      <w:divBdr>
        <w:top w:val="none" w:sz="0" w:space="0" w:color="auto"/>
        <w:left w:val="none" w:sz="0" w:space="0" w:color="auto"/>
        <w:bottom w:val="none" w:sz="0" w:space="0" w:color="auto"/>
        <w:right w:val="none" w:sz="0" w:space="0" w:color="auto"/>
      </w:divBdr>
      <w:divsChild>
        <w:div w:id="1056662560">
          <w:marLeft w:val="0"/>
          <w:marRight w:val="0"/>
          <w:marTop w:val="0"/>
          <w:marBottom w:val="0"/>
          <w:divBdr>
            <w:top w:val="none" w:sz="0" w:space="0" w:color="auto"/>
            <w:left w:val="none" w:sz="0" w:space="0" w:color="auto"/>
            <w:bottom w:val="none" w:sz="0" w:space="0" w:color="auto"/>
            <w:right w:val="none" w:sz="0" w:space="0" w:color="auto"/>
          </w:divBdr>
          <w:divsChild>
            <w:div w:id="1599942918">
              <w:marLeft w:val="0"/>
              <w:marRight w:val="0"/>
              <w:marTop w:val="0"/>
              <w:marBottom w:val="0"/>
              <w:divBdr>
                <w:top w:val="none" w:sz="0" w:space="0" w:color="auto"/>
                <w:left w:val="none" w:sz="0" w:space="0" w:color="auto"/>
                <w:bottom w:val="none" w:sz="0" w:space="0" w:color="auto"/>
                <w:right w:val="none" w:sz="0" w:space="0" w:color="auto"/>
              </w:divBdr>
            </w:div>
            <w:div w:id="1191995619">
              <w:marLeft w:val="0"/>
              <w:marRight w:val="0"/>
              <w:marTop w:val="0"/>
              <w:marBottom w:val="0"/>
              <w:divBdr>
                <w:top w:val="none" w:sz="0" w:space="0" w:color="auto"/>
                <w:left w:val="none" w:sz="0" w:space="0" w:color="auto"/>
                <w:bottom w:val="none" w:sz="0" w:space="0" w:color="auto"/>
                <w:right w:val="none" w:sz="0" w:space="0" w:color="auto"/>
              </w:divBdr>
            </w:div>
            <w:div w:id="1828208622">
              <w:marLeft w:val="0"/>
              <w:marRight w:val="0"/>
              <w:marTop w:val="0"/>
              <w:marBottom w:val="0"/>
              <w:divBdr>
                <w:top w:val="none" w:sz="0" w:space="0" w:color="auto"/>
                <w:left w:val="none" w:sz="0" w:space="0" w:color="auto"/>
                <w:bottom w:val="none" w:sz="0" w:space="0" w:color="auto"/>
                <w:right w:val="none" w:sz="0" w:space="0" w:color="auto"/>
              </w:divBdr>
            </w:div>
            <w:div w:id="630552097">
              <w:marLeft w:val="0"/>
              <w:marRight w:val="0"/>
              <w:marTop w:val="0"/>
              <w:marBottom w:val="0"/>
              <w:divBdr>
                <w:top w:val="none" w:sz="0" w:space="0" w:color="auto"/>
                <w:left w:val="none" w:sz="0" w:space="0" w:color="auto"/>
                <w:bottom w:val="none" w:sz="0" w:space="0" w:color="auto"/>
                <w:right w:val="none" w:sz="0" w:space="0" w:color="auto"/>
              </w:divBdr>
            </w:div>
            <w:div w:id="2035035233">
              <w:marLeft w:val="0"/>
              <w:marRight w:val="0"/>
              <w:marTop w:val="0"/>
              <w:marBottom w:val="0"/>
              <w:divBdr>
                <w:top w:val="none" w:sz="0" w:space="0" w:color="auto"/>
                <w:left w:val="none" w:sz="0" w:space="0" w:color="auto"/>
                <w:bottom w:val="none" w:sz="0" w:space="0" w:color="auto"/>
                <w:right w:val="none" w:sz="0" w:space="0" w:color="auto"/>
              </w:divBdr>
            </w:div>
            <w:div w:id="1630471719">
              <w:marLeft w:val="0"/>
              <w:marRight w:val="0"/>
              <w:marTop w:val="0"/>
              <w:marBottom w:val="0"/>
              <w:divBdr>
                <w:top w:val="none" w:sz="0" w:space="0" w:color="auto"/>
                <w:left w:val="none" w:sz="0" w:space="0" w:color="auto"/>
                <w:bottom w:val="none" w:sz="0" w:space="0" w:color="auto"/>
                <w:right w:val="none" w:sz="0" w:space="0" w:color="auto"/>
              </w:divBdr>
            </w:div>
            <w:div w:id="851333463">
              <w:marLeft w:val="0"/>
              <w:marRight w:val="0"/>
              <w:marTop w:val="0"/>
              <w:marBottom w:val="0"/>
              <w:divBdr>
                <w:top w:val="none" w:sz="0" w:space="0" w:color="auto"/>
                <w:left w:val="none" w:sz="0" w:space="0" w:color="auto"/>
                <w:bottom w:val="none" w:sz="0" w:space="0" w:color="auto"/>
                <w:right w:val="none" w:sz="0" w:space="0" w:color="auto"/>
              </w:divBdr>
            </w:div>
            <w:div w:id="1404765479">
              <w:marLeft w:val="0"/>
              <w:marRight w:val="0"/>
              <w:marTop w:val="0"/>
              <w:marBottom w:val="0"/>
              <w:divBdr>
                <w:top w:val="none" w:sz="0" w:space="0" w:color="auto"/>
                <w:left w:val="none" w:sz="0" w:space="0" w:color="auto"/>
                <w:bottom w:val="none" w:sz="0" w:space="0" w:color="auto"/>
                <w:right w:val="none" w:sz="0" w:space="0" w:color="auto"/>
              </w:divBdr>
            </w:div>
          </w:divsChild>
        </w:div>
        <w:div w:id="1135488892">
          <w:marLeft w:val="0"/>
          <w:marRight w:val="0"/>
          <w:marTop w:val="0"/>
          <w:marBottom w:val="0"/>
          <w:divBdr>
            <w:top w:val="none" w:sz="0" w:space="0" w:color="auto"/>
            <w:left w:val="none" w:sz="0" w:space="0" w:color="auto"/>
            <w:bottom w:val="none" w:sz="0" w:space="0" w:color="auto"/>
            <w:right w:val="none" w:sz="0" w:space="0" w:color="auto"/>
          </w:divBdr>
          <w:divsChild>
            <w:div w:id="1365902553">
              <w:marLeft w:val="0"/>
              <w:marRight w:val="0"/>
              <w:marTop w:val="0"/>
              <w:marBottom w:val="0"/>
              <w:divBdr>
                <w:top w:val="none" w:sz="0" w:space="0" w:color="auto"/>
                <w:left w:val="none" w:sz="0" w:space="0" w:color="auto"/>
                <w:bottom w:val="none" w:sz="0" w:space="0" w:color="auto"/>
                <w:right w:val="none" w:sz="0" w:space="0" w:color="auto"/>
              </w:divBdr>
            </w:div>
            <w:div w:id="2021740709">
              <w:marLeft w:val="0"/>
              <w:marRight w:val="0"/>
              <w:marTop w:val="0"/>
              <w:marBottom w:val="0"/>
              <w:divBdr>
                <w:top w:val="none" w:sz="0" w:space="0" w:color="auto"/>
                <w:left w:val="none" w:sz="0" w:space="0" w:color="auto"/>
                <w:bottom w:val="none" w:sz="0" w:space="0" w:color="auto"/>
                <w:right w:val="none" w:sz="0" w:space="0" w:color="auto"/>
              </w:divBdr>
            </w:div>
            <w:div w:id="18774572">
              <w:marLeft w:val="0"/>
              <w:marRight w:val="0"/>
              <w:marTop w:val="0"/>
              <w:marBottom w:val="0"/>
              <w:divBdr>
                <w:top w:val="none" w:sz="0" w:space="0" w:color="auto"/>
                <w:left w:val="none" w:sz="0" w:space="0" w:color="auto"/>
                <w:bottom w:val="none" w:sz="0" w:space="0" w:color="auto"/>
                <w:right w:val="none" w:sz="0" w:space="0" w:color="auto"/>
              </w:divBdr>
            </w:div>
            <w:div w:id="349378126">
              <w:marLeft w:val="0"/>
              <w:marRight w:val="0"/>
              <w:marTop w:val="0"/>
              <w:marBottom w:val="0"/>
              <w:divBdr>
                <w:top w:val="none" w:sz="0" w:space="0" w:color="auto"/>
                <w:left w:val="none" w:sz="0" w:space="0" w:color="auto"/>
                <w:bottom w:val="none" w:sz="0" w:space="0" w:color="auto"/>
                <w:right w:val="none" w:sz="0" w:space="0" w:color="auto"/>
              </w:divBdr>
            </w:div>
            <w:div w:id="1690985302">
              <w:marLeft w:val="0"/>
              <w:marRight w:val="0"/>
              <w:marTop w:val="0"/>
              <w:marBottom w:val="0"/>
              <w:divBdr>
                <w:top w:val="none" w:sz="0" w:space="0" w:color="auto"/>
                <w:left w:val="none" w:sz="0" w:space="0" w:color="auto"/>
                <w:bottom w:val="none" w:sz="0" w:space="0" w:color="auto"/>
                <w:right w:val="none" w:sz="0" w:space="0" w:color="auto"/>
              </w:divBdr>
            </w:div>
            <w:div w:id="290404778">
              <w:marLeft w:val="0"/>
              <w:marRight w:val="0"/>
              <w:marTop w:val="0"/>
              <w:marBottom w:val="0"/>
              <w:divBdr>
                <w:top w:val="none" w:sz="0" w:space="0" w:color="auto"/>
                <w:left w:val="none" w:sz="0" w:space="0" w:color="auto"/>
                <w:bottom w:val="none" w:sz="0" w:space="0" w:color="auto"/>
                <w:right w:val="none" w:sz="0" w:space="0" w:color="auto"/>
              </w:divBdr>
            </w:div>
            <w:div w:id="1279146983">
              <w:marLeft w:val="0"/>
              <w:marRight w:val="0"/>
              <w:marTop w:val="0"/>
              <w:marBottom w:val="0"/>
              <w:divBdr>
                <w:top w:val="none" w:sz="0" w:space="0" w:color="auto"/>
                <w:left w:val="none" w:sz="0" w:space="0" w:color="auto"/>
                <w:bottom w:val="none" w:sz="0" w:space="0" w:color="auto"/>
                <w:right w:val="none" w:sz="0" w:space="0" w:color="auto"/>
              </w:divBdr>
            </w:div>
            <w:div w:id="63421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368228">
      <w:bodyDiv w:val="1"/>
      <w:marLeft w:val="0"/>
      <w:marRight w:val="0"/>
      <w:marTop w:val="0"/>
      <w:marBottom w:val="0"/>
      <w:divBdr>
        <w:top w:val="none" w:sz="0" w:space="0" w:color="auto"/>
        <w:left w:val="none" w:sz="0" w:space="0" w:color="auto"/>
        <w:bottom w:val="none" w:sz="0" w:space="0" w:color="auto"/>
        <w:right w:val="none" w:sz="0" w:space="0" w:color="auto"/>
      </w:divBdr>
      <w:divsChild>
        <w:div w:id="1816986576">
          <w:marLeft w:val="0"/>
          <w:marRight w:val="0"/>
          <w:marTop w:val="0"/>
          <w:marBottom w:val="0"/>
          <w:divBdr>
            <w:top w:val="none" w:sz="0" w:space="0" w:color="auto"/>
            <w:left w:val="none" w:sz="0" w:space="0" w:color="auto"/>
            <w:bottom w:val="none" w:sz="0" w:space="0" w:color="auto"/>
            <w:right w:val="none" w:sz="0" w:space="0" w:color="auto"/>
          </w:divBdr>
          <w:divsChild>
            <w:div w:id="1352606200">
              <w:marLeft w:val="0"/>
              <w:marRight w:val="0"/>
              <w:marTop w:val="0"/>
              <w:marBottom w:val="0"/>
              <w:divBdr>
                <w:top w:val="none" w:sz="0" w:space="0" w:color="auto"/>
                <w:left w:val="none" w:sz="0" w:space="0" w:color="auto"/>
                <w:bottom w:val="none" w:sz="0" w:space="0" w:color="auto"/>
                <w:right w:val="none" w:sz="0" w:space="0" w:color="auto"/>
              </w:divBdr>
            </w:div>
            <w:div w:id="2135174357">
              <w:marLeft w:val="0"/>
              <w:marRight w:val="0"/>
              <w:marTop w:val="0"/>
              <w:marBottom w:val="0"/>
              <w:divBdr>
                <w:top w:val="none" w:sz="0" w:space="0" w:color="auto"/>
                <w:left w:val="none" w:sz="0" w:space="0" w:color="auto"/>
                <w:bottom w:val="none" w:sz="0" w:space="0" w:color="auto"/>
                <w:right w:val="none" w:sz="0" w:space="0" w:color="auto"/>
              </w:divBdr>
            </w:div>
            <w:div w:id="1360080175">
              <w:marLeft w:val="0"/>
              <w:marRight w:val="0"/>
              <w:marTop w:val="0"/>
              <w:marBottom w:val="0"/>
              <w:divBdr>
                <w:top w:val="none" w:sz="0" w:space="0" w:color="auto"/>
                <w:left w:val="none" w:sz="0" w:space="0" w:color="auto"/>
                <w:bottom w:val="none" w:sz="0" w:space="0" w:color="auto"/>
                <w:right w:val="none" w:sz="0" w:space="0" w:color="auto"/>
              </w:divBdr>
            </w:div>
            <w:div w:id="1129740539">
              <w:marLeft w:val="0"/>
              <w:marRight w:val="0"/>
              <w:marTop w:val="0"/>
              <w:marBottom w:val="0"/>
              <w:divBdr>
                <w:top w:val="none" w:sz="0" w:space="0" w:color="auto"/>
                <w:left w:val="none" w:sz="0" w:space="0" w:color="auto"/>
                <w:bottom w:val="none" w:sz="0" w:space="0" w:color="auto"/>
                <w:right w:val="none" w:sz="0" w:space="0" w:color="auto"/>
              </w:divBdr>
            </w:div>
          </w:divsChild>
        </w:div>
        <w:div w:id="408187917">
          <w:marLeft w:val="0"/>
          <w:marRight w:val="0"/>
          <w:marTop w:val="0"/>
          <w:marBottom w:val="0"/>
          <w:divBdr>
            <w:top w:val="none" w:sz="0" w:space="0" w:color="auto"/>
            <w:left w:val="none" w:sz="0" w:space="0" w:color="auto"/>
            <w:bottom w:val="none" w:sz="0" w:space="0" w:color="auto"/>
            <w:right w:val="none" w:sz="0" w:space="0" w:color="auto"/>
          </w:divBdr>
          <w:divsChild>
            <w:div w:id="1764256053">
              <w:marLeft w:val="0"/>
              <w:marRight w:val="0"/>
              <w:marTop w:val="0"/>
              <w:marBottom w:val="0"/>
              <w:divBdr>
                <w:top w:val="none" w:sz="0" w:space="0" w:color="auto"/>
                <w:left w:val="none" w:sz="0" w:space="0" w:color="auto"/>
                <w:bottom w:val="none" w:sz="0" w:space="0" w:color="auto"/>
                <w:right w:val="none" w:sz="0" w:space="0" w:color="auto"/>
              </w:divBdr>
            </w:div>
            <w:div w:id="1351880275">
              <w:marLeft w:val="0"/>
              <w:marRight w:val="0"/>
              <w:marTop w:val="0"/>
              <w:marBottom w:val="0"/>
              <w:divBdr>
                <w:top w:val="none" w:sz="0" w:space="0" w:color="auto"/>
                <w:left w:val="none" w:sz="0" w:space="0" w:color="auto"/>
                <w:bottom w:val="none" w:sz="0" w:space="0" w:color="auto"/>
                <w:right w:val="none" w:sz="0" w:space="0" w:color="auto"/>
              </w:divBdr>
            </w:div>
            <w:div w:id="403912956">
              <w:marLeft w:val="0"/>
              <w:marRight w:val="0"/>
              <w:marTop w:val="0"/>
              <w:marBottom w:val="0"/>
              <w:divBdr>
                <w:top w:val="none" w:sz="0" w:space="0" w:color="auto"/>
                <w:left w:val="none" w:sz="0" w:space="0" w:color="auto"/>
                <w:bottom w:val="none" w:sz="0" w:space="0" w:color="auto"/>
                <w:right w:val="none" w:sz="0" w:space="0" w:color="auto"/>
              </w:divBdr>
            </w:div>
            <w:div w:id="56169941">
              <w:marLeft w:val="0"/>
              <w:marRight w:val="0"/>
              <w:marTop w:val="0"/>
              <w:marBottom w:val="0"/>
              <w:divBdr>
                <w:top w:val="none" w:sz="0" w:space="0" w:color="auto"/>
                <w:left w:val="none" w:sz="0" w:space="0" w:color="auto"/>
                <w:bottom w:val="none" w:sz="0" w:space="0" w:color="auto"/>
                <w:right w:val="none" w:sz="0" w:space="0" w:color="auto"/>
              </w:divBdr>
            </w:div>
            <w:div w:id="698354173">
              <w:marLeft w:val="0"/>
              <w:marRight w:val="0"/>
              <w:marTop w:val="0"/>
              <w:marBottom w:val="0"/>
              <w:divBdr>
                <w:top w:val="none" w:sz="0" w:space="0" w:color="auto"/>
                <w:left w:val="none" w:sz="0" w:space="0" w:color="auto"/>
                <w:bottom w:val="none" w:sz="0" w:space="0" w:color="auto"/>
                <w:right w:val="none" w:sz="0" w:space="0" w:color="auto"/>
              </w:divBdr>
            </w:div>
            <w:div w:id="1251814046">
              <w:marLeft w:val="0"/>
              <w:marRight w:val="0"/>
              <w:marTop w:val="0"/>
              <w:marBottom w:val="0"/>
              <w:divBdr>
                <w:top w:val="none" w:sz="0" w:space="0" w:color="auto"/>
                <w:left w:val="none" w:sz="0" w:space="0" w:color="auto"/>
                <w:bottom w:val="none" w:sz="0" w:space="0" w:color="auto"/>
                <w:right w:val="none" w:sz="0" w:space="0" w:color="auto"/>
              </w:divBdr>
            </w:div>
            <w:div w:id="2009402114">
              <w:marLeft w:val="0"/>
              <w:marRight w:val="0"/>
              <w:marTop w:val="0"/>
              <w:marBottom w:val="0"/>
              <w:divBdr>
                <w:top w:val="none" w:sz="0" w:space="0" w:color="auto"/>
                <w:left w:val="none" w:sz="0" w:space="0" w:color="auto"/>
                <w:bottom w:val="none" w:sz="0" w:space="0" w:color="auto"/>
                <w:right w:val="none" w:sz="0" w:space="0" w:color="auto"/>
              </w:divBdr>
            </w:div>
            <w:div w:id="1605453602">
              <w:marLeft w:val="0"/>
              <w:marRight w:val="0"/>
              <w:marTop w:val="0"/>
              <w:marBottom w:val="0"/>
              <w:divBdr>
                <w:top w:val="none" w:sz="0" w:space="0" w:color="auto"/>
                <w:left w:val="none" w:sz="0" w:space="0" w:color="auto"/>
                <w:bottom w:val="none" w:sz="0" w:space="0" w:color="auto"/>
                <w:right w:val="none" w:sz="0" w:space="0" w:color="auto"/>
              </w:divBdr>
            </w:div>
            <w:div w:id="136342760">
              <w:marLeft w:val="0"/>
              <w:marRight w:val="0"/>
              <w:marTop w:val="0"/>
              <w:marBottom w:val="0"/>
              <w:divBdr>
                <w:top w:val="none" w:sz="0" w:space="0" w:color="auto"/>
                <w:left w:val="none" w:sz="0" w:space="0" w:color="auto"/>
                <w:bottom w:val="none" w:sz="0" w:space="0" w:color="auto"/>
                <w:right w:val="none" w:sz="0" w:space="0" w:color="auto"/>
              </w:divBdr>
            </w:div>
            <w:div w:id="619721426">
              <w:marLeft w:val="0"/>
              <w:marRight w:val="0"/>
              <w:marTop w:val="0"/>
              <w:marBottom w:val="0"/>
              <w:divBdr>
                <w:top w:val="none" w:sz="0" w:space="0" w:color="auto"/>
                <w:left w:val="none" w:sz="0" w:space="0" w:color="auto"/>
                <w:bottom w:val="none" w:sz="0" w:space="0" w:color="auto"/>
                <w:right w:val="none" w:sz="0" w:space="0" w:color="auto"/>
              </w:divBdr>
            </w:div>
            <w:div w:id="755327129">
              <w:marLeft w:val="0"/>
              <w:marRight w:val="0"/>
              <w:marTop w:val="0"/>
              <w:marBottom w:val="0"/>
              <w:divBdr>
                <w:top w:val="none" w:sz="0" w:space="0" w:color="auto"/>
                <w:left w:val="none" w:sz="0" w:space="0" w:color="auto"/>
                <w:bottom w:val="none" w:sz="0" w:space="0" w:color="auto"/>
                <w:right w:val="none" w:sz="0" w:space="0" w:color="auto"/>
              </w:divBdr>
            </w:div>
            <w:div w:id="48068007">
              <w:marLeft w:val="0"/>
              <w:marRight w:val="0"/>
              <w:marTop w:val="0"/>
              <w:marBottom w:val="0"/>
              <w:divBdr>
                <w:top w:val="none" w:sz="0" w:space="0" w:color="auto"/>
                <w:left w:val="none" w:sz="0" w:space="0" w:color="auto"/>
                <w:bottom w:val="none" w:sz="0" w:space="0" w:color="auto"/>
                <w:right w:val="none" w:sz="0" w:space="0" w:color="auto"/>
              </w:divBdr>
            </w:div>
            <w:div w:id="63078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546682">
      <w:bodyDiv w:val="1"/>
      <w:marLeft w:val="0"/>
      <w:marRight w:val="0"/>
      <w:marTop w:val="0"/>
      <w:marBottom w:val="0"/>
      <w:divBdr>
        <w:top w:val="none" w:sz="0" w:space="0" w:color="auto"/>
        <w:left w:val="none" w:sz="0" w:space="0" w:color="auto"/>
        <w:bottom w:val="none" w:sz="0" w:space="0" w:color="auto"/>
        <w:right w:val="none" w:sz="0" w:space="0" w:color="auto"/>
      </w:divBdr>
    </w:div>
    <w:div w:id="973413262">
      <w:bodyDiv w:val="1"/>
      <w:marLeft w:val="0"/>
      <w:marRight w:val="0"/>
      <w:marTop w:val="0"/>
      <w:marBottom w:val="0"/>
      <w:divBdr>
        <w:top w:val="none" w:sz="0" w:space="0" w:color="auto"/>
        <w:left w:val="none" w:sz="0" w:space="0" w:color="auto"/>
        <w:bottom w:val="none" w:sz="0" w:space="0" w:color="auto"/>
        <w:right w:val="none" w:sz="0" w:space="0" w:color="auto"/>
      </w:divBdr>
      <w:divsChild>
        <w:div w:id="884560923">
          <w:marLeft w:val="0"/>
          <w:marRight w:val="0"/>
          <w:marTop w:val="0"/>
          <w:marBottom w:val="0"/>
          <w:divBdr>
            <w:top w:val="none" w:sz="0" w:space="0" w:color="auto"/>
            <w:left w:val="none" w:sz="0" w:space="0" w:color="auto"/>
            <w:bottom w:val="none" w:sz="0" w:space="0" w:color="auto"/>
            <w:right w:val="none" w:sz="0" w:space="0" w:color="auto"/>
          </w:divBdr>
          <w:divsChild>
            <w:div w:id="1054038917">
              <w:marLeft w:val="0"/>
              <w:marRight w:val="0"/>
              <w:marTop w:val="0"/>
              <w:marBottom w:val="0"/>
              <w:divBdr>
                <w:top w:val="none" w:sz="0" w:space="0" w:color="auto"/>
                <w:left w:val="none" w:sz="0" w:space="0" w:color="auto"/>
                <w:bottom w:val="none" w:sz="0" w:space="0" w:color="auto"/>
                <w:right w:val="none" w:sz="0" w:space="0" w:color="auto"/>
              </w:divBdr>
            </w:div>
            <w:div w:id="783769808">
              <w:marLeft w:val="0"/>
              <w:marRight w:val="0"/>
              <w:marTop w:val="0"/>
              <w:marBottom w:val="0"/>
              <w:divBdr>
                <w:top w:val="none" w:sz="0" w:space="0" w:color="auto"/>
                <w:left w:val="none" w:sz="0" w:space="0" w:color="auto"/>
                <w:bottom w:val="none" w:sz="0" w:space="0" w:color="auto"/>
                <w:right w:val="none" w:sz="0" w:space="0" w:color="auto"/>
              </w:divBdr>
            </w:div>
            <w:div w:id="555356786">
              <w:marLeft w:val="0"/>
              <w:marRight w:val="0"/>
              <w:marTop w:val="0"/>
              <w:marBottom w:val="0"/>
              <w:divBdr>
                <w:top w:val="none" w:sz="0" w:space="0" w:color="auto"/>
                <w:left w:val="none" w:sz="0" w:space="0" w:color="auto"/>
                <w:bottom w:val="none" w:sz="0" w:space="0" w:color="auto"/>
                <w:right w:val="none" w:sz="0" w:space="0" w:color="auto"/>
              </w:divBdr>
            </w:div>
            <w:div w:id="1012874261">
              <w:marLeft w:val="0"/>
              <w:marRight w:val="0"/>
              <w:marTop w:val="0"/>
              <w:marBottom w:val="0"/>
              <w:divBdr>
                <w:top w:val="none" w:sz="0" w:space="0" w:color="auto"/>
                <w:left w:val="none" w:sz="0" w:space="0" w:color="auto"/>
                <w:bottom w:val="none" w:sz="0" w:space="0" w:color="auto"/>
                <w:right w:val="none" w:sz="0" w:space="0" w:color="auto"/>
              </w:divBdr>
            </w:div>
            <w:div w:id="195973656">
              <w:marLeft w:val="0"/>
              <w:marRight w:val="0"/>
              <w:marTop w:val="0"/>
              <w:marBottom w:val="0"/>
              <w:divBdr>
                <w:top w:val="none" w:sz="0" w:space="0" w:color="auto"/>
                <w:left w:val="none" w:sz="0" w:space="0" w:color="auto"/>
                <w:bottom w:val="none" w:sz="0" w:space="0" w:color="auto"/>
                <w:right w:val="none" w:sz="0" w:space="0" w:color="auto"/>
              </w:divBdr>
            </w:div>
            <w:div w:id="1224675891">
              <w:marLeft w:val="0"/>
              <w:marRight w:val="0"/>
              <w:marTop w:val="0"/>
              <w:marBottom w:val="0"/>
              <w:divBdr>
                <w:top w:val="none" w:sz="0" w:space="0" w:color="auto"/>
                <w:left w:val="none" w:sz="0" w:space="0" w:color="auto"/>
                <w:bottom w:val="none" w:sz="0" w:space="0" w:color="auto"/>
                <w:right w:val="none" w:sz="0" w:space="0" w:color="auto"/>
              </w:divBdr>
            </w:div>
            <w:div w:id="1312632149">
              <w:marLeft w:val="0"/>
              <w:marRight w:val="0"/>
              <w:marTop w:val="0"/>
              <w:marBottom w:val="0"/>
              <w:divBdr>
                <w:top w:val="none" w:sz="0" w:space="0" w:color="auto"/>
                <w:left w:val="none" w:sz="0" w:space="0" w:color="auto"/>
                <w:bottom w:val="none" w:sz="0" w:space="0" w:color="auto"/>
                <w:right w:val="none" w:sz="0" w:space="0" w:color="auto"/>
              </w:divBdr>
            </w:div>
            <w:div w:id="448620819">
              <w:marLeft w:val="0"/>
              <w:marRight w:val="0"/>
              <w:marTop w:val="0"/>
              <w:marBottom w:val="0"/>
              <w:divBdr>
                <w:top w:val="none" w:sz="0" w:space="0" w:color="auto"/>
                <w:left w:val="none" w:sz="0" w:space="0" w:color="auto"/>
                <w:bottom w:val="none" w:sz="0" w:space="0" w:color="auto"/>
                <w:right w:val="none" w:sz="0" w:space="0" w:color="auto"/>
              </w:divBdr>
            </w:div>
            <w:div w:id="52705263">
              <w:marLeft w:val="0"/>
              <w:marRight w:val="0"/>
              <w:marTop w:val="0"/>
              <w:marBottom w:val="0"/>
              <w:divBdr>
                <w:top w:val="none" w:sz="0" w:space="0" w:color="auto"/>
                <w:left w:val="none" w:sz="0" w:space="0" w:color="auto"/>
                <w:bottom w:val="none" w:sz="0" w:space="0" w:color="auto"/>
                <w:right w:val="none" w:sz="0" w:space="0" w:color="auto"/>
              </w:divBdr>
            </w:div>
            <w:div w:id="1516576843">
              <w:marLeft w:val="0"/>
              <w:marRight w:val="0"/>
              <w:marTop w:val="0"/>
              <w:marBottom w:val="0"/>
              <w:divBdr>
                <w:top w:val="none" w:sz="0" w:space="0" w:color="auto"/>
                <w:left w:val="none" w:sz="0" w:space="0" w:color="auto"/>
                <w:bottom w:val="none" w:sz="0" w:space="0" w:color="auto"/>
                <w:right w:val="none" w:sz="0" w:space="0" w:color="auto"/>
              </w:divBdr>
            </w:div>
            <w:div w:id="1824153932">
              <w:marLeft w:val="0"/>
              <w:marRight w:val="0"/>
              <w:marTop w:val="0"/>
              <w:marBottom w:val="0"/>
              <w:divBdr>
                <w:top w:val="none" w:sz="0" w:space="0" w:color="auto"/>
                <w:left w:val="none" w:sz="0" w:space="0" w:color="auto"/>
                <w:bottom w:val="none" w:sz="0" w:space="0" w:color="auto"/>
                <w:right w:val="none" w:sz="0" w:space="0" w:color="auto"/>
              </w:divBdr>
            </w:div>
            <w:div w:id="792406280">
              <w:marLeft w:val="0"/>
              <w:marRight w:val="0"/>
              <w:marTop w:val="0"/>
              <w:marBottom w:val="0"/>
              <w:divBdr>
                <w:top w:val="none" w:sz="0" w:space="0" w:color="auto"/>
                <w:left w:val="none" w:sz="0" w:space="0" w:color="auto"/>
                <w:bottom w:val="none" w:sz="0" w:space="0" w:color="auto"/>
                <w:right w:val="none" w:sz="0" w:space="0" w:color="auto"/>
              </w:divBdr>
            </w:div>
          </w:divsChild>
        </w:div>
        <w:div w:id="1135638900">
          <w:marLeft w:val="0"/>
          <w:marRight w:val="0"/>
          <w:marTop w:val="0"/>
          <w:marBottom w:val="0"/>
          <w:divBdr>
            <w:top w:val="none" w:sz="0" w:space="0" w:color="auto"/>
            <w:left w:val="none" w:sz="0" w:space="0" w:color="auto"/>
            <w:bottom w:val="none" w:sz="0" w:space="0" w:color="auto"/>
            <w:right w:val="none" w:sz="0" w:space="0" w:color="auto"/>
          </w:divBdr>
          <w:divsChild>
            <w:div w:id="1518038259">
              <w:marLeft w:val="0"/>
              <w:marRight w:val="0"/>
              <w:marTop w:val="0"/>
              <w:marBottom w:val="0"/>
              <w:divBdr>
                <w:top w:val="none" w:sz="0" w:space="0" w:color="auto"/>
                <w:left w:val="none" w:sz="0" w:space="0" w:color="auto"/>
                <w:bottom w:val="none" w:sz="0" w:space="0" w:color="auto"/>
                <w:right w:val="none" w:sz="0" w:space="0" w:color="auto"/>
              </w:divBdr>
            </w:div>
            <w:div w:id="1041396136">
              <w:marLeft w:val="0"/>
              <w:marRight w:val="0"/>
              <w:marTop w:val="0"/>
              <w:marBottom w:val="0"/>
              <w:divBdr>
                <w:top w:val="none" w:sz="0" w:space="0" w:color="auto"/>
                <w:left w:val="none" w:sz="0" w:space="0" w:color="auto"/>
                <w:bottom w:val="none" w:sz="0" w:space="0" w:color="auto"/>
                <w:right w:val="none" w:sz="0" w:space="0" w:color="auto"/>
              </w:divBdr>
            </w:div>
            <w:div w:id="1379475435">
              <w:marLeft w:val="0"/>
              <w:marRight w:val="0"/>
              <w:marTop w:val="0"/>
              <w:marBottom w:val="0"/>
              <w:divBdr>
                <w:top w:val="none" w:sz="0" w:space="0" w:color="auto"/>
                <w:left w:val="none" w:sz="0" w:space="0" w:color="auto"/>
                <w:bottom w:val="none" w:sz="0" w:space="0" w:color="auto"/>
                <w:right w:val="none" w:sz="0" w:space="0" w:color="auto"/>
              </w:divBdr>
            </w:div>
            <w:div w:id="359552850">
              <w:marLeft w:val="0"/>
              <w:marRight w:val="0"/>
              <w:marTop w:val="0"/>
              <w:marBottom w:val="0"/>
              <w:divBdr>
                <w:top w:val="none" w:sz="0" w:space="0" w:color="auto"/>
                <w:left w:val="none" w:sz="0" w:space="0" w:color="auto"/>
                <w:bottom w:val="none" w:sz="0" w:space="0" w:color="auto"/>
                <w:right w:val="none" w:sz="0" w:space="0" w:color="auto"/>
              </w:divBdr>
            </w:div>
            <w:div w:id="240068792">
              <w:marLeft w:val="0"/>
              <w:marRight w:val="0"/>
              <w:marTop w:val="0"/>
              <w:marBottom w:val="0"/>
              <w:divBdr>
                <w:top w:val="none" w:sz="0" w:space="0" w:color="auto"/>
                <w:left w:val="none" w:sz="0" w:space="0" w:color="auto"/>
                <w:bottom w:val="none" w:sz="0" w:space="0" w:color="auto"/>
                <w:right w:val="none" w:sz="0" w:space="0" w:color="auto"/>
              </w:divBdr>
            </w:div>
            <w:div w:id="529609786">
              <w:marLeft w:val="0"/>
              <w:marRight w:val="0"/>
              <w:marTop w:val="0"/>
              <w:marBottom w:val="0"/>
              <w:divBdr>
                <w:top w:val="none" w:sz="0" w:space="0" w:color="auto"/>
                <w:left w:val="none" w:sz="0" w:space="0" w:color="auto"/>
                <w:bottom w:val="none" w:sz="0" w:space="0" w:color="auto"/>
                <w:right w:val="none" w:sz="0" w:space="0" w:color="auto"/>
              </w:divBdr>
            </w:div>
            <w:div w:id="993803227">
              <w:marLeft w:val="0"/>
              <w:marRight w:val="0"/>
              <w:marTop w:val="0"/>
              <w:marBottom w:val="0"/>
              <w:divBdr>
                <w:top w:val="none" w:sz="0" w:space="0" w:color="auto"/>
                <w:left w:val="none" w:sz="0" w:space="0" w:color="auto"/>
                <w:bottom w:val="none" w:sz="0" w:space="0" w:color="auto"/>
                <w:right w:val="none" w:sz="0" w:space="0" w:color="auto"/>
              </w:divBdr>
            </w:div>
            <w:div w:id="433943266">
              <w:marLeft w:val="0"/>
              <w:marRight w:val="0"/>
              <w:marTop w:val="0"/>
              <w:marBottom w:val="0"/>
              <w:divBdr>
                <w:top w:val="none" w:sz="0" w:space="0" w:color="auto"/>
                <w:left w:val="none" w:sz="0" w:space="0" w:color="auto"/>
                <w:bottom w:val="none" w:sz="0" w:space="0" w:color="auto"/>
                <w:right w:val="none" w:sz="0" w:space="0" w:color="auto"/>
              </w:divBdr>
            </w:div>
            <w:div w:id="1195267301">
              <w:marLeft w:val="0"/>
              <w:marRight w:val="0"/>
              <w:marTop w:val="0"/>
              <w:marBottom w:val="0"/>
              <w:divBdr>
                <w:top w:val="none" w:sz="0" w:space="0" w:color="auto"/>
                <w:left w:val="none" w:sz="0" w:space="0" w:color="auto"/>
                <w:bottom w:val="none" w:sz="0" w:space="0" w:color="auto"/>
                <w:right w:val="none" w:sz="0" w:space="0" w:color="auto"/>
              </w:divBdr>
            </w:div>
            <w:div w:id="1945722434">
              <w:marLeft w:val="0"/>
              <w:marRight w:val="0"/>
              <w:marTop w:val="0"/>
              <w:marBottom w:val="0"/>
              <w:divBdr>
                <w:top w:val="none" w:sz="0" w:space="0" w:color="auto"/>
                <w:left w:val="none" w:sz="0" w:space="0" w:color="auto"/>
                <w:bottom w:val="none" w:sz="0" w:space="0" w:color="auto"/>
                <w:right w:val="none" w:sz="0" w:space="0" w:color="auto"/>
              </w:divBdr>
            </w:div>
            <w:div w:id="585185477">
              <w:marLeft w:val="0"/>
              <w:marRight w:val="0"/>
              <w:marTop w:val="0"/>
              <w:marBottom w:val="0"/>
              <w:divBdr>
                <w:top w:val="none" w:sz="0" w:space="0" w:color="auto"/>
                <w:left w:val="none" w:sz="0" w:space="0" w:color="auto"/>
                <w:bottom w:val="none" w:sz="0" w:space="0" w:color="auto"/>
                <w:right w:val="none" w:sz="0" w:space="0" w:color="auto"/>
              </w:divBdr>
            </w:div>
            <w:div w:id="1779835678">
              <w:marLeft w:val="0"/>
              <w:marRight w:val="0"/>
              <w:marTop w:val="0"/>
              <w:marBottom w:val="0"/>
              <w:divBdr>
                <w:top w:val="none" w:sz="0" w:space="0" w:color="auto"/>
                <w:left w:val="none" w:sz="0" w:space="0" w:color="auto"/>
                <w:bottom w:val="none" w:sz="0" w:space="0" w:color="auto"/>
                <w:right w:val="none" w:sz="0" w:space="0" w:color="auto"/>
              </w:divBdr>
            </w:div>
            <w:div w:id="1166675731">
              <w:marLeft w:val="0"/>
              <w:marRight w:val="0"/>
              <w:marTop w:val="0"/>
              <w:marBottom w:val="0"/>
              <w:divBdr>
                <w:top w:val="none" w:sz="0" w:space="0" w:color="auto"/>
                <w:left w:val="none" w:sz="0" w:space="0" w:color="auto"/>
                <w:bottom w:val="none" w:sz="0" w:space="0" w:color="auto"/>
                <w:right w:val="none" w:sz="0" w:space="0" w:color="auto"/>
              </w:divBdr>
            </w:div>
            <w:div w:id="1479810608">
              <w:marLeft w:val="0"/>
              <w:marRight w:val="0"/>
              <w:marTop w:val="0"/>
              <w:marBottom w:val="0"/>
              <w:divBdr>
                <w:top w:val="none" w:sz="0" w:space="0" w:color="auto"/>
                <w:left w:val="none" w:sz="0" w:space="0" w:color="auto"/>
                <w:bottom w:val="none" w:sz="0" w:space="0" w:color="auto"/>
                <w:right w:val="none" w:sz="0" w:space="0" w:color="auto"/>
              </w:divBdr>
            </w:div>
            <w:div w:id="577178487">
              <w:marLeft w:val="0"/>
              <w:marRight w:val="0"/>
              <w:marTop w:val="0"/>
              <w:marBottom w:val="0"/>
              <w:divBdr>
                <w:top w:val="none" w:sz="0" w:space="0" w:color="auto"/>
                <w:left w:val="none" w:sz="0" w:space="0" w:color="auto"/>
                <w:bottom w:val="none" w:sz="0" w:space="0" w:color="auto"/>
                <w:right w:val="none" w:sz="0" w:space="0" w:color="auto"/>
              </w:divBdr>
            </w:div>
            <w:div w:id="1710644000">
              <w:marLeft w:val="0"/>
              <w:marRight w:val="0"/>
              <w:marTop w:val="0"/>
              <w:marBottom w:val="0"/>
              <w:divBdr>
                <w:top w:val="none" w:sz="0" w:space="0" w:color="auto"/>
                <w:left w:val="none" w:sz="0" w:space="0" w:color="auto"/>
                <w:bottom w:val="none" w:sz="0" w:space="0" w:color="auto"/>
                <w:right w:val="none" w:sz="0" w:space="0" w:color="auto"/>
              </w:divBdr>
            </w:div>
            <w:div w:id="213740700">
              <w:marLeft w:val="0"/>
              <w:marRight w:val="0"/>
              <w:marTop w:val="0"/>
              <w:marBottom w:val="0"/>
              <w:divBdr>
                <w:top w:val="none" w:sz="0" w:space="0" w:color="auto"/>
                <w:left w:val="none" w:sz="0" w:space="0" w:color="auto"/>
                <w:bottom w:val="none" w:sz="0" w:space="0" w:color="auto"/>
                <w:right w:val="none" w:sz="0" w:space="0" w:color="auto"/>
              </w:divBdr>
            </w:div>
            <w:div w:id="1267154317">
              <w:marLeft w:val="0"/>
              <w:marRight w:val="0"/>
              <w:marTop w:val="0"/>
              <w:marBottom w:val="0"/>
              <w:divBdr>
                <w:top w:val="none" w:sz="0" w:space="0" w:color="auto"/>
                <w:left w:val="none" w:sz="0" w:space="0" w:color="auto"/>
                <w:bottom w:val="none" w:sz="0" w:space="0" w:color="auto"/>
                <w:right w:val="none" w:sz="0" w:space="0" w:color="auto"/>
              </w:divBdr>
            </w:div>
            <w:div w:id="1375158142">
              <w:marLeft w:val="0"/>
              <w:marRight w:val="0"/>
              <w:marTop w:val="0"/>
              <w:marBottom w:val="0"/>
              <w:divBdr>
                <w:top w:val="none" w:sz="0" w:space="0" w:color="auto"/>
                <w:left w:val="none" w:sz="0" w:space="0" w:color="auto"/>
                <w:bottom w:val="none" w:sz="0" w:space="0" w:color="auto"/>
                <w:right w:val="none" w:sz="0" w:space="0" w:color="auto"/>
              </w:divBdr>
            </w:div>
            <w:div w:id="1289824234">
              <w:marLeft w:val="0"/>
              <w:marRight w:val="0"/>
              <w:marTop w:val="0"/>
              <w:marBottom w:val="0"/>
              <w:divBdr>
                <w:top w:val="none" w:sz="0" w:space="0" w:color="auto"/>
                <w:left w:val="none" w:sz="0" w:space="0" w:color="auto"/>
                <w:bottom w:val="none" w:sz="0" w:space="0" w:color="auto"/>
                <w:right w:val="none" w:sz="0" w:space="0" w:color="auto"/>
              </w:divBdr>
            </w:div>
          </w:divsChild>
        </w:div>
        <w:div w:id="59063335">
          <w:marLeft w:val="0"/>
          <w:marRight w:val="0"/>
          <w:marTop w:val="0"/>
          <w:marBottom w:val="0"/>
          <w:divBdr>
            <w:top w:val="none" w:sz="0" w:space="0" w:color="auto"/>
            <w:left w:val="none" w:sz="0" w:space="0" w:color="auto"/>
            <w:bottom w:val="none" w:sz="0" w:space="0" w:color="auto"/>
            <w:right w:val="none" w:sz="0" w:space="0" w:color="auto"/>
          </w:divBdr>
          <w:divsChild>
            <w:div w:id="1850169446">
              <w:marLeft w:val="0"/>
              <w:marRight w:val="0"/>
              <w:marTop w:val="0"/>
              <w:marBottom w:val="0"/>
              <w:divBdr>
                <w:top w:val="none" w:sz="0" w:space="0" w:color="auto"/>
                <w:left w:val="none" w:sz="0" w:space="0" w:color="auto"/>
                <w:bottom w:val="none" w:sz="0" w:space="0" w:color="auto"/>
                <w:right w:val="none" w:sz="0" w:space="0" w:color="auto"/>
              </w:divBdr>
            </w:div>
            <w:div w:id="1809669512">
              <w:marLeft w:val="0"/>
              <w:marRight w:val="0"/>
              <w:marTop w:val="0"/>
              <w:marBottom w:val="0"/>
              <w:divBdr>
                <w:top w:val="none" w:sz="0" w:space="0" w:color="auto"/>
                <w:left w:val="none" w:sz="0" w:space="0" w:color="auto"/>
                <w:bottom w:val="none" w:sz="0" w:space="0" w:color="auto"/>
                <w:right w:val="none" w:sz="0" w:space="0" w:color="auto"/>
              </w:divBdr>
            </w:div>
            <w:div w:id="156042326">
              <w:marLeft w:val="0"/>
              <w:marRight w:val="0"/>
              <w:marTop w:val="0"/>
              <w:marBottom w:val="0"/>
              <w:divBdr>
                <w:top w:val="none" w:sz="0" w:space="0" w:color="auto"/>
                <w:left w:val="none" w:sz="0" w:space="0" w:color="auto"/>
                <w:bottom w:val="none" w:sz="0" w:space="0" w:color="auto"/>
                <w:right w:val="none" w:sz="0" w:space="0" w:color="auto"/>
              </w:divBdr>
            </w:div>
            <w:div w:id="1843545896">
              <w:marLeft w:val="0"/>
              <w:marRight w:val="0"/>
              <w:marTop w:val="0"/>
              <w:marBottom w:val="0"/>
              <w:divBdr>
                <w:top w:val="none" w:sz="0" w:space="0" w:color="auto"/>
                <w:left w:val="none" w:sz="0" w:space="0" w:color="auto"/>
                <w:bottom w:val="none" w:sz="0" w:space="0" w:color="auto"/>
                <w:right w:val="none" w:sz="0" w:space="0" w:color="auto"/>
              </w:divBdr>
            </w:div>
            <w:div w:id="1608197658">
              <w:marLeft w:val="0"/>
              <w:marRight w:val="0"/>
              <w:marTop w:val="0"/>
              <w:marBottom w:val="0"/>
              <w:divBdr>
                <w:top w:val="none" w:sz="0" w:space="0" w:color="auto"/>
                <w:left w:val="none" w:sz="0" w:space="0" w:color="auto"/>
                <w:bottom w:val="none" w:sz="0" w:space="0" w:color="auto"/>
                <w:right w:val="none" w:sz="0" w:space="0" w:color="auto"/>
              </w:divBdr>
            </w:div>
            <w:div w:id="787091132">
              <w:marLeft w:val="0"/>
              <w:marRight w:val="0"/>
              <w:marTop w:val="0"/>
              <w:marBottom w:val="0"/>
              <w:divBdr>
                <w:top w:val="none" w:sz="0" w:space="0" w:color="auto"/>
                <w:left w:val="none" w:sz="0" w:space="0" w:color="auto"/>
                <w:bottom w:val="none" w:sz="0" w:space="0" w:color="auto"/>
                <w:right w:val="none" w:sz="0" w:space="0" w:color="auto"/>
              </w:divBdr>
            </w:div>
            <w:div w:id="1056755">
              <w:marLeft w:val="0"/>
              <w:marRight w:val="0"/>
              <w:marTop w:val="0"/>
              <w:marBottom w:val="0"/>
              <w:divBdr>
                <w:top w:val="none" w:sz="0" w:space="0" w:color="auto"/>
                <w:left w:val="none" w:sz="0" w:space="0" w:color="auto"/>
                <w:bottom w:val="none" w:sz="0" w:space="0" w:color="auto"/>
                <w:right w:val="none" w:sz="0" w:space="0" w:color="auto"/>
              </w:divBdr>
            </w:div>
            <w:div w:id="1319263497">
              <w:marLeft w:val="0"/>
              <w:marRight w:val="0"/>
              <w:marTop w:val="0"/>
              <w:marBottom w:val="0"/>
              <w:divBdr>
                <w:top w:val="none" w:sz="0" w:space="0" w:color="auto"/>
                <w:left w:val="none" w:sz="0" w:space="0" w:color="auto"/>
                <w:bottom w:val="none" w:sz="0" w:space="0" w:color="auto"/>
                <w:right w:val="none" w:sz="0" w:space="0" w:color="auto"/>
              </w:divBdr>
            </w:div>
            <w:div w:id="1935672465">
              <w:marLeft w:val="0"/>
              <w:marRight w:val="0"/>
              <w:marTop w:val="0"/>
              <w:marBottom w:val="0"/>
              <w:divBdr>
                <w:top w:val="none" w:sz="0" w:space="0" w:color="auto"/>
                <w:left w:val="none" w:sz="0" w:space="0" w:color="auto"/>
                <w:bottom w:val="none" w:sz="0" w:space="0" w:color="auto"/>
                <w:right w:val="none" w:sz="0" w:space="0" w:color="auto"/>
              </w:divBdr>
            </w:div>
            <w:div w:id="1216088109">
              <w:marLeft w:val="0"/>
              <w:marRight w:val="0"/>
              <w:marTop w:val="0"/>
              <w:marBottom w:val="0"/>
              <w:divBdr>
                <w:top w:val="none" w:sz="0" w:space="0" w:color="auto"/>
                <w:left w:val="none" w:sz="0" w:space="0" w:color="auto"/>
                <w:bottom w:val="none" w:sz="0" w:space="0" w:color="auto"/>
                <w:right w:val="none" w:sz="0" w:space="0" w:color="auto"/>
              </w:divBdr>
            </w:div>
            <w:div w:id="657227599">
              <w:marLeft w:val="0"/>
              <w:marRight w:val="0"/>
              <w:marTop w:val="0"/>
              <w:marBottom w:val="0"/>
              <w:divBdr>
                <w:top w:val="none" w:sz="0" w:space="0" w:color="auto"/>
                <w:left w:val="none" w:sz="0" w:space="0" w:color="auto"/>
                <w:bottom w:val="none" w:sz="0" w:space="0" w:color="auto"/>
                <w:right w:val="none" w:sz="0" w:space="0" w:color="auto"/>
              </w:divBdr>
            </w:div>
            <w:div w:id="475801640">
              <w:marLeft w:val="0"/>
              <w:marRight w:val="0"/>
              <w:marTop w:val="0"/>
              <w:marBottom w:val="0"/>
              <w:divBdr>
                <w:top w:val="none" w:sz="0" w:space="0" w:color="auto"/>
                <w:left w:val="none" w:sz="0" w:space="0" w:color="auto"/>
                <w:bottom w:val="none" w:sz="0" w:space="0" w:color="auto"/>
                <w:right w:val="none" w:sz="0" w:space="0" w:color="auto"/>
              </w:divBdr>
            </w:div>
            <w:div w:id="440338148">
              <w:marLeft w:val="0"/>
              <w:marRight w:val="0"/>
              <w:marTop w:val="0"/>
              <w:marBottom w:val="0"/>
              <w:divBdr>
                <w:top w:val="none" w:sz="0" w:space="0" w:color="auto"/>
                <w:left w:val="none" w:sz="0" w:space="0" w:color="auto"/>
                <w:bottom w:val="none" w:sz="0" w:space="0" w:color="auto"/>
                <w:right w:val="none" w:sz="0" w:space="0" w:color="auto"/>
              </w:divBdr>
            </w:div>
            <w:div w:id="1464159520">
              <w:marLeft w:val="0"/>
              <w:marRight w:val="0"/>
              <w:marTop w:val="0"/>
              <w:marBottom w:val="0"/>
              <w:divBdr>
                <w:top w:val="none" w:sz="0" w:space="0" w:color="auto"/>
                <w:left w:val="none" w:sz="0" w:space="0" w:color="auto"/>
                <w:bottom w:val="none" w:sz="0" w:space="0" w:color="auto"/>
                <w:right w:val="none" w:sz="0" w:space="0" w:color="auto"/>
              </w:divBdr>
            </w:div>
            <w:div w:id="179675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81555">
      <w:bodyDiv w:val="1"/>
      <w:marLeft w:val="0"/>
      <w:marRight w:val="0"/>
      <w:marTop w:val="0"/>
      <w:marBottom w:val="0"/>
      <w:divBdr>
        <w:top w:val="none" w:sz="0" w:space="0" w:color="auto"/>
        <w:left w:val="none" w:sz="0" w:space="0" w:color="auto"/>
        <w:bottom w:val="none" w:sz="0" w:space="0" w:color="auto"/>
        <w:right w:val="none" w:sz="0" w:space="0" w:color="auto"/>
      </w:divBdr>
    </w:div>
    <w:div w:id="979848636">
      <w:bodyDiv w:val="1"/>
      <w:marLeft w:val="0"/>
      <w:marRight w:val="0"/>
      <w:marTop w:val="0"/>
      <w:marBottom w:val="0"/>
      <w:divBdr>
        <w:top w:val="none" w:sz="0" w:space="0" w:color="auto"/>
        <w:left w:val="none" w:sz="0" w:space="0" w:color="auto"/>
        <w:bottom w:val="none" w:sz="0" w:space="0" w:color="auto"/>
        <w:right w:val="none" w:sz="0" w:space="0" w:color="auto"/>
      </w:divBdr>
      <w:divsChild>
        <w:div w:id="538013677">
          <w:marLeft w:val="0"/>
          <w:marRight w:val="0"/>
          <w:marTop w:val="0"/>
          <w:marBottom w:val="0"/>
          <w:divBdr>
            <w:top w:val="none" w:sz="0" w:space="0" w:color="auto"/>
            <w:left w:val="none" w:sz="0" w:space="0" w:color="auto"/>
            <w:bottom w:val="none" w:sz="0" w:space="0" w:color="auto"/>
            <w:right w:val="none" w:sz="0" w:space="0" w:color="auto"/>
          </w:divBdr>
          <w:divsChild>
            <w:div w:id="655576669">
              <w:marLeft w:val="0"/>
              <w:marRight w:val="0"/>
              <w:marTop w:val="0"/>
              <w:marBottom w:val="0"/>
              <w:divBdr>
                <w:top w:val="none" w:sz="0" w:space="0" w:color="auto"/>
                <w:left w:val="none" w:sz="0" w:space="0" w:color="auto"/>
                <w:bottom w:val="none" w:sz="0" w:space="0" w:color="auto"/>
                <w:right w:val="none" w:sz="0" w:space="0" w:color="auto"/>
              </w:divBdr>
            </w:div>
            <w:div w:id="1803032171">
              <w:marLeft w:val="0"/>
              <w:marRight w:val="0"/>
              <w:marTop w:val="0"/>
              <w:marBottom w:val="0"/>
              <w:divBdr>
                <w:top w:val="none" w:sz="0" w:space="0" w:color="auto"/>
                <w:left w:val="none" w:sz="0" w:space="0" w:color="auto"/>
                <w:bottom w:val="none" w:sz="0" w:space="0" w:color="auto"/>
                <w:right w:val="none" w:sz="0" w:space="0" w:color="auto"/>
              </w:divBdr>
            </w:div>
            <w:div w:id="73017157">
              <w:marLeft w:val="0"/>
              <w:marRight w:val="0"/>
              <w:marTop w:val="0"/>
              <w:marBottom w:val="0"/>
              <w:divBdr>
                <w:top w:val="none" w:sz="0" w:space="0" w:color="auto"/>
                <w:left w:val="none" w:sz="0" w:space="0" w:color="auto"/>
                <w:bottom w:val="none" w:sz="0" w:space="0" w:color="auto"/>
                <w:right w:val="none" w:sz="0" w:space="0" w:color="auto"/>
              </w:divBdr>
            </w:div>
            <w:div w:id="590892396">
              <w:marLeft w:val="0"/>
              <w:marRight w:val="0"/>
              <w:marTop w:val="0"/>
              <w:marBottom w:val="0"/>
              <w:divBdr>
                <w:top w:val="none" w:sz="0" w:space="0" w:color="auto"/>
                <w:left w:val="none" w:sz="0" w:space="0" w:color="auto"/>
                <w:bottom w:val="none" w:sz="0" w:space="0" w:color="auto"/>
                <w:right w:val="none" w:sz="0" w:space="0" w:color="auto"/>
              </w:divBdr>
            </w:div>
            <w:div w:id="1336179732">
              <w:marLeft w:val="0"/>
              <w:marRight w:val="0"/>
              <w:marTop w:val="0"/>
              <w:marBottom w:val="0"/>
              <w:divBdr>
                <w:top w:val="none" w:sz="0" w:space="0" w:color="auto"/>
                <w:left w:val="none" w:sz="0" w:space="0" w:color="auto"/>
                <w:bottom w:val="none" w:sz="0" w:space="0" w:color="auto"/>
                <w:right w:val="none" w:sz="0" w:space="0" w:color="auto"/>
              </w:divBdr>
            </w:div>
            <w:div w:id="1154956179">
              <w:marLeft w:val="0"/>
              <w:marRight w:val="0"/>
              <w:marTop w:val="0"/>
              <w:marBottom w:val="0"/>
              <w:divBdr>
                <w:top w:val="none" w:sz="0" w:space="0" w:color="auto"/>
                <w:left w:val="none" w:sz="0" w:space="0" w:color="auto"/>
                <w:bottom w:val="none" w:sz="0" w:space="0" w:color="auto"/>
                <w:right w:val="none" w:sz="0" w:space="0" w:color="auto"/>
              </w:divBdr>
            </w:div>
            <w:div w:id="547375805">
              <w:marLeft w:val="0"/>
              <w:marRight w:val="0"/>
              <w:marTop w:val="0"/>
              <w:marBottom w:val="0"/>
              <w:divBdr>
                <w:top w:val="none" w:sz="0" w:space="0" w:color="auto"/>
                <w:left w:val="none" w:sz="0" w:space="0" w:color="auto"/>
                <w:bottom w:val="none" w:sz="0" w:space="0" w:color="auto"/>
                <w:right w:val="none" w:sz="0" w:space="0" w:color="auto"/>
              </w:divBdr>
            </w:div>
            <w:div w:id="386104698">
              <w:marLeft w:val="0"/>
              <w:marRight w:val="0"/>
              <w:marTop w:val="0"/>
              <w:marBottom w:val="0"/>
              <w:divBdr>
                <w:top w:val="none" w:sz="0" w:space="0" w:color="auto"/>
                <w:left w:val="none" w:sz="0" w:space="0" w:color="auto"/>
                <w:bottom w:val="none" w:sz="0" w:space="0" w:color="auto"/>
                <w:right w:val="none" w:sz="0" w:space="0" w:color="auto"/>
              </w:divBdr>
            </w:div>
            <w:div w:id="1506557854">
              <w:marLeft w:val="0"/>
              <w:marRight w:val="0"/>
              <w:marTop w:val="0"/>
              <w:marBottom w:val="0"/>
              <w:divBdr>
                <w:top w:val="none" w:sz="0" w:space="0" w:color="auto"/>
                <w:left w:val="none" w:sz="0" w:space="0" w:color="auto"/>
                <w:bottom w:val="none" w:sz="0" w:space="0" w:color="auto"/>
                <w:right w:val="none" w:sz="0" w:space="0" w:color="auto"/>
              </w:divBdr>
            </w:div>
            <w:div w:id="633870637">
              <w:marLeft w:val="0"/>
              <w:marRight w:val="0"/>
              <w:marTop w:val="0"/>
              <w:marBottom w:val="0"/>
              <w:divBdr>
                <w:top w:val="none" w:sz="0" w:space="0" w:color="auto"/>
                <w:left w:val="none" w:sz="0" w:space="0" w:color="auto"/>
                <w:bottom w:val="none" w:sz="0" w:space="0" w:color="auto"/>
                <w:right w:val="none" w:sz="0" w:space="0" w:color="auto"/>
              </w:divBdr>
            </w:div>
            <w:div w:id="864055270">
              <w:marLeft w:val="0"/>
              <w:marRight w:val="0"/>
              <w:marTop w:val="0"/>
              <w:marBottom w:val="0"/>
              <w:divBdr>
                <w:top w:val="none" w:sz="0" w:space="0" w:color="auto"/>
                <w:left w:val="none" w:sz="0" w:space="0" w:color="auto"/>
                <w:bottom w:val="none" w:sz="0" w:space="0" w:color="auto"/>
                <w:right w:val="none" w:sz="0" w:space="0" w:color="auto"/>
              </w:divBdr>
            </w:div>
            <w:div w:id="840003790">
              <w:marLeft w:val="0"/>
              <w:marRight w:val="0"/>
              <w:marTop w:val="0"/>
              <w:marBottom w:val="0"/>
              <w:divBdr>
                <w:top w:val="none" w:sz="0" w:space="0" w:color="auto"/>
                <w:left w:val="none" w:sz="0" w:space="0" w:color="auto"/>
                <w:bottom w:val="none" w:sz="0" w:space="0" w:color="auto"/>
                <w:right w:val="none" w:sz="0" w:space="0" w:color="auto"/>
              </w:divBdr>
            </w:div>
            <w:div w:id="450788509">
              <w:marLeft w:val="0"/>
              <w:marRight w:val="0"/>
              <w:marTop w:val="0"/>
              <w:marBottom w:val="0"/>
              <w:divBdr>
                <w:top w:val="none" w:sz="0" w:space="0" w:color="auto"/>
                <w:left w:val="none" w:sz="0" w:space="0" w:color="auto"/>
                <w:bottom w:val="none" w:sz="0" w:space="0" w:color="auto"/>
                <w:right w:val="none" w:sz="0" w:space="0" w:color="auto"/>
              </w:divBdr>
            </w:div>
            <w:div w:id="2088649703">
              <w:marLeft w:val="0"/>
              <w:marRight w:val="0"/>
              <w:marTop w:val="0"/>
              <w:marBottom w:val="0"/>
              <w:divBdr>
                <w:top w:val="none" w:sz="0" w:space="0" w:color="auto"/>
                <w:left w:val="none" w:sz="0" w:space="0" w:color="auto"/>
                <w:bottom w:val="none" w:sz="0" w:space="0" w:color="auto"/>
                <w:right w:val="none" w:sz="0" w:space="0" w:color="auto"/>
              </w:divBdr>
            </w:div>
          </w:divsChild>
        </w:div>
        <w:div w:id="1026171988">
          <w:marLeft w:val="0"/>
          <w:marRight w:val="0"/>
          <w:marTop w:val="0"/>
          <w:marBottom w:val="0"/>
          <w:divBdr>
            <w:top w:val="none" w:sz="0" w:space="0" w:color="auto"/>
            <w:left w:val="none" w:sz="0" w:space="0" w:color="auto"/>
            <w:bottom w:val="none" w:sz="0" w:space="0" w:color="auto"/>
            <w:right w:val="none" w:sz="0" w:space="0" w:color="auto"/>
          </w:divBdr>
          <w:divsChild>
            <w:div w:id="2119325693">
              <w:marLeft w:val="0"/>
              <w:marRight w:val="0"/>
              <w:marTop w:val="0"/>
              <w:marBottom w:val="0"/>
              <w:divBdr>
                <w:top w:val="none" w:sz="0" w:space="0" w:color="auto"/>
                <w:left w:val="none" w:sz="0" w:space="0" w:color="auto"/>
                <w:bottom w:val="none" w:sz="0" w:space="0" w:color="auto"/>
                <w:right w:val="none" w:sz="0" w:space="0" w:color="auto"/>
              </w:divBdr>
            </w:div>
            <w:div w:id="626744526">
              <w:marLeft w:val="0"/>
              <w:marRight w:val="0"/>
              <w:marTop w:val="0"/>
              <w:marBottom w:val="0"/>
              <w:divBdr>
                <w:top w:val="none" w:sz="0" w:space="0" w:color="auto"/>
                <w:left w:val="none" w:sz="0" w:space="0" w:color="auto"/>
                <w:bottom w:val="none" w:sz="0" w:space="0" w:color="auto"/>
                <w:right w:val="none" w:sz="0" w:space="0" w:color="auto"/>
              </w:divBdr>
            </w:div>
            <w:div w:id="1681933408">
              <w:marLeft w:val="0"/>
              <w:marRight w:val="0"/>
              <w:marTop w:val="0"/>
              <w:marBottom w:val="0"/>
              <w:divBdr>
                <w:top w:val="none" w:sz="0" w:space="0" w:color="auto"/>
                <w:left w:val="none" w:sz="0" w:space="0" w:color="auto"/>
                <w:bottom w:val="none" w:sz="0" w:space="0" w:color="auto"/>
                <w:right w:val="none" w:sz="0" w:space="0" w:color="auto"/>
              </w:divBdr>
            </w:div>
            <w:div w:id="68455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000514">
      <w:bodyDiv w:val="1"/>
      <w:marLeft w:val="0"/>
      <w:marRight w:val="0"/>
      <w:marTop w:val="0"/>
      <w:marBottom w:val="0"/>
      <w:divBdr>
        <w:top w:val="none" w:sz="0" w:space="0" w:color="auto"/>
        <w:left w:val="none" w:sz="0" w:space="0" w:color="auto"/>
        <w:bottom w:val="none" w:sz="0" w:space="0" w:color="auto"/>
        <w:right w:val="none" w:sz="0" w:space="0" w:color="auto"/>
      </w:divBdr>
    </w:div>
    <w:div w:id="986906987">
      <w:bodyDiv w:val="1"/>
      <w:marLeft w:val="0"/>
      <w:marRight w:val="0"/>
      <w:marTop w:val="0"/>
      <w:marBottom w:val="0"/>
      <w:divBdr>
        <w:top w:val="none" w:sz="0" w:space="0" w:color="auto"/>
        <w:left w:val="none" w:sz="0" w:space="0" w:color="auto"/>
        <w:bottom w:val="none" w:sz="0" w:space="0" w:color="auto"/>
        <w:right w:val="none" w:sz="0" w:space="0" w:color="auto"/>
      </w:divBdr>
      <w:divsChild>
        <w:div w:id="50158251">
          <w:marLeft w:val="0"/>
          <w:marRight w:val="0"/>
          <w:marTop w:val="0"/>
          <w:marBottom w:val="0"/>
          <w:divBdr>
            <w:top w:val="none" w:sz="0" w:space="0" w:color="auto"/>
            <w:left w:val="none" w:sz="0" w:space="0" w:color="auto"/>
            <w:bottom w:val="none" w:sz="0" w:space="0" w:color="auto"/>
            <w:right w:val="none" w:sz="0" w:space="0" w:color="auto"/>
          </w:divBdr>
        </w:div>
        <w:div w:id="77677909">
          <w:marLeft w:val="0"/>
          <w:marRight w:val="0"/>
          <w:marTop w:val="0"/>
          <w:marBottom w:val="0"/>
          <w:divBdr>
            <w:top w:val="none" w:sz="0" w:space="0" w:color="auto"/>
            <w:left w:val="none" w:sz="0" w:space="0" w:color="auto"/>
            <w:bottom w:val="none" w:sz="0" w:space="0" w:color="auto"/>
            <w:right w:val="none" w:sz="0" w:space="0" w:color="auto"/>
          </w:divBdr>
        </w:div>
        <w:div w:id="141393019">
          <w:marLeft w:val="0"/>
          <w:marRight w:val="0"/>
          <w:marTop w:val="0"/>
          <w:marBottom w:val="0"/>
          <w:divBdr>
            <w:top w:val="none" w:sz="0" w:space="0" w:color="auto"/>
            <w:left w:val="none" w:sz="0" w:space="0" w:color="auto"/>
            <w:bottom w:val="none" w:sz="0" w:space="0" w:color="auto"/>
            <w:right w:val="none" w:sz="0" w:space="0" w:color="auto"/>
          </w:divBdr>
        </w:div>
        <w:div w:id="196745031">
          <w:marLeft w:val="0"/>
          <w:marRight w:val="0"/>
          <w:marTop w:val="0"/>
          <w:marBottom w:val="0"/>
          <w:divBdr>
            <w:top w:val="none" w:sz="0" w:space="0" w:color="auto"/>
            <w:left w:val="none" w:sz="0" w:space="0" w:color="auto"/>
            <w:bottom w:val="none" w:sz="0" w:space="0" w:color="auto"/>
            <w:right w:val="none" w:sz="0" w:space="0" w:color="auto"/>
          </w:divBdr>
        </w:div>
        <w:div w:id="350760591">
          <w:marLeft w:val="0"/>
          <w:marRight w:val="0"/>
          <w:marTop w:val="0"/>
          <w:marBottom w:val="0"/>
          <w:divBdr>
            <w:top w:val="none" w:sz="0" w:space="0" w:color="auto"/>
            <w:left w:val="none" w:sz="0" w:space="0" w:color="auto"/>
            <w:bottom w:val="none" w:sz="0" w:space="0" w:color="auto"/>
            <w:right w:val="none" w:sz="0" w:space="0" w:color="auto"/>
          </w:divBdr>
        </w:div>
        <w:div w:id="482549382">
          <w:marLeft w:val="0"/>
          <w:marRight w:val="0"/>
          <w:marTop w:val="0"/>
          <w:marBottom w:val="0"/>
          <w:divBdr>
            <w:top w:val="none" w:sz="0" w:space="0" w:color="auto"/>
            <w:left w:val="none" w:sz="0" w:space="0" w:color="auto"/>
            <w:bottom w:val="none" w:sz="0" w:space="0" w:color="auto"/>
            <w:right w:val="none" w:sz="0" w:space="0" w:color="auto"/>
          </w:divBdr>
        </w:div>
        <w:div w:id="737363073">
          <w:marLeft w:val="0"/>
          <w:marRight w:val="0"/>
          <w:marTop w:val="0"/>
          <w:marBottom w:val="0"/>
          <w:divBdr>
            <w:top w:val="none" w:sz="0" w:space="0" w:color="auto"/>
            <w:left w:val="none" w:sz="0" w:space="0" w:color="auto"/>
            <w:bottom w:val="none" w:sz="0" w:space="0" w:color="auto"/>
            <w:right w:val="none" w:sz="0" w:space="0" w:color="auto"/>
          </w:divBdr>
        </w:div>
        <w:div w:id="786243833">
          <w:marLeft w:val="0"/>
          <w:marRight w:val="0"/>
          <w:marTop w:val="0"/>
          <w:marBottom w:val="0"/>
          <w:divBdr>
            <w:top w:val="none" w:sz="0" w:space="0" w:color="auto"/>
            <w:left w:val="none" w:sz="0" w:space="0" w:color="auto"/>
            <w:bottom w:val="none" w:sz="0" w:space="0" w:color="auto"/>
            <w:right w:val="none" w:sz="0" w:space="0" w:color="auto"/>
          </w:divBdr>
        </w:div>
        <w:div w:id="792289664">
          <w:marLeft w:val="0"/>
          <w:marRight w:val="0"/>
          <w:marTop w:val="0"/>
          <w:marBottom w:val="0"/>
          <w:divBdr>
            <w:top w:val="none" w:sz="0" w:space="0" w:color="auto"/>
            <w:left w:val="none" w:sz="0" w:space="0" w:color="auto"/>
            <w:bottom w:val="none" w:sz="0" w:space="0" w:color="auto"/>
            <w:right w:val="none" w:sz="0" w:space="0" w:color="auto"/>
          </w:divBdr>
        </w:div>
        <w:div w:id="832987332">
          <w:marLeft w:val="0"/>
          <w:marRight w:val="0"/>
          <w:marTop w:val="0"/>
          <w:marBottom w:val="0"/>
          <w:divBdr>
            <w:top w:val="none" w:sz="0" w:space="0" w:color="auto"/>
            <w:left w:val="none" w:sz="0" w:space="0" w:color="auto"/>
            <w:bottom w:val="none" w:sz="0" w:space="0" w:color="auto"/>
            <w:right w:val="none" w:sz="0" w:space="0" w:color="auto"/>
          </w:divBdr>
        </w:div>
        <w:div w:id="888035989">
          <w:marLeft w:val="0"/>
          <w:marRight w:val="0"/>
          <w:marTop w:val="0"/>
          <w:marBottom w:val="0"/>
          <w:divBdr>
            <w:top w:val="none" w:sz="0" w:space="0" w:color="auto"/>
            <w:left w:val="none" w:sz="0" w:space="0" w:color="auto"/>
            <w:bottom w:val="none" w:sz="0" w:space="0" w:color="auto"/>
            <w:right w:val="none" w:sz="0" w:space="0" w:color="auto"/>
          </w:divBdr>
        </w:div>
        <w:div w:id="911354274">
          <w:marLeft w:val="0"/>
          <w:marRight w:val="0"/>
          <w:marTop w:val="0"/>
          <w:marBottom w:val="0"/>
          <w:divBdr>
            <w:top w:val="none" w:sz="0" w:space="0" w:color="auto"/>
            <w:left w:val="none" w:sz="0" w:space="0" w:color="auto"/>
            <w:bottom w:val="none" w:sz="0" w:space="0" w:color="auto"/>
            <w:right w:val="none" w:sz="0" w:space="0" w:color="auto"/>
          </w:divBdr>
        </w:div>
        <w:div w:id="1089348673">
          <w:marLeft w:val="0"/>
          <w:marRight w:val="0"/>
          <w:marTop w:val="0"/>
          <w:marBottom w:val="0"/>
          <w:divBdr>
            <w:top w:val="none" w:sz="0" w:space="0" w:color="auto"/>
            <w:left w:val="none" w:sz="0" w:space="0" w:color="auto"/>
            <w:bottom w:val="none" w:sz="0" w:space="0" w:color="auto"/>
            <w:right w:val="none" w:sz="0" w:space="0" w:color="auto"/>
          </w:divBdr>
        </w:div>
        <w:div w:id="1094668185">
          <w:marLeft w:val="0"/>
          <w:marRight w:val="0"/>
          <w:marTop w:val="0"/>
          <w:marBottom w:val="0"/>
          <w:divBdr>
            <w:top w:val="none" w:sz="0" w:space="0" w:color="auto"/>
            <w:left w:val="none" w:sz="0" w:space="0" w:color="auto"/>
            <w:bottom w:val="none" w:sz="0" w:space="0" w:color="auto"/>
            <w:right w:val="none" w:sz="0" w:space="0" w:color="auto"/>
          </w:divBdr>
        </w:div>
        <w:div w:id="1350834325">
          <w:marLeft w:val="0"/>
          <w:marRight w:val="0"/>
          <w:marTop w:val="0"/>
          <w:marBottom w:val="0"/>
          <w:divBdr>
            <w:top w:val="none" w:sz="0" w:space="0" w:color="auto"/>
            <w:left w:val="none" w:sz="0" w:space="0" w:color="auto"/>
            <w:bottom w:val="none" w:sz="0" w:space="0" w:color="auto"/>
            <w:right w:val="none" w:sz="0" w:space="0" w:color="auto"/>
          </w:divBdr>
        </w:div>
        <w:div w:id="1418164730">
          <w:marLeft w:val="0"/>
          <w:marRight w:val="0"/>
          <w:marTop w:val="0"/>
          <w:marBottom w:val="0"/>
          <w:divBdr>
            <w:top w:val="none" w:sz="0" w:space="0" w:color="auto"/>
            <w:left w:val="none" w:sz="0" w:space="0" w:color="auto"/>
            <w:bottom w:val="none" w:sz="0" w:space="0" w:color="auto"/>
            <w:right w:val="none" w:sz="0" w:space="0" w:color="auto"/>
          </w:divBdr>
        </w:div>
        <w:div w:id="1652556858">
          <w:marLeft w:val="0"/>
          <w:marRight w:val="0"/>
          <w:marTop w:val="0"/>
          <w:marBottom w:val="0"/>
          <w:divBdr>
            <w:top w:val="none" w:sz="0" w:space="0" w:color="auto"/>
            <w:left w:val="none" w:sz="0" w:space="0" w:color="auto"/>
            <w:bottom w:val="none" w:sz="0" w:space="0" w:color="auto"/>
            <w:right w:val="none" w:sz="0" w:space="0" w:color="auto"/>
          </w:divBdr>
        </w:div>
        <w:div w:id="1857575786">
          <w:marLeft w:val="0"/>
          <w:marRight w:val="0"/>
          <w:marTop w:val="0"/>
          <w:marBottom w:val="0"/>
          <w:divBdr>
            <w:top w:val="none" w:sz="0" w:space="0" w:color="auto"/>
            <w:left w:val="none" w:sz="0" w:space="0" w:color="auto"/>
            <w:bottom w:val="none" w:sz="0" w:space="0" w:color="auto"/>
            <w:right w:val="none" w:sz="0" w:space="0" w:color="auto"/>
          </w:divBdr>
        </w:div>
        <w:div w:id="2065398735">
          <w:marLeft w:val="0"/>
          <w:marRight w:val="0"/>
          <w:marTop w:val="0"/>
          <w:marBottom w:val="0"/>
          <w:divBdr>
            <w:top w:val="none" w:sz="0" w:space="0" w:color="auto"/>
            <w:left w:val="none" w:sz="0" w:space="0" w:color="auto"/>
            <w:bottom w:val="none" w:sz="0" w:space="0" w:color="auto"/>
            <w:right w:val="none" w:sz="0" w:space="0" w:color="auto"/>
          </w:divBdr>
        </w:div>
        <w:div w:id="2104521915">
          <w:marLeft w:val="0"/>
          <w:marRight w:val="0"/>
          <w:marTop w:val="0"/>
          <w:marBottom w:val="0"/>
          <w:divBdr>
            <w:top w:val="none" w:sz="0" w:space="0" w:color="auto"/>
            <w:left w:val="none" w:sz="0" w:space="0" w:color="auto"/>
            <w:bottom w:val="none" w:sz="0" w:space="0" w:color="auto"/>
            <w:right w:val="none" w:sz="0" w:space="0" w:color="auto"/>
          </w:divBdr>
        </w:div>
      </w:divsChild>
    </w:div>
    <w:div w:id="1004087355">
      <w:bodyDiv w:val="1"/>
      <w:marLeft w:val="0"/>
      <w:marRight w:val="0"/>
      <w:marTop w:val="0"/>
      <w:marBottom w:val="0"/>
      <w:divBdr>
        <w:top w:val="none" w:sz="0" w:space="0" w:color="auto"/>
        <w:left w:val="none" w:sz="0" w:space="0" w:color="auto"/>
        <w:bottom w:val="none" w:sz="0" w:space="0" w:color="auto"/>
        <w:right w:val="none" w:sz="0" w:space="0" w:color="auto"/>
      </w:divBdr>
      <w:divsChild>
        <w:div w:id="127817456">
          <w:marLeft w:val="0"/>
          <w:marRight w:val="0"/>
          <w:marTop w:val="0"/>
          <w:marBottom w:val="0"/>
          <w:divBdr>
            <w:top w:val="none" w:sz="0" w:space="0" w:color="auto"/>
            <w:left w:val="none" w:sz="0" w:space="0" w:color="auto"/>
            <w:bottom w:val="none" w:sz="0" w:space="0" w:color="auto"/>
            <w:right w:val="none" w:sz="0" w:space="0" w:color="auto"/>
          </w:divBdr>
        </w:div>
        <w:div w:id="253707465">
          <w:marLeft w:val="0"/>
          <w:marRight w:val="0"/>
          <w:marTop w:val="0"/>
          <w:marBottom w:val="0"/>
          <w:divBdr>
            <w:top w:val="none" w:sz="0" w:space="0" w:color="auto"/>
            <w:left w:val="none" w:sz="0" w:space="0" w:color="auto"/>
            <w:bottom w:val="none" w:sz="0" w:space="0" w:color="auto"/>
            <w:right w:val="none" w:sz="0" w:space="0" w:color="auto"/>
          </w:divBdr>
        </w:div>
        <w:div w:id="318769768">
          <w:marLeft w:val="0"/>
          <w:marRight w:val="0"/>
          <w:marTop w:val="0"/>
          <w:marBottom w:val="0"/>
          <w:divBdr>
            <w:top w:val="none" w:sz="0" w:space="0" w:color="auto"/>
            <w:left w:val="none" w:sz="0" w:space="0" w:color="auto"/>
            <w:bottom w:val="none" w:sz="0" w:space="0" w:color="auto"/>
            <w:right w:val="none" w:sz="0" w:space="0" w:color="auto"/>
          </w:divBdr>
        </w:div>
        <w:div w:id="354237441">
          <w:marLeft w:val="0"/>
          <w:marRight w:val="0"/>
          <w:marTop w:val="0"/>
          <w:marBottom w:val="0"/>
          <w:divBdr>
            <w:top w:val="none" w:sz="0" w:space="0" w:color="auto"/>
            <w:left w:val="none" w:sz="0" w:space="0" w:color="auto"/>
            <w:bottom w:val="none" w:sz="0" w:space="0" w:color="auto"/>
            <w:right w:val="none" w:sz="0" w:space="0" w:color="auto"/>
          </w:divBdr>
        </w:div>
        <w:div w:id="889615857">
          <w:marLeft w:val="0"/>
          <w:marRight w:val="0"/>
          <w:marTop w:val="0"/>
          <w:marBottom w:val="0"/>
          <w:divBdr>
            <w:top w:val="none" w:sz="0" w:space="0" w:color="auto"/>
            <w:left w:val="none" w:sz="0" w:space="0" w:color="auto"/>
            <w:bottom w:val="none" w:sz="0" w:space="0" w:color="auto"/>
            <w:right w:val="none" w:sz="0" w:space="0" w:color="auto"/>
          </w:divBdr>
        </w:div>
        <w:div w:id="1272544542">
          <w:marLeft w:val="0"/>
          <w:marRight w:val="0"/>
          <w:marTop w:val="0"/>
          <w:marBottom w:val="0"/>
          <w:divBdr>
            <w:top w:val="none" w:sz="0" w:space="0" w:color="auto"/>
            <w:left w:val="none" w:sz="0" w:space="0" w:color="auto"/>
            <w:bottom w:val="none" w:sz="0" w:space="0" w:color="auto"/>
            <w:right w:val="none" w:sz="0" w:space="0" w:color="auto"/>
          </w:divBdr>
        </w:div>
        <w:div w:id="1581594483">
          <w:marLeft w:val="0"/>
          <w:marRight w:val="0"/>
          <w:marTop w:val="0"/>
          <w:marBottom w:val="0"/>
          <w:divBdr>
            <w:top w:val="none" w:sz="0" w:space="0" w:color="auto"/>
            <w:left w:val="none" w:sz="0" w:space="0" w:color="auto"/>
            <w:bottom w:val="none" w:sz="0" w:space="0" w:color="auto"/>
            <w:right w:val="none" w:sz="0" w:space="0" w:color="auto"/>
          </w:divBdr>
        </w:div>
        <w:div w:id="1806776441">
          <w:marLeft w:val="0"/>
          <w:marRight w:val="0"/>
          <w:marTop w:val="0"/>
          <w:marBottom w:val="0"/>
          <w:divBdr>
            <w:top w:val="none" w:sz="0" w:space="0" w:color="auto"/>
            <w:left w:val="none" w:sz="0" w:space="0" w:color="auto"/>
            <w:bottom w:val="none" w:sz="0" w:space="0" w:color="auto"/>
            <w:right w:val="none" w:sz="0" w:space="0" w:color="auto"/>
          </w:divBdr>
        </w:div>
      </w:divsChild>
    </w:div>
    <w:div w:id="1005740352">
      <w:bodyDiv w:val="1"/>
      <w:marLeft w:val="0"/>
      <w:marRight w:val="0"/>
      <w:marTop w:val="0"/>
      <w:marBottom w:val="0"/>
      <w:divBdr>
        <w:top w:val="none" w:sz="0" w:space="0" w:color="auto"/>
        <w:left w:val="none" w:sz="0" w:space="0" w:color="auto"/>
        <w:bottom w:val="none" w:sz="0" w:space="0" w:color="auto"/>
        <w:right w:val="none" w:sz="0" w:space="0" w:color="auto"/>
      </w:divBdr>
      <w:divsChild>
        <w:div w:id="1034035478">
          <w:marLeft w:val="0"/>
          <w:marRight w:val="0"/>
          <w:marTop w:val="0"/>
          <w:marBottom w:val="0"/>
          <w:divBdr>
            <w:top w:val="none" w:sz="0" w:space="0" w:color="auto"/>
            <w:left w:val="none" w:sz="0" w:space="0" w:color="auto"/>
            <w:bottom w:val="none" w:sz="0" w:space="0" w:color="auto"/>
            <w:right w:val="none" w:sz="0" w:space="0" w:color="auto"/>
          </w:divBdr>
          <w:divsChild>
            <w:div w:id="891893033">
              <w:marLeft w:val="0"/>
              <w:marRight w:val="0"/>
              <w:marTop w:val="0"/>
              <w:marBottom w:val="0"/>
              <w:divBdr>
                <w:top w:val="none" w:sz="0" w:space="0" w:color="auto"/>
                <w:left w:val="none" w:sz="0" w:space="0" w:color="auto"/>
                <w:bottom w:val="none" w:sz="0" w:space="0" w:color="auto"/>
                <w:right w:val="none" w:sz="0" w:space="0" w:color="auto"/>
              </w:divBdr>
            </w:div>
            <w:div w:id="2137793542">
              <w:marLeft w:val="0"/>
              <w:marRight w:val="0"/>
              <w:marTop w:val="0"/>
              <w:marBottom w:val="0"/>
              <w:divBdr>
                <w:top w:val="none" w:sz="0" w:space="0" w:color="auto"/>
                <w:left w:val="none" w:sz="0" w:space="0" w:color="auto"/>
                <w:bottom w:val="none" w:sz="0" w:space="0" w:color="auto"/>
                <w:right w:val="none" w:sz="0" w:space="0" w:color="auto"/>
              </w:divBdr>
            </w:div>
            <w:div w:id="59065181">
              <w:marLeft w:val="0"/>
              <w:marRight w:val="0"/>
              <w:marTop w:val="0"/>
              <w:marBottom w:val="0"/>
              <w:divBdr>
                <w:top w:val="none" w:sz="0" w:space="0" w:color="auto"/>
                <w:left w:val="none" w:sz="0" w:space="0" w:color="auto"/>
                <w:bottom w:val="none" w:sz="0" w:space="0" w:color="auto"/>
                <w:right w:val="none" w:sz="0" w:space="0" w:color="auto"/>
              </w:divBdr>
            </w:div>
            <w:div w:id="1449011995">
              <w:marLeft w:val="0"/>
              <w:marRight w:val="0"/>
              <w:marTop w:val="0"/>
              <w:marBottom w:val="0"/>
              <w:divBdr>
                <w:top w:val="none" w:sz="0" w:space="0" w:color="auto"/>
                <w:left w:val="none" w:sz="0" w:space="0" w:color="auto"/>
                <w:bottom w:val="none" w:sz="0" w:space="0" w:color="auto"/>
                <w:right w:val="none" w:sz="0" w:space="0" w:color="auto"/>
              </w:divBdr>
            </w:div>
            <w:div w:id="1294210987">
              <w:marLeft w:val="0"/>
              <w:marRight w:val="0"/>
              <w:marTop w:val="0"/>
              <w:marBottom w:val="0"/>
              <w:divBdr>
                <w:top w:val="none" w:sz="0" w:space="0" w:color="auto"/>
                <w:left w:val="none" w:sz="0" w:space="0" w:color="auto"/>
                <w:bottom w:val="none" w:sz="0" w:space="0" w:color="auto"/>
                <w:right w:val="none" w:sz="0" w:space="0" w:color="auto"/>
              </w:divBdr>
            </w:div>
            <w:div w:id="1009066816">
              <w:marLeft w:val="0"/>
              <w:marRight w:val="0"/>
              <w:marTop w:val="0"/>
              <w:marBottom w:val="0"/>
              <w:divBdr>
                <w:top w:val="none" w:sz="0" w:space="0" w:color="auto"/>
                <w:left w:val="none" w:sz="0" w:space="0" w:color="auto"/>
                <w:bottom w:val="none" w:sz="0" w:space="0" w:color="auto"/>
                <w:right w:val="none" w:sz="0" w:space="0" w:color="auto"/>
              </w:divBdr>
            </w:div>
            <w:div w:id="1832283632">
              <w:marLeft w:val="0"/>
              <w:marRight w:val="0"/>
              <w:marTop w:val="0"/>
              <w:marBottom w:val="0"/>
              <w:divBdr>
                <w:top w:val="none" w:sz="0" w:space="0" w:color="auto"/>
                <w:left w:val="none" w:sz="0" w:space="0" w:color="auto"/>
                <w:bottom w:val="none" w:sz="0" w:space="0" w:color="auto"/>
                <w:right w:val="none" w:sz="0" w:space="0" w:color="auto"/>
              </w:divBdr>
            </w:div>
            <w:div w:id="1448308188">
              <w:marLeft w:val="0"/>
              <w:marRight w:val="0"/>
              <w:marTop w:val="0"/>
              <w:marBottom w:val="0"/>
              <w:divBdr>
                <w:top w:val="none" w:sz="0" w:space="0" w:color="auto"/>
                <w:left w:val="none" w:sz="0" w:space="0" w:color="auto"/>
                <w:bottom w:val="none" w:sz="0" w:space="0" w:color="auto"/>
                <w:right w:val="none" w:sz="0" w:space="0" w:color="auto"/>
              </w:divBdr>
            </w:div>
          </w:divsChild>
        </w:div>
        <w:div w:id="1703168834">
          <w:marLeft w:val="0"/>
          <w:marRight w:val="0"/>
          <w:marTop w:val="0"/>
          <w:marBottom w:val="0"/>
          <w:divBdr>
            <w:top w:val="none" w:sz="0" w:space="0" w:color="auto"/>
            <w:left w:val="none" w:sz="0" w:space="0" w:color="auto"/>
            <w:bottom w:val="none" w:sz="0" w:space="0" w:color="auto"/>
            <w:right w:val="none" w:sz="0" w:space="0" w:color="auto"/>
          </w:divBdr>
          <w:divsChild>
            <w:div w:id="1366641388">
              <w:marLeft w:val="0"/>
              <w:marRight w:val="0"/>
              <w:marTop w:val="0"/>
              <w:marBottom w:val="0"/>
              <w:divBdr>
                <w:top w:val="none" w:sz="0" w:space="0" w:color="auto"/>
                <w:left w:val="none" w:sz="0" w:space="0" w:color="auto"/>
                <w:bottom w:val="none" w:sz="0" w:space="0" w:color="auto"/>
                <w:right w:val="none" w:sz="0" w:space="0" w:color="auto"/>
              </w:divBdr>
            </w:div>
            <w:div w:id="1457210915">
              <w:marLeft w:val="0"/>
              <w:marRight w:val="0"/>
              <w:marTop w:val="0"/>
              <w:marBottom w:val="0"/>
              <w:divBdr>
                <w:top w:val="none" w:sz="0" w:space="0" w:color="auto"/>
                <w:left w:val="none" w:sz="0" w:space="0" w:color="auto"/>
                <w:bottom w:val="none" w:sz="0" w:space="0" w:color="auto"/>
                <w:right w:val="none" w:sz="0" w:space="0" w:color="auto"/>
              </w:divBdr>
            </w:div>
            <w:div w:id="1369181632">
              <w:marLeft w:val="0"/>
              <w:marRight w:val="0"/>
              <w:marTop w:val="0"/>
              <w:marBottom w:val="0"/>
              <w:divBdr>
                <w:top w:val="none" w:sz="0" w:space="0" w:color="auto"/>
                <w:left w:val="none" w:sz="0" w:space="0" w:color="auto"/>
                <w:bottom w:val="none" w:sz="0" w:space="0" w:color="auto"/>
                <w:right w:val="none" w:sz="0" w:space="0" w:color="auto"/>
              </w:divBdr>
            </w:div>
            <w:div w:id="1273702879">
              <w:marLeft w:val="0"/>
              <w:marRight w:val="0"/>
              <w:marTop w:val="0"/>
              <w:marBottom w:val="0"/>
              <w:divBdr>
                <w:top w:val="none" w:sz="0" w:space="0" w:color="auto"/>
                <w:left w:val="none" w:sz="0" w:space="0" w:color="auto"/>
                <w:bottom w:val="none" w:sz="0" w:space="0" w:color="auto"/>
                <w:right w:val="none" w:sz="0" w:space="0" w:color="auto"/>
              </w:divBdr>
            </w:div>
            <w:div w:id="1578780081">
              <w:marLeft w:val="0"/>
              <w:marRight w:val="0"/>
              <w:marTop w:val="0"/>
              <w:marBottom w:val="0"/>
              <w:divBdr>
                <w:top w:val="none" w:sz="0" w:space="0" w:color="auto"/>
                <w:left w:val="none" w:sz="0" w:space="0" w:color="auto"/>
                <w:bottom w:val="none" w:sz="0" w:space="0" w:color="auto"/>
                <w:right w:val="none" w:sz="0" w:space="0" w:color="auto"/>
              </w:divBdr>
            </w:div>
            <w:div w:id="849295253">
              <w:marLeft w:val="0"/>
              <w:marRight w:val="0"/>
              <w:marTop w:val="0"/>
              <w:marBottom w:val="0"/>
              <w:divBdr>
                <w:top w:val="none" w:sz="0" w:space="0" w:color="auto"/>
                <w:left w:val="none" w:sz="0" w:space="0" w:color="auto"/>
                <w:bottom w:val="none" w:sz="0" w:space="0" w:color="auto"/>
                <w:right w:val="none" w:sz="0" w:space="0" w:color="auto"/>
              </w:divBdr>
            </w:div>
            <w:div w:id="1626810739">
              <w:marLeft w:val="0"/>
              <w:marRight w:val="0"/>
              <w:marTop w:val="0"/>
              <w:marBottom w:val="0"/>
              <w:divBdr>
                <w:top w:val="none" w:sz="0" w:space="0" w:color="auto"/>
                <w:left w:val="none" w:sz="0" w:space="0" w:color="auto"/>
                <w:bottom w:val="none" w:sz="0" w:space="0" w:color="auto"/>
                <w:right w:val="none" w:sz="0" w:space="0" w:color="auto"/>
              </w:divBdr>
            </w:div>
            <w:div w:id="80500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298347">
      <w:bodyDiv w:val="1"/>
      <w:marLeft w:val="0"/>
      <w:marRight w:val="0"/>
      <w:marTop w:val="0"/>
      <w:marBottom w:val="0"/>
      <w:divBdr>
        <w:top w:val="none" w:sz="0" w:space="0" w:color="auto"/>
        <w:left w:val="none" w:sz="0" w:space="0" w:color="auto"/>
        <w:bottom w:val="none" w:sz="0" w:space="0" w:color="auto"/>
        <w:right w:val="none" w:sz="0" w:space="0" w:color="auto"/>
      </w:divBdr>
      <w:divsChild>
        <w:div w:id="1438520467">
          <w:marLeft w:val="0"/>
          <w:marRight w:val="0"/>
          <w:marTop w:val="0"/>
          <w:marBottom w:val="0"/>
          <w:divBdr>
            <w:top w:val="none" w:sz="0" w:space="0" w:color="auto"/>
            <w:left w:val="none" w:sz="0" w:space="0" w:color="auto"/>
            <w:bottom w:val="none" w:sz="0" w:space="0" w:color="auto"/>
            <w:right w:val="none" w:sz="0" w:space="0" w:color="auto"/>
          </w:divBdr>
          <w:divsChild>
            <w:div w:id="765736890">
              <w:marLeft w:val="0"/>
              <w:marRight w:val="0"/>
              <w:marTop w:val="0"/>
              <w:marBottom w:val="0"/>
              <w:divBdr>
                <w:top w:val="none" w:sz="0" w:space="0" w:color="auto"/>
                <w:left w:val="none" w:sz="0" w:space="0" w:color="auto"/>
                <w:bottom w:val="none" w:sz="0" w:space="0" w:color="auto"/>
                <w:right w:val="none" w:sz="0" w:space="0" w:color="auto"/>
              </w:divBdr>
            </w:div>
            <w:div w:id="1806117914">
              <w:marLeft w:val="0"/>
              <w:marRight w:val="0"/>
              <w:marTop w:val="0"/>
              <w:marBottom w:val="0"/>
              <w:divBdr>
                <w:top w:val="none" w:sz="0" w:space="0" w:color="auto"/>
                <w:left w:val="none" w:sz="0" w:space="0" w:color="auto"/>
                <w:bottom w:val="none" w:sz="0" w:space="0" w:color="auto"/>
                <w:right w:val="none" w:sz="0" w:space="0" w:color="auto"/>
              </w:divBdr>
            </w:div>
            <w:div w:id="118913784">
              <w:marLeft w:val="0"/>
              <w:marRight w:val="0"/>
              <w:marTop w:val="0"/>
              <w:marBottom w:val="0"/>
              <w:divBdr>
                <w:top w:val="none" w:sz="0" w:space="0" w:color="auto"/>
                <w:left w:val="none" w:sz="0" w:space="0" w:color="auto"/>
                <w:bottom w:val="none" w:sz="0" w:space="0" w:color="auto"/>
                <w:right w:val="none" w:sz="0" w:space="0" w:color="auto"/>
              </w:divBdr>
            </w:div>
            <w:div w:id="734474051">
              <w:marLeft w:val="0"/>
              <w:marRight w:val="0"/>
              <w:marTop w:val="0"/>
              <w:marBottom w:val="0"/>
              <w:divBdr>
                <w:top w:val="none" w:sz="0" w:space="0" w:color="auto"/>
                <w:left w:val="none" w:sz="0" w:space="0" w:color="auto"/>
                <w:bottom w:val="none" w:sz="0" w:space="0" w:color="auto"/>
                <w:right w:val="none" w:sz="0" w:space="0" w:color="auto"/>
              </w:divBdr>
            </w:div>
            <w:div w:id="678964803">
              <w:marLeft w:val="0"/>
              <w:marRight w:val="0"/>
              <w:marTop w:val="0"/>
              <w:marBottom w:val="0"/>
              <w:divBdr>
                <w:top w:val="none" w:sz="0" w:space="0" w:color="auto"/>
                <w:left w:val="none" w:sz="0" w:space="0" w:color="auto"/>
                <w:bottom w:val="none" w:sz="0" w:space="0" w:color="auto"/>
                <w:right w:val="none" w:sz="0" w:space="0" w:color="auto"/>
              </w:divBdr>
            </w:div>
            <w:div w:id="1174229320">
              <w:marLeft w:val="0"/>
              <w:marRight w:val="0"/>
              <w:marTop w:val="0"/>
              <w:marBottom w:val="0"/>
              <w:divBdr>
                <w:top w:val="none" w:sz="0" w:space="0" w:color="auto"/>
                <w:left w:val="none" w:sz="0" w:space="0" w:color="auto"/>
                <w:bottom w:val="none" w:sz="0" w:space="0" w:color="auto"/>
                <w:right w:val="none" w:sz="0" w:space="0" w:color="auto"/>
              </w:divBdr>
            </w:div>
            <w:div w:id="2011714202">
              <w:marLeft w:val="0"/>
              <w:marRight w:val="0"/>
              <w:marTop w:val="0"/>
              <w:marBottom w:val="0"/>
              <w:divBdr>
                <w:top w:val="none" w:sz="0" w:space="0" w:color="auto"/>
                <w:left w:val="none" w:sz="0" w:space="0" w:color="auto"/>
                <w:bottom w:val="none" w:sz="0" w:space="0" w:color="auto"/>
                <w:right w:val="none" w:sz="0" w:space="0" w:color="auto"/>
              </w:divBdr>
            </w:div>
            <w:div w:id="2113818961">
              <w:marLeft w:val="0"/>
              <w:marRight w:val="0"/>
              <w:marTop w:val="0"/>
              <w:marBottom w:val="0"/>
              <w:divBdr>
                <w:top w:val="none" w:sz="0" w:space="0" w:color="auto"/>
                <w:left w:val="none" w:sz="0" w:space="0" w:color="auto"/>
                <w:bottom w:val="none" w:sz="0" w:space="0" w:color="auto"/>
                <w:right w:val="none" w:sz="0" w:space="0" w:color="auto"/>
              </w:divBdr>
            </w:div>
            <w:div w:id="1019087828">
              <w:marLeft w:val="0"/>
              <w:marRight w:val="0"/>
              <w:marTop w:val="0"/>
              <w:marBottom w:val="0"/>
              <w:divBdr>
                <w:top w:val="none" w:sz="0" w:space="0" w:color="auto"/>
                <w:left w:val="none" w:sz="0" w:space="0" w:color="auto"/>
                <w:bottom w:val="none" w:sz="0" w:space="0" w:color="auto"/>
                <w:right w:val="none" w:sz="0" w:space="0" w:color="auto"/>
              </w:divBdr>
            </w:div>
            <w:div w:id="2118208626">
              <w:marLeft w:val="0"/>
              <w:marRight w:val="0"/>
              <w:marTop w:val="0"/>
              <w:marBottom w:val="0"/>
              <w:divBdr>
                <w:top w:val="none" w:sz="0" w:space="0" w:color="auto"/>
                <w:left w:val="none" w:sz="0" w:space="0" w:color="auto"/>
                <w:bottom w:val="none" w:sz="0" w:space="0" w:color="auto"/>
                <w:right w:val="none" w:sz="0" w:space="0" w:color="auto"/>
              </w:divBdr>
            </w:div>
            <w:div w:id="1560240715">
              <w:marLeft w:val="0"/>
              <w:marRight w:val="0"/>
              <w:marTop w:val="0"/>
              <w:marBottom w:val="0"/>
              <w:divBdr>
                <w:top w:val="none" w:sz="0" w:space="0" w:color="auto"/>
                <w:left w:val="none" w:sz="0" w:space="0" w:color="auto"/>
                <w:bottom w:val="none" w:sz="0" w:space="0" w:color="auto"/>
                <w:right w:val="none" w:sz="0" w:space="0" w:color="auto"/>
              </w:divBdr>
            </w:div>
            <w:div w:id="1791243964">
              <w:marLeft w:val="0"/>
              <w:marRight w:val="0"/>
              <w:marTop w:val="0"/>
              <w:marBottom w:val="0"/>
              <w:divBdr>
                <w:top w:val="none" w:sz="0" w:space="0" w:color="auto"/>
                <w:left w:val="none" w:sz="0" w:space="0" w:color="auto"/>
                <w:bottom w:val="none" w:sz="0" w:space="0" w:color="auto"/>
                <w:right w:val="none" w:sz="0" w:space="0" w:color="auto"/>
              </w:divBdr>
            </w:div>
            <w:div w:id="1050804543">
              <w:marLeft w:val="0"/>
              <w:marRight w:val="0"/>
              <w:marTop w:val="0"/>
              <w:marBottom w:val="0"/>
              <w:divBdr>
                <w:top w:val="none" w:sz="0" w:space="0" w:color="auto"/>
                <w:left w:val="none" w:sz="0" w:space="0" w:color="auto"/>
                <w:bottom w:val="none" w:sz="0" w:space="0" w:color="auto"/>
                <w:right w:val="none" w:sz="0" w:space="0" w:color="auto"/>
              </w:divBdr>
            </w:div>
            <w:div w:id="1700818116">
              <w:marLeft w:val="0"/>
              <w:marRight w:val="0"/>
              <w:marTop w:val="0"/>
              <w:marBottom w:val="0"/>
              <w:divBdr>
                <w:top w:val="none" w:sz="0" w:space="0" w:color="auto"/>
                <w:left w:val="none" w:sz="0" w:space="0" w:color="auto"/>
                <w:bottom w:val="none" w:sz="0" w:space="0" w:color="auto"/>
                <w:right w:val="none" w:sz="0" w:space="0" w:color="auto"/>
              </w:divBdr>
            </w:div>
            <w:div w:id="524514566">
              <w:marLeft w:val="0"/>
              <w:marRight w:val="0"/>
              <w:marTop w:val="0"/>
              <w:marBottom w:val="0"/>
              <w:divBdr>
                <w:top w:val="none" w:sz="0" w:space="0" w:color="auto"/>
                <w:left w:val="none" w:sz="0" w:space="0" w:color="auto"/>
                <w:bottom w:val="none" w:sz="0" w:space="0" w:color="auto"/>
                <w:right w:val="none" w:sz="0" w:space="0" w:color="auto"/>
              </w:divBdr>
            </w:div>
            <w:div w:id="499540824">
              <w:marLeft w:val="0"/>
              <w:marRight w:val="0"/>
              <w:marTop w:val="0"/>
              <w:marBottom w:val="0"/>
              <w:divBdr>
                <w:top w:val="none" w:sz="0" w:space="0" w:color="auto"/>
                <w:left w:val="none" w:sz="0" w:space="0" w:color="auto"/>
                <w:bottom w:val="none" w:sz="0" w:space="0" w:color="auto"/>
                <w:right w:val="none" w:sz="0" w:space="0" w:color="auto"/>
              </w:divBdr>
            </w:div>
            <w:div w:id="1348479256">
              <w:marLeft w:val="0"/>
              <w:marRight w:val="0"/>
              <w:marTop w:val="0"/>
              <w:marBottom w:val="0"/>
              <w:divBdr>
                <w:top w:val="none" w:sz="0" w:space="0" w:color="auto"/>
                <w:left w:val="none" w:sz="0" w:space="0" w:color="auto"/>
                <w:bottom w:val="none" w:sz="0" w:space="0" w:color="auto"/>
                <w:right w:val="none" w:sz="0" w:space="0" w:color="auto"/>
              </w:divBdr>
            </w:div>
            <w:div w:id="82725653">
              <w:marLeft w:val="0"/>
              <w:marRight w:val="0"/>
              <w:marTop w:val="0"/>
              <w:marBottom w:val="0"/>
              <w:divBdr>
                <w:top w:val="none" w:sz="0" w:space="0" w:color="auto"/>
                <w:left w:val="none" w:sz="0" w:space="0" w:color="auto"/>
                <w:bottom w:val="none" w:sz="0" w:space="0" w:color="auto"/>
                <w:right w:val="none" w:sz="0" w:space="0" w:color="auto"/>
              </w:divBdr>
            </w:div>
            <w:div w:id="12414766">
              <w:marLeft w:val="0"/>
              <w:marRight w:val="0"/>
              <w:marTop w:val="0"/>
              <w:marBottom w:val="0"/>
              <w:divBdr>
                <w:top w:val="none" w:sz="0" w:space="0" w:color="auto"/>
                <w:left w:val="none" w:sz="0" w:space="0" w:color="auto"/>
                <w:bottom w:val="none" w:sz="0" w:space="0" w:color="auto"/>
                <w:right w:val="none" w:sz="0" w:space="0" w:color="auto"/>
              </w:divBdr>
            </w:div>
            <w:div w:id="1663242273">
              <w:marLeft w:val="0"/>
              <w:marRight w:val="0"/>
              <w:marTop w:val="0"/>
              <w:marBottom w:val="0"/>
              <w:divBdr>
                <w:top w:val="none" w:sz="0" w:space="0" w:color="auto"/>
                <w:left w:val="none" w:sz="0" w:space="0" w:color="auto"/>
                <w:bottom w:val="none" w:sz="0" w:space="0" w:color="auto"/>
                <w:right w:val="none" w:sz="0" w:space="0" w:color="auto"/>
              </w:divBdr>
            </w:div>
          </w:divsChild>
        </w:div>
        <w:div w:id="1223256022">
          <w:marLeft w:val="0"/>
          <w:marRight w:val="0"/>
          <w:marTop w:val="0"/>
          <w:marBottom w:val="0"/>
          <w:divBdr>
            <w:top w:val="none" w:sz="0" w:space="0" w:color="auto"/>
            <w:left w:val="none" w:sz="0" w:space="0" w:color="auto"/>
            <w:bottom w:val="none" w:sz="0" w:space="0" w:color="auto"/>
            <w:right w:val="none" w:sz="0" w:space="0" w:color="auto"/>
          </w:divBdr>
        </w:div>
        <w:div w:id="608052052">
          <w:marLeft w:val="0"/>
          <w:marRight w:val="0"/>
          <w:marTop w:val="0"/>
          <w:marBottom w:val="0"/>
          <w:divBdr>
            <w:top w:val="none" w:sz="0" w:space="0" w:color="auto"/>
            <w:left w:val="none" w:sz="0" w:space="0" w:color="auto"/>
            <w:bottom w:val="none" w:sz="0" w:space="0" w:color="auto"/>
            <w:right w:val="none" w:sz="0" w:space="0" w:color="auto"/>
          </w:divBdr>
        </w:div>
        <w:div w:id="1343895746">
          <w:marLeft w:val="0"/>
          <w:marRight w:val="0"/>
          <w:marTop w:val="0"/>
          <w:marBottom w:val="0"/>
          <w:divBdr>
            <w:top w:val="none" w:sz="0" w:space="0" w:color="auto"/>
            <w:left w:val="none" w:sz="0" w:space="0" w:color="auto"/>
            <w:bottom w:val="none" w:sz="0" w:space="0" w:color="auto"/>
            <w:right w:val="none" w:sz="0" w:space="0" w:color="auto"/>
          </w:divBdr>
        </w:div>
        <w:div w:id="2134054138">
          <w:marLeft w:val="0"/>
          <w:marRight w:val="0"/>
          <w:marTop w:val="0"/>
          <w:marBottom w:val="0"/>
          <w:divBdr>
            <w:top w:val="none" w:sz="0" w:space="0" w:color="auto"/>
            <w:left w:val="none" w:sz="0" w:space="0" w:color="auto"/>
            <w:bottom w:val="none" w:sz="0" w:space="0" w:color="auto"/>
            <w:right w:val="none" w:sz="0" w:space="0" w:color="auto"/>
          </w:divBdr>
        </w:div>
      </w:divsChild>
    </w:div>
    <w:div w:id="1016619416">
      <w:bodyDiv w:val="1"/>
      <w:marLeft w:val="0"/>
      <w:marRight w:val="0"/>
      <w:marTop w:val="0"/>
      <w:marBottom w:val="0"/>
      <w:divBdr>
        <w:top w:val="none" w:sz="0" w:space="0" w:color="auto"/>
        <w:left w:val="none" w:sz="0" w:space="0" w:color="auto"/>
        <w:bottom w:val="none" w:sz="0" w:space="0" w:color="auto"/>
        <w:right w:val="none" w:sz="0" w:space="0" w:color="auto"/>
      </w:divBdr>
      <w:divsChild>
        <w:div w:id="1885294236">
          <w:marLeft w:val="0"/>
          <w:marRight w:val="0"/>
          <w:marTop w:val="0"/>
          <w:marBottom w:val="0"/>
          <w:divBdr>
            <w:top w:val="none" w:sz="0" w:space="0" w:color="auto"/>
            <w:left w:val="none" w:sz="0" w:space="0" w:color="auto"/>
            <w:bottom w:val="none" w:sz="0" w:space="0" w:color="auto"/>
            <w:right w:val="none" w:sz="0" w:space="0" w:color="auto"/>
          </w:divBdr>
        </w:div>
        <w:div w:id="1543513022">
          <w:marLeft w:val="0"/>
          <w:marRight w:val="0"/>
          <w:marTop w:val="0"/>
          <w:marBottom w:val="0"/>
          <w:divBdr>
            <w:top w:val="none" w:sz="0" w:space="0" w:color="auto"/>
            <w:left w:val="none" w:sz="0" w:space="0" w:color="auto"/>
            <w:bottom w:val="none" w:sz="0" w:space="0" w:color="auto"/>
            <w:right w:val="none" w:sz="0" w:space="0" w:color="auto"/>
          </w:divBdr>
        </w:div>
        <w:div w:id="1084718924">
          <w:marLeft w:val="0"/>
          <w:marRight w:val="0"/>
          <w:marTop w:val="0"/>
          <w:marBottom w:val="0"/>
          <w:divBdr>
            <w:top w:val="none" w:sz="0" w:space="0" w:color="auto"/>
            <w:left w:val="none" w:sz="0" w:space="0" w:color="auto"/>
            <w:bottom w:val="none" w:sz="0" w:space="0" w:color="auto"/>
            <w:right w:val="none" w:sz="0" w:space="0" w:color="auto"/>
          </w:divBdr>
        </w:div>
        <w:div w:id="1288705474">
          <w:marLeft w:val="0"/>
          <w:marRight w:val="0"/>
          <w:marTop w:val="0"/>
          <w:marBottom w:val="0"/>
          <w:divBdr>
            <w:top w:val="none" w:sz="0" w:space="0" w:color="auto"/>
            <w:left w:val="none" w:sz="0" w:space="0" w:color="auto"/>
            <w:bottom w:val="none" w:sz="0" w:space="0" w:color="auto"/>
            <w:right w:val="none" w:sz="0" w:space="0" w:color="auto"/>
          </w:divBdr>
          <w:divsChild>
            <w:div w:id="878542478">
              <w:marLeft w:val="0"/>
              <w:marRight w:val="0"/>
              <w:marTop w:val="0"/>
              <w:marBottom w:val="0"/>
              <w:divBdr>
                <w:top w:val="none" w:sz="0" w:space="0" w:color="auto"/>
                <w:left w:val="none" w:sz="0" w:space="0" w:color="auto"/>
                <w:bottom w:val="none" w:sz="0" w:space="0" w:color="auto"/>
                <w:right w:val="none" w:sz="0" w:space="0" w:color="auto"/>
              </w:divBdr>
            </w:div>
            <w:div w:id="1222522864">
              <w:marLeft w:val="0"/>
              <w:marRight w:val="0"/>
              <w:marTop w:val="0"/>
              <w:marBottom w:val="0"/>
              <w:divBdr>
                <w:top w:val="none" w:sz="0" w:space="0" w:color="auto"/>
                <w:left w:val="none" w:sz="0" w:space="0" w:color="auto"/>
                <w:bottom w:val="none" w:sz="0" w:space="0" w:color="auto"/>
                <w:right w:val="none" w:sz="0" w:space="0" w:color="auto"/>
              </w:divBdr>
            </w:div>
            <w:div w:id="951867031">
              <w:marLeft w:val="0"/>
              <w:marRight w:val="0"/>
              <w:marTop w:val="0"/>
              <w:marBottom w:val="0"/>
              <w:divBdr>
                <w:top w:val="none" w:sz="0" w:space="0" w:color="auto"/>
                <w:left w:val="none" w:sz="0" w:space="0" w:color="auto"/>
                <w:bottom w:val="none" w:sz="0" w:space="0" w:color="auto"/>
                <w:right w:val="none" w:sz="0" w:space="0" w:color="auto"/>
              </w:divBdr>
            </w:div>
            <w:div w:id="641353194">
              <w:marLeft w:val="0"/>
              <w:marRight w:val="0"/>
              <w:marTop w:val="0"/>
              <w:marBottom w:val="0"/>
              <w:divBdr>
                <w:top w:val="none" w:sz="0" w:space="0" w:color="auto"/>
                <w:left w:val="none" w:sz="0" w:space="0" w:color="auto"/>
                <w:bottom w:val="none" w:sz="0" w:space="0" w:color="auto"/>
                <w:right w:val="none" w:sz="0" w:space="0" w:color="auto"/>
              </w:divBdr>
            </w:div>
            <w:div w:id="868375007">
              <w:marLeft w:val="0"/>
              <w:marRight w:val="0"/>
              <w:marTop w:val="0"/>
              <w:marBottom w:val="0"/>
              <w:divBdr>
                <w:top w:val="none" w:sz="0" w:space="0" w:color="auto"/>
                <w:left w:val="none" w:sz="0" w:space="0" w:color="auto"/>
                <w:bottom w:val="none" w:sz="0" w:space="0" w:color="auto"/>
                <w:right w:val="none" w:sz="0" w:space="0" w:color="auto"/>
              </w:divBdr>
            </w:div>
            <w:div w:id="1638563559">
              <w:marLeft w:val="0"/>
              <w:marRight w:val="0"/>
              <w:marTop w:val="0"/>
              <w:marBottom w:val="0"/>
              <w:divBdr>
                <w:top w:val="none" w:sz="0" w:space="0" w:color="auto"/>
                <w:left w:val="none" w:sz="0" w:space="0" w:color="auto"/>
                <w:bottom w:val="none" w:sz="0" w:space="0" w:color="auto"/>
                <w:right w:val="none" w:sz="0" w:space="0" w:color="auto"/>
              </w:divBdr>
            </w:div>
            <w:div w:id="80492449">
              <w:marLeft w:val="0"/>
              <w:marRight w:val="0"/>
              <w:marTop w:val="0"/>
              <w:marBottom w:val="0"/>
              <w:divBdr>
                <w:top w:val="none" w:sz="0" w:space="0" w:color="auto"/>
                <w:left w:val="none" w:sz="0" w:space="0" w:color="auto"/>
                <w:bottom w:val="none" w:sz="0" w:space="0" w:color="auto"/>
                <w:right w:val="none" w:sz="0" w:space="0" w:color="auto"/>
              </w:divBdr>
            </w:div>
            <w:div w:id="724060971">
              <w:marLeft w:val="0"/>
              <w:marRight w:val="0"/>
              <w:marTop w:val="0"/>
              <w:marBottom w:val="0"/>
              <w:divBdr>
                <w:top w:val="none" w:sz="0" w:space="0" w:color="auto"/>
                <w:left w:val="none" w:sz="0" w:space="0" w:color="auto"/>
                <w:bottom w:val="none" w:sz="0" w:space="0" w:color="auto"/>
                <w:right w:val="none" w:sz="0" w:space="0" w:color="auto"/>
              </w:divBdr>
            </w:div>
            <w:div w:id="1757432553">
              <w:marLeft w:val="0"/>
              <w:marRight w:val="0"/>
              <w:marTop w:val="0"/>
              <w:marBottom w:val="0"/>
              <w:divBdr>
                <w:top w:val="none" w:sz="0" w:space="0" w:color="auto"/>
                <w:left w:val="none" w:sz="0" w:space="0" w:color="auto"/>
                <w:bottom w:val="none" w:sz="0" w:space="0" w:color="auto"/>
                <w:right w:val="none" w:sz="0" w:space="0" w:color="auto"/>
              </w:divBdr>
            </w:div>
            <w:div w:id="1731879595">
              <w:marLeft w:val="0"/>
              <w:marRight w:val="0"/>
              <w:marTop w:val="0"/>
              <w:marBottom w:val="0"/>
              <w:divBdr>
                <w:top w:val="none" w:sz="0" w:space="0" w:color="auto"/>
                <w:left w:val="none" w:sz="0" w:space="0" w:color="auto"/>
                <w:bottom w:val="none" w:sz="0" w:space="0" w:color="auto"/>
                <w:right w:val="none" w:sz="0" w:space="0" w:color="auto"/>
              </w:divBdr>
            </w:div>
            <w:div w:id="820118498">
              <w:marLeft w:val="0"/>
              <w:marRight w:val="0"/>
              <w:marTop w:val="0"/>
              <w:marBottom w:val="0"/>
              <w:divBdr>
                <w:top w:val="none" w:sz="0" w:space="0" w:color="auto"/>
                <w:left w:val="none" w:sz="0" w:space="0" w:color="auto"/>
                <w:bottom w:val="none" w:sz="0" w:space="0" w:color="auto"/>
                <w:right w:val="none" w:sz="0" w:space="0" w:color="auto"/>
              </w:divBdr>
            </w:div>
            <w:div w:id="1847481433">
              <w:marLeft w:val="0"/>
              <w:marRight w:val="0"/>
              <w:marTop w:val="0"/>
              <w:marBottom w:val="0"/>
              <w:divBdr>
                <w:top w:val="none" w:sz="0" w:space="0" w:color="auto"/>
                <w:left w:val="none" w:sz="0" w:space="0" w:color="auto"/>
                <w:bottom w:val="none" w:sz="0" w:space="0" w:color="auto"/>
                <w:right w:val="none" w:sz="0" w:space="0" w:color="auto"/>
              </w:divBdr>
            </w:div>
            <w:div w:id="1893879804">
              <w:marLeft w:val="0"/>
              <w:marRight w:val="0"/>
              <w:marTop w:val="0"/>
              <w:marBottom w:val="0"/>
              <w:divBdr>
                <w:top w:val="none" w:sz="0" w:space="0" w:color="auto"/>
                <w:left w:val="none" w:sz="0" w:space="0" w:color="auto"/>
                <w:bottom w:val="none" w:sz="0" w:space="0" w:color="auto"/>
                <w:right w:val="none" w:sz="0" w:space="0" w:color="auto"/>
              </w:divBdr>
            </w:div>
            <w:div w:id="1101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84203">
      <w:bodyDiv w:val="1"/>
      <w:marLeft w:val="0"/>
      <w:marRight w:val="0"/>
      <w:marTop w:val="0"/>
      <w:marBottom w:val="0"/>
      <w:divBdr>
        <w:top w:val="none" w:sz="0" w:space="0" w:color="auto"/>
        <w:left w:val="none" w:sz="0" w:space="0" w:color="auto"/>
        <w:bottom w:val="none" w:sz="0" w:space="0" w:color="auto"/>
        <w:right w:val="none" w:sz="0" w:space="0" w:color="auto"/>
      </w:divBdr>
      <w:divsChild>
        <w:div w:id="629825041">
          <w:marLeft w:val="0"/>
          <w:marRight w:val="0"/>
          <w:marTop w:val="0"/>
          <w:marBottom w:val="0"/>
          <w:divBdr>
            <w:top w:val="none" w:sz="0" w:space="0" w:color="auto"/>
            <w:left w:val="none" w:sz="0" w:space="0" w:color="auto"/>
            <w:bottom w:val="none" w:sz="0" w:space="0" w:color="auto"/>
            <w:right w:val="none" w:sz="0" w:space="0" w:color="auto"/>
          </w:divBdr>
          <w:divsChild>
            <w:div w:id="717557557">
              <w:marLeft w:val="0"/>
              <w:marRight w:val="0"/>
              <w:marTop w:val="0"/>
              <w:marBottom w:val="0"/>
              <w:divBdr>
                <w:top w:val="none" w:sz="0" w:space="0" w:color="auto"/>
                <w:left w:val="none" w:sz="0" w:space="0" w:color="auto"/>
                <w:bottom w:val="none" w:sz="0" w:space="0" w:color="auto"/>
                <w:right w:val="none" w:sz="0" w:space="0" w:color="auto"/>
              </w:divBdr>
            </w:div>
            <w:div w:id="1925069009">
              <w:marLeft w:val="0"/>
              <w:marRight w:val="0"/>
              <w:marTop w:val="0"/>
              <w:marBottom w:val="0"/>
              <w:divBdr>
                <w:top w:val="none" w:sz="0" w:space="0" w:color="auto"/>
                <w:left w:val="none" w:sz="0" w:space="0" w:color="auto"/>
                <w:bottom w:val="none" w:sz="0" w:space="0" w:color="auto"/>
                <w:right w:val="none" w:sz="0" w:space="0" w:color="auto"/>
              </w:divBdr>
            </w:div>
            <w:div w:id="848913507">
              <w:marLeft w:val="0"/>
              <w:marRight w:val="0"/>
              <w:marTop w:val="0"/>
              <w:marBottom w:val="0"/>
              <w:divBdr>
                <w:top w:val="none" w:sz="0" w:space="0" w:color="auto"/>
                <w:left w:val="none" w:sz="0" w:space="0" w:color="auto"/>
                <w:bottom w:val="none" w:sz="0" w:space="0" w:color="auto"/>
                <w:right w:val="none" w:sz="0" w:space="0" w:color="auto"/>
              </w:divBdr>
            </w:div>
            <w:div w:id="1596941540">
              <w:marLeft w:val="0"/>
              <w:marRight w:val="0"/>
              <w:marTop w:val="0"/>
              <w:marBottom w:val="0"/>
              <w:divBdr>
                <w:top w:val="none" w:sz="0" w:space="0" w:color="auto"/>
                <w:left w:val="none" w:sz="0" w:space="0" w:color="auto"/>
                <w:bottom w:val="none" w:sz="0" w:space="0" w:color="auto"/>
                <w:right w:val="none" w:sz="0" w:space="0" w:color="auto"/>
              </w:divBdr>
            </w:div>
            <w:div w:id="904796569">
              <w:marLeft w:val="0"/>
              <w:marRight w:val="0"/>
              <w:marTop w:val="0"/>
              <w:marBottom w:val="0"/>
              <w:divBdr>
                <w:top w:val="none" w:sz="0" w:space="0" w:color="auto"/>
                <w:left w:val="none" w:sz="0" w:space="0" w:color="auto"/>
                <w:bottom w:val="none" w:sz="0" w:space="0" w:color="auto"/>
                <w:right w:val="none" w:sz="0" w:space="0" w:color="auto"/>
              </w:divBdr>
            </w:div>
            <w:div w:id="546918130">
              <w:marLeft w:val="0"/>
              <w:marRight w:val="0"/>
              <w:marTop w:val="0"/>
              <w:marBottom w:val="0"/>
              <w:divBdr>
                <w:top w:val="none" w:sz="0" w:space="0" w:color="auto"/>
                <w:left w:val="none" w:sz="0" w:space="0" w:color="auto"/>
                <w:bottom w:val="none" w:sz="0" w:space="0" w:color="auto"/>
                <w:right w:val="none" w:sz="0" w:space="0" w:color="auto"/>
              </w:divBdr>
            </w:div>
            <w:div w:id="1325402442">
              <w:marLeft w:val="0"/>
              <w:marRight w:val="0"/>
              <w:marTop w:val="0"/>
              <w:marBottom w:val="0"/>
              <w:divBdr>
                <w:top w:val="none" w:sz="0" w:space="0" w:color="auto"/>
                <w:left w:val="none" w:sz="0" w:space="0" w:color="auto"/>
                <w:bottom w:val="none" w:sz="0" w:space="0" w:color="auto"/>
                <w:right w:val="none" w:sz="0" w:space="0" w:color="auto"/>
              </w:divBdr>
            </w:div>
            <w:div w:id="1002927745">
              <w:marLeft w:val="0"/>
              <w:marRight w:val="0"/>
              <w:marTop w:val="0"/>
              <w:marBottom w:val="0"/>
              <w:divBdr>
                <w:top w:val="none" w:sz="0" w:space="0" w:color="auto"/>
                <w:left w:val="none" w:sz="0" w:space="0" w:color="auto"/>
                <w:bottom w:val="none" w:sz="0" w:space="0" w:color="auto"/>
                <w:right w:val="none" w:sz="0" w:space="0" w:color="auto"/>
              </w:divBdr>
            </w:div>
            <w:div w:id="1886983668">
              <w:marLeft w:val="0"/>
              <w:marRight w:val="0"/>
              <w:marTop w:val="0"/>
              <w:marBottom w:val="0"/>
              <w:divBdr>
                <w:top w:val="none" w:sz="0" w:space="0" w:color="auto"/>
                <w:left w:val="none" w:sz="0" w:space="0" w:color="auto"/>
                <w:bottom w:val="none" w:sz="0" w:space="0" w:color="auto"/>
                <w:right w:val="none" w:sz="0" w:space="0" w:color="auto"/>
              </w:divBdr>
            </w:div>
            <w:div w:id="974990971">
              <w:marLeft w:val="0"/>
              <w:marRight w:val="0"/>
              <w:marTop w:val="0"/>
              <w:marBottom w:val="0"/>
              <w:divBdr>
                <w:top w:val="none" w:sz="0" w:space="0" w:color="auto"/>
                <w:left w:val="none" w:sz="0" w:space="0" w:color="auto"/>
                <w:bottom w:val="none" w:sz="0" w:space="0" w:color="auto"/>
                <w:right w:val="none" w:sz="0" w:space="0" w:color="auto"/>
              </w:divBdr>
            </w:div>
            <w:div w:id="2140613172">
              <w:marLeft w:val="0"/>
              <w:marRight w:val="0"/>
              <w:marTop w:val="0"/>
              <w:marBottom w:val="0"/>
              <w:divBdr>
                <w:top w:val="none" w:sz="0" w:space="0" w:color="auto"/>
                <w:left w:val="none" w:sz="0" w:space="0" w:color="auto"/>
                <w:bottom w:val="none" w:sz="0" w:space="0" w:color="auto"/>
                <w:right w:val="none" w:sz="0" w:space="0" w:color="auto"/>
              </w:divBdr>
            </w:div>
          </w:divsChild>
        </w:div>
        <w:div w:id="2135899338">
          <w:marLeft w:val="0"/>
          <w:marRight w:val="0"/>
          <w:marTop w:val="0"/>
          <w:marBottom w:val="0"/>
          <w:divBdr>
            <w:top w:val="none" w:sz="0" w:space="0" w:color="auto"/>
            <w:left w:val="none" w:sz="0" w:space="0" w:color="auto"/>
            <w:bottom w:val="none" w:sz="0" w:space="0" w:color="auto"/>
            <w:right w:val="none" w:sz="0" w:space="0" w:color="auto"/>
          </w:divBdr>
          <w:divsChild>
            <w:div w:id="1338924388">
              <w:marLeft w:val="0"/>
              <w:marRight w:val="0"/>
              <w:marTop w:val="0"/>
              <w:marBottom w:val="0"/>
              <w:divBdr>
                <w:top w:val="none" w:sz="0" w:space="0" w:color="auto"/>
                <w:left w:val="none" w:sz="0" w:space="0" w:color="auto"/>
                <w:bottom w:val="none" w:sz="0" w:space="0" w:color="auto"/>
                <w:right w:val="none" w:sz="0" w:space="0" w:color="auto"/>
              </w:divBdr>
            </w:div>
            <w:div w:id="1035469242">
              <w:marLeft w:val="0"/>
              <w:marRight w:val="0"/>
              <w:marTop w:val="0"/>
              <w:marBottom w:val="0"/>
              <w:divBdr>
                <w:top w:val="none" w:sz="0" w:space="0" w:color="auto"/>
                <w:left w:val="none" w:sz="0" w:space="0" w:color="auto"/>
                <w:bottom w:val="none" w:sz="0" w:space="0" w:color="auto"/>
                <w:right w:val="none" w:sz="0" w:space="0" w:color="auto"/>
              </w:divBdr>
            </w:div>
            <w:div w:id="918293433">
              <w:marLeft w:val="0"/>
              <w:marRight w:val="0"/>
              <w:marTop w:val="0"/>
              <w:marBottom w:val="0"/>
              <w:divBdr>
                <w:top w:val="none" w:sz="0" w:space="0" w:color="auto"/>
                <w:left w:val="none" w:sz="0" w:space="0" w:color="auto"/>
                <w:bottom w:val="none" w:sz="0" w:space="0" w:color="auto"/>
                <w:right w:val="none" w:sz="0" w:space="0" w:color="auto"/>
              </w:divBdr>
            </w:div>
            <w:div w:id="1437406828">
              <w:marLeft w:val="0"/>
              <w:marRight w:val="0"/>
              <w:marTop w:val="0"/>
              <w:marBottom w:val="0"/>
              <w:divBdr>
                <w:top w:val="none" w:sz="0" w:space="0" w:color="auto"/>
                <w:left w:val="none" w:sz="0" w:space="0" w:color="auto"/>
                <w:bottom w:val="none" w:sz="0" w:space="0" w:color="auto"/>
                <w:right w:val="none" w:sz="0" w:space="0" w:color="auto"/>
              </w:divBdr>
            </w:div>
            <w:div w:id="969869967">
              <w:marLeft w:val="0"/>
              <w:marRight w:val="0"/>
              <w:marTop w:val="0"/>
              <w:marBottom w:val="0"/>
              <w:divBdr>
                <w:top w:val="none" w:sz="0" w:space="0" w:color="auto"/>
                <w:left w:val="none" w:sz="0" w:space="0" w:color="auto"/>
                <w:bottom w:val="none" w:sz="0" w:space="0" w:color="auto"/>
                <w:right w:val="none" w:sz="0" w:space="0" w:color="auto"/>
              </w:divBdr>
            </w:div>
            <w:div w:id="562526638">
              <w:marLeft w:val="0"/>
              <w:marRight w:val="0"/>
              <w:marTop w:val="0"/>
              <w:marBottom w:val="0"/>
              <w:divBdr>
                <w:top w:val="none" w:sz="0" w:space="0" w:color="auto"/>
                <w:left w:val="none" w:sz="0" w:space="0" w:color="auto"/>
                <w:bottom w:val="none" w:sz="0" w:space="0" w:color="auto"/>
                <w:right w:val="none" w:sz="0" w:space="0" w:color="auto"/>
              </w:divBdr>
            </w:div>
            <w:div w:id="698051844">
              <w:marLeft w:val="0"/>
              <w:marRight w:val="0"/>
              <w:marTop w:val="0"/>
              <w:marBottom w:val="0"/>
              <w:divBdr>
                <w:top w:val="none" w:sz="0" w:space="0" w:color="auto"/>
                <w:left w:val="none" w:sz="0" w:space="0" w:color="auto"/>
                <w:bottom w:val="none" w:sz="0" w:space="0" w:color="auto"/>
                <w:right w:val="none" w:sz="0" w:space="0" w:color="auto"/>
              </w:divBdr>
            </w:div>
            <w:div w:id="182643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482984">
      <w:bodyDiv w:val="1"/>
      <w:marLeft w:val="0"/>
      <w:marRight w:val="0"/>
      <w:marTop w:val="0"/>
      <w:marBottom w:val="0"/>
      <w:divBdr>
        <w:top w:val="none" w:sz="0" w:space="0" w:color="auto"/>
        <w:left w:val="none" w:sz="0" w:space="0" w:color="auto"/>
        <w:bottom w:val="none" w:sz="0" w:space="0" w:color="auto"/>
        <w:right w:val="none" w:sz="0" w:space="0" w:color="auto"/>
      </w:divBdr>
      <w:divsChild>
        <w:div w:id="47580264">
          <w:marLeft w:val="0"/>
          <w:marRight w:val="0"/>
          <w:marTop w:val="0"/>
          <w:marBottom w:val="0"/>
          <w:divBdr>
            <w:top w:val="none" w:sz="0" w:space="0" w:color="auto"/>
            <w:left w:val="none" w:sz="0" w:space="0" w:color="auto"/>
            <w:bottom w:val="none" w:sz="0" w:space="0" w:color="auto"/>
            <w:right w:val="none" w:sz="0" w:space="0" w:color="auto"/>
          </w:divBdr>
        </w:div>
        <w:div w:id="217671813">
          <w:marLeft w:val="0"/>
          <w:marRight w:val="0"/>
          <w:marTop w:val="0"/>
          <w:marBottom w:val="0"/>
          <w:divBdr>
            <w:top w:val="none" w:sz="0" w:space="0" w:color="auto"/>
            <w:left w:val="none" w:sz="0" w:space="0" w:color="auto"/>
            <w:bottom w:val="none" w:sz="0" w:space="0" w:color="auto"/>
            <w:right w:val="none" w:sz="0" w:space="0" w:color="auto"/>
          </w:divBdr>
        </w:div>
        <w:div w:id="477650486">
          <w:marLeft w:val="0"/>
          <w:marRight w:val="0"/>
          <w:marTop w:val="0"/>
          <w:marBottom w:val="0"/>
          <w:divBdr>
            <w:top w:val="none" w:sz="0" w:space="0" w:color="auto"/>
            <w:left w:val="none" w:sz="0" w:space="0" w:color="auto"/>
            <w:bottom w:val="none" w:sz="0" w:space="0" w:color="auto"/>
            <w:right w:val="none" w:sz="0" w:space="0" w:color="auto"/>
          </w:divBdr>
        </w:div>
        <w:div w:id="565265675">
          <w:marLeft w:val="0"/>
          <w:marRight w:val="0"/>
          <w:marTop w:val="0"/>
          <w:marBottom w:val="0"/>
          <w:divBdr>
            <w:top w:val="none" w:sz="0" w:space="0" w:color="auto"/>
            <w:left w:val="none" w:sz="0" w:space="0" w:color="auto"/>
            <w:bottom w:val="none" w:sz="0" w:space="0" w:color="auto"/>
            <w:right w:val="none" w:sz="0" w:space="0" w:color="auto"/>
          </w:divBdr>
        </w:div>
        <w:div w:id="635141162">
          <w:marLeft w:val="0"/>
          <w:marRight w:val="0"/>
          <w:marTop w:val="0"/>
          <w:marBottom w:val="0"/>
          <w:divBdr>
            <w:top w:val="none" w:sz="0" w:space="0" w:color="auto"/>
            <w:left w:val="none" w:sz="0" w:space="0" w:color="auto"/>
            <w:bottom w:val="none" w:sz="0" w:space="0" w:color="auto"/>
            <w:right w:val="none" w:sz="0" w:space="0" w:color="auto"/>
          </w:divBdr>
        </w:div>
        <w:div w:id="731462665">
          <w:marLeft w:val="0"/>
          <w:marRight w:val="0"/>
          <w:marTop w:val="0"/>
          <w:marBottom w:val="0"/>
          <w:divBdr>
            <w:top w:val="none" w:sz="0" w:space="0" w:color="auto"/>
            <w:left w:val="none" w:sz="0" w:space="0" w:color="auto"/>
            <w:bottom w:val="none" w:sz="0" w:space="0" w:color="auto"/>
            <w:right w:val="none" w:sz="0" w:space="0" w:color="auto"/>
          </w:divBdr>
        </w:div>
        <w:div w:id="990717096">
          <w:marLeft w:val="0"/>
          <w:marRight w:val="0"/>
          <w:marTop w:val="0"/>
          <w:marBottom w:val="0"/>
          <w:divBdr>
            <w:top w:val="none" w:sz="0" w:space="0" w:color="auto"/>
            <w:left w:val="none" w:sz="0" w:space="0" w:color="auto"/>
            <w:bottom w:val="none" w:sz="0" w:space="0" w:color="auto"/>
            <w:right w:val="none" w:sz="0" w:space="0" w:color="auto"/>
          </w:divBdr>
        </w:div>
        <w:div w:id="1126773639">
          <w:marLeft w:val="0"/>
          <w:marRight w:val="0"/>
          <w:marTop w:val="0"/>
          <w:marBottom w:val="0"/>
          <w:divBdr>
            <w:top w:val="none" w:sz="0" w:space="0" w:color="auto"/>
            <w:left w:val="none" w:sz="0" w:space="0" w:color="auto"/>
            <w:bottom w:val="none" w:sz="0" w:space="0" w:color="auto"/>
            <w:right w:val="none" w:sz="0" w:space="0" w:color="auto"/>
          </w:divBdr>
        </w:div>
        <w:div w:id="1188060217">
          <w:marLeft w:val="0"/>
          <w:marRight w:val="0"/>
          <w:marTop w:val="0"/>
          <w:marBottom w:val="0"/>
          <w:divBdr>
            <w:top w:val="none" w:sz="0" w:space="0" w:color="auto"/>
            <w:left w:val="none" w:sz="0" w:space="0" w:color="auto"/>
            <w:bottom w:val="none" w:sz="0" w:space="0" w:color="auto"/>
            <w:right w:val="none" w:sz="0" w:space="0" w:color="auto"/>
          </w:divBdr>
        </w:div>
        <w:div w:id="1236165647">
          <w:marLeft w:val="0"/>
          <w:marRight w:val="0"/>
          <w:marTop w:val="0"/>
          <w:marBottom w:val="0"/>
          <w:divBdr>
            <w:top w:val="none" w:sz="0" w:space="0" w:color="auto"/>
            <w:left w:val="none" w:sz="0" w:space="0" w:color="auto"/>
            <w:bottom w:val="none" w:sz="0" w:space="0" w:color="auto"/>
            <w:right w:val="none" w:sz="0" w:space="0" w:color="auto"/>
          </w:divBdr>
        </w:div>
        <w:div w:id="1258830256">
          <w:marLeft w:val="0"/>
          <w:marRight w:val="0"/>
          <w:marTop w:val="0"/>
          <w:marBottom w:val="0"/>
          <w:divBdr>
            <w:top w:val="none" w:sz="0" w:space="0" w:color="auto"/>
            <w:left w:val="none" w:sz="0" w:space="0" w:color="auto"/>
            <w:bottom w:val="none" w:sz="0" w:space="0" w:color="auto"/>
            <w:right w:val="none" w:sz="0" w:space="0" w:color="auto"/>
          </w:divBdr>
        </w:div>
        <w:div w:id="1285237139">
          <w:marLeft w:val="0"/>
          <w:marRight w:val="0"/>
          <w:marTop w:val="0"/>
          <w:marBottom w:val="0"/>
          <w:divBdr>
            <w:top w:val="none" w:sz="0" w:space="0" w:color="auto"/>
            <w:left w:val="none" w:sz="0" w:space="0" w:color="auto"/>
            <w:bottom w:val="none" w:sz="0" w:space="0" w:color="auto"/>
            <w:right w:val="none" w:sz="0" w:space="0" w:color="auto"/>
          </w:divBdr>
        </w:div>
        <w:div w:id="1374043126">
          <w:marLeft w:val="0"/>
          <w:marRight w:val="0"/>
          <w:marTop w:val="0"/>
          <w:marBottom w:val="0"/>
          <w:divBdr>
            <w:top w:val="none" w:sz="0" w:space="0" w:color="auto"/>
            <w:left w:val="none" w:sz="0" w:space="0" w:color="auto"/>
            <w:bottom w:val="none" w:sz="0" w:space="0" w:color="auto"/>
            <w:right w:val="none" w:sz="0" w:space="0" w:color="auto"/>
          </w:divBdr>
        </w:div>
        <w:div w:id="1507864620">
          <w:marLeft w:val="0"/>
          <w:marRight w:val="0"/>
          <w:marTop w:val="0"/>
          <w:marBottom w:val="0"/>
          <w:divBdr>
            <w:top w:val="none" w:sz="0" w:space="0" w:color="auto"/>
            <w:left w:val="none" w:sz="0" w:space="0" w:color="auto"/>
            <w:bottom w:val="none" w:sz="0" w:space="0" w:color="auto"/>
            <w:right w:val="none" w:sz="0" w:space="0" w:color="auto"/>
          </w:divBdr>
        </w:div>
        <w:div w:id="1521700443">
          <w:marLeft w:val="0"/>
          <w:marRight w:val="0"/>
          <w:marTop w:val="0"/>
          <w:marBottom w:val="0"/>
          <w:divBdr>
            <w:top w:val="none" w:sz="0" w:space="0" w:color="auto"/>
            <w:left w:val="none" w:sz="0" w:space="0" w:color="auto"/>
            <w:bottom w:val="none" w:sz="0" w:space="0" w:color="auto"/>
            <w:right w:val="none" w:sz="0" w:space="0" w:color="auto"/>
          </w:divBdr>
        </w:div>
        <w:div w:id="1546985593">
          <w:marLeft w:val="0"/>
          <w:marRight w:val="0"/>
          <w:marTop w:val="0"/>
          <w:marBottom w:val="0"/>
          <w:divBdr>
            <w:top w:val="none" w:sz="0" w:space="0" w:color="auto"/>
            <w:left w:val="none" w:sz="0" w:space="0" w:color="auto"/>
            <w:bottom w:val="none" w:sz="0" w:space="0" w:color="auto"/>
            <w:right w:val="none" w:sz="0" w:space="0" w:color="auto"/>
          </w:divBdr>
        </w:div>
        <w:div w:id="1552383550">
          <w:marLeft w:val="0"/>
          <w:marRight w:val="0"/>
          <w:marTop w:val="0"/>
          <w:marBottom w:val="0"/>
          <w:divBdr>
            <w:top w:val="none" w:sz="0" w:space="0" w:color="auto"/>
            <w:left w:val="none" w:sz="0" w:space="0" w:color="auto"/>
            <w:bottom w:val="none" w:sz="0" w:space="0" w:color="auto"/>
            <w:right w:val="none" w:sz="0" w:space="0" w:color="auto"/>
          </w:divBdr>
        </w:div>
        <w:div w:id="1691948087">
          <w:marLeft w:val="0"/>
          <w:marRight w:val="0"/>
          <w:marTop w:val="0"/>
          <w:marBottom w:val="0"/>
          <w:divBdr>
            <w:top w:val="none" w:sz="0" w:space="0" w:color="auto"/>
            <w:left w:val="none" w:sz="0" w:space="0" w:color="auto"/>
            <w:bottom w:val="none" w:sz="0" w:space="0" w:color="auto"/>
            <w:right w:val="none" w:sz="0" w:space="0" w:color="auto"/>
          </w:divBdr>
        </w:div>
        <w:div w:id="2012370688">
          <w:marLeft w:val="0"/>
          <w:marRight w:val="0"/>
          <w:marTop w:val="0"/>
          <w:marBottom w:val="0"/>
          <w:divBdr>
            <w:top w:val="none" w:sz="0" w:space="0" w:color="auto"/>
            <w:left w:val="none" w:sz="0" w:space="0" w:color="auto"/>
            <w:bottom w:val="none" w:sz="0" w:space="0" w:color="auto"/>
            <w:right w:val="none" w:sz="0" w:space="0" w:color="auto"/>
          </w:divBdr>
        </w:div>
        <w:div w:id="2013992537">
          <w:marLeft w:val="0"/>
          <w:marRight w:val="0"/>
          <w:marTop w:val="0"/>
          <w:marBottom w:val="0"/>
          <w:divBdr>
            <w:top w:val="none" w:sz="0" w:space="0" w:color="auto"/>
            <w:left w:val="none" w:sz="0" w:space="0" w:color="auto"/>
            <w:bottom w:val="none" w:sz="0" w:space="0" w:color="auto"/>
            <w:right w:val="none" w:sz="0" w:space="0" w:color="auto"/>
          </w:divBdr>
        </w:div>
      </w:divsChild>
    </w:div>
    <w:div w:id="1043093856">
      <w:bodyDiv w:val="1"/>
      <w:marLeft w:val="0"/>
      <w:marRight w:val="0"/>
      <w:marTop w:val="0"/>
      <w:marBottom w:val="0"/>
      <w:divBdr>
        <w:top w:val="none" w:sz="0" w:space="0" w:color="auto"/>
        <w:left w:val="none" w:sz="0" w:space="0" w:color="auto"/>
        <w:bottom w:val="none" w:sz="0" w:space="0" w:color="auto"/>
        <w:right w:val="none" w:sz="0" w:space="0" w:color="auto"/>
      </w:divBdr>
      <w:divsChild>
        <w:div w:id="22826103">
          <w:marLeft w:val="0"/>
          <w:marRight w:val="0"/>
          <w:marTop w:val="0"/>
          <w:marBottom w:val="0"/>
          <w:divBdr>
            <w:top w:val="none" w:sz="0" w:space="0" w:color="auto"/>
            <w:left w:val="none" w:sz="0" w:space="0" w:color="auto"/>
            <w:bottom w:val="none" w:sz="0" w:space="0" w:color="auto"/>
            <w:right w:val="none" w:sz="0" w:space="0" w:color="auto"/>
          </w:divBdr>
        </w:div>
        <w:div w:id="76513121">
          <w:marLeft w:val="0"/>
          <w:marRight w:val="0"/>
          <w:marTop w:val="0"/>
          <w:marBottom w:val="0"/>
          <w:divBdr>
            <w:top w:val="none" w:sz="0" w:space="0" w:color="auto"/>
            <w:left w:val="none" w:sz="0" w:space="0" w:color="auto"/>
            <w:bottom w:val="none" w:sz="0" w:space="0" w:color="auto"/>
            <w:right w:val="none" w:sz="0" w:space="0" w:color="auto"/>
          </w:divBdr>
        </w:div>
        <w:div w:id="90322465">
          <w:marLeft w:val="0"/>
          <w:marRight w:val="0"/>
          <w:marTop w:val="0"/>
          <w:marBottom w:val="0"/>
          <w:divBdr>
            <w:top w:val="none" w:sz="0" w:space="0" w:color="auto"/>
            <w:left w:val="none" w:sz="0" w:space="0" w:color="auto"/>
            <w:bottom w:val="none" w:sz="0" w:space="0" w:color="auto"/>
            <w:right w:val="none" w:sz="0" w:space="0" w:color="auto"/>
          </w:divBdr>
        </w:div>
        <w:div w:id="126943500">
          <w:marLeft w:val="0"/>
          <w:marRight w:val="0"/>
          <w:marTop w:val="0"/>
          <w:marBottom w:val="0"/>
          <w:divBdr>
            <w:top w:val="none" w:sz="0" w:space="0" w:color="auto"/>
            <w:left w:val="none" w:sz="0" w:space="0" w:color="auto"/>
            <w:bottom w:val="none" w:sz="0" w:space="0" w:color="auto"/>
            <w:right w:val="none" w:sz="0" w:space="0" w:color="auto"/>
          </w:divBdr>
        </w:div>
        <w:div w:id="195242092">
          <w:marLeft w:val="0"/>
          <w:marRight w:val="0"/>
          <w:marTop w:val="0"/>
          <w:marBottom w:val="0"/>
          <w:divBdr>
            <w:top w:val="none" w:sz="0" w:space="0" w:color="auto"/>
            <w:left w:val="none" w:sz="0" w:space="0" w:color="auto"/>
            <w:bottom w:val="none" w:sz="0" w:space="0" w:color="auto"/>
            <w:right w:val="none" w:sz="0" w:space="0" w:color="auto"/>
          </w:divBdr>
        </w:div>
        <w:div w:id="244730632">
          <w:marLeft w:val="0"/>
          <w:marRight w:val="0"/>
          <w:marTop w:val="0"/>
          <w:marBottom w:val="0"/>
          <w:divBdr>
            <w:top w:val="none" w:sz="0" w:space="0" w:color="auto"/>
            <w:left w:val="none" w:sz="0" w:space="0" w:color="auto"/>
            <w:bottom w:val="none" w:sz="0" w:space="0" w:color="auto"/>
            <w:right w:val="none" w:sz="0" w:space="0" w:color="auto"/>
          </w:divBdr>
        </w:div>
        <w:div w:id="261302403">
          <w:marLeft w:val="0"/>
          <w:marRight w:val="0"/>
          <w:marTop w:val="0"/>
          <w:marBottom w:val="0"/>
          <w:divBdr>
            <w:top w:val="none" w:sz="0" w:space="0" w:color="auto"/>
            <w:left w:val="none" w:sz="0" w:space="0" w:color="auto"/>
            <w:bottom w:val="none" w:sz="0" w:space="0" w:color="auto"/>
            <w:right w:val="none" w:sz="0" w:space="0" w:color="auto"/>
          </w:divBdr>
        </w:div>
        <w:div w:id="297102911">
          <w:marLeft w:val="0"/>
          <w:marRight w:val="0"/>
          <w:marTop w:val="0"/>
          <w:marBottom w:val="0"/>
          <w:divBdr>
            <w:top w:val="none" w:sz="0" w:space="0" w:color="auto"/>
            <w:left w:val="none" w:sz="0" w:space="0" w:color="auto"/>
            <w:bottom w:val="none" w:sz="0" w:space="0" w:color="auto"/>
            <w:right w:val="none" w:sz="0" w:space="0" w:color="auto"/>
          </w:divBdr>
        </w:div>
        <w:div w:id="382221866">
          <w:marLeft w:val="0"/>
          <w:marRight w:val="0"/>
          <w:marTop w:val="0"/>
          <w:marBottom w:val="0"/>
          <w:divBdr>
            <w:top w:val="none" w:sz="0" w:space="0" w:color="auto"/>
            <w:left w:val="none" w:sz="0" w:space="0" w:color="auto"/>
            <w:bottom w:val="none" w:sz="0" w:space="0" w:color="auto"/>
            <w:right w:val="none" w:sz="0" w:space="0" w:color="auto"/>
          </w:divBdr>
        </w:div>
        <w:div w:id="523176278">
          <w:marLeft w:val="0"/>
          <w:marRight w:val="0"/>
          <w:marTop w:val="0"/>
          <w:marBottom w:val="0"/>
          <w:divBdr>
            <w:top w:val="none" w:sz="0" w:space="0" w:color="auto"/>
            <w:left w:val="none" w:sz="0" w:space="0" w:color="auto"/>
            <w:bottom w:val="none" w:sz="0" w:space="0" w:color="auto"/>
            <w:right w:val="none" w:sz="0" w:space="0" w:color="auto"/>
          </w:divBdr>
        </w:div>
        <w:div w:id="526868089">
          <w:marLeft w:val="0"/>
          <w:marRight w:val="0"/>
          <w:marTop w:val="0"/>
          <w:marBottom w:val="0"/>
          <w:divBdr>
            <w:top w:val="none" w:sz="0" w:space="0" w:color="auto"/>
            <w:left w:val="none" w:sz="0" w:space="0" w:color="auto"/>
            <w:bottom w:val="none" w:sz="0" w:space="0" w:color="auto"/>
            <w:right w:val="none" w:sz="0" w:space="0" w:color="auto"/>
          </w:divBdr>
        </w:div>
        <w:div w:id="561521353">
          <w:marLeft w:val="0"/>
          <w:marRight w:val="0"/>
          <w:marTop w:val="0"/>
          <w:marBottom w:val="0"/>
          <w:divBdr>
            <w:top w:val="none" w:sz="0" w:space="0" w:color="auto"/>
            <w:left w:val="none" w:sz="0" w:space="0" w:color="auto"/>
            <w:bottom w:val="none" w:sz="0" w:space="0" w:color="auto"/>
            <w:right w:val="none" w:sz="0" w:space="0" w:color="auto"/>
          </w:divBdr>
        </w:div>
        <w:div w:id="772020191">
          <w:marLeft w:val="0"/>
          <w:marRight w:val="0"/>
          <w:marTop w:val="0"/>
          <w:marBottom w:val="0"/>
          <w:divBdr>
            <w:top w:val="none" w:sz="0" w:space="0" w:color="auto"/>
            <w:left w:val="none" w:sz="0" w:space="0" w:color="auto"/>
            <w:bottom w:val="none" w:sz="0" w:space="0" w:color="auto"/>
            <w:right w:val="none" w:sz="0" w:space="0" w:color="auto"/>
          </w:divBdr>
        </w:div>
        <w:div w:id="875387231">
          <w:marLeft w:val="0"/>
          <w:marRight w:val="0"/>
          <w:marTop w:val="0"/>
          <w:marBottom w:val="0"/>
          <w:divBdr>
            <w:top w:val="none" w:sz="0" w:space="0" w:color="auto"/>
            <w:left w:val="none" w:sz="0" w:space="0" w:color="auto"/>
            <w:bottom w:val="none" w:sz="0" w:space="0" w:color="auto"/>
            <w:right w:val="none" w:sz="0" w:space="0" w:color="auto"/>
          </w:divBdr>
        </w:div>
        <w:div w:id="889801866">
          <w:marLeft w:val="0"/>
          <w:marRight w:val="0"/>
          <w:marTop w:val="0"/>
          <w:marBottom w:val="0"/>
          <w:divBdr>
            <w:top w:val="none" w:sz="0" w:space="0" w:color="auto"/>
            <w:left w:val="none" w:sz="0" w:space="0" w:color="auto"/>
            <w:bottom w:val="none" w:sz="0" w:space="0" w:color="auto"/>
            <w:right w:val="none" w:sz="0" w:space="0" w:color="auto"/>
          </w:divBdr>
        </w:div>
        <w:div w:id="928347273">
          <w:marLeft w:val="0"/>
          <w:marRight w:val="0"/>
          <w:marTop w:val="0"/>
          <w:marBottom w:val="0"/>
          <w:divBdr>
            <w:top w:val="none" w:sz="0" w:space="0" w:color="auto"/>
            <w:left w:val="none" w:sz="0" w:space="0" w:color="auto"/>
            <w:bottom w:val="none" w:sz="0" w:space="0" w:color="auto"/>
            <w:right w:val="none" w:sz="0" w:space="0" w:color="auto"/>
          </w:divBdr>
        </w:div>
        <w:div w:id="985863085">
          <w:marLeft w:val="0"/>
          <w:marRight w:val="0"/>
          <w:marTop w:val="0"/>
          <w:marBottom w:val="0"/>
          <w:divBdr>
            <w:top w:val="none" w:sz="0" w:space="0" w:color="auto"/>
            <w:left w:val="none" w:sz="0" w:space="0" w:color="auto"/>
            <w:bottom w:val="none" w:sz="0" w:space="0" w:color="auto"/>
            <w:right w:val="none" w:sz="0" w:space="0" w:color="auto"/>
          </w:divBdr>
        </w:div>
        <w:div w:id="1152596993">
          <w:marLeft w:val="0"/>
          <w:marRight w:val="0"/>
          <w:marTop w:val="0"/>
          <w:marBottom w:val="0"/>
          <w:divBdr>
            <w:top w:val="none" w:sz="0" w:space="0" w:color="auto"/>
            <w:left w:val="none" w:sz="0" w:space="0" w:color="auto"/>
            <w:bottom w:val="none" w:sz="0" w:space="0" w:color="auto"/>
            <w:right w:val="none" w:sz="0" w:space="0" w:color="auto"/>
          </w:divBdr>
        </w:div>
        <w:div w:id="1442411149">
          <w:marLeft w:val="0"/>
          <w:marRight w:val="0"/>
          <w:marTop w:val="0"/>
          <w:marBottom w:val="0"/>
          <w:divBdr>
            <w:top w:val="none" w:sz="0" w:space="0" w:color="auto"/>
            <w:left w:val="none" w:sz="0" w:space="0" w:color="auto"/>
            <w:bottom w:val="none" w:sz="0" w:space="0" w:color="auto"/>
            <w:right w:val="none" w:sz="0" w:space="0" w:color="auto"/>
          </w:divBdr>
        </w:div>
        <w:div w:id="1446273916">
          <w:marLeft w:val="0"/>
          <w:marRight w:val="0"/>
          <w:marTop w:val="0"/>
          <w:marBottom w:val="0"/>
          <w:divBdr>
            <w:top w:val="none" w:sz="0" w:space="0" w:color="auto"/>
            <w:left w:val="none" w:sz="0" w:space="0" w:color="auto"/>
            <w:bottom w:val="none" w:sz="0" w:space="0" w:color="auto"/>
            <w:right w:val="none" w:sz="0" w:space="0" w:color="auto"/>
          </w:divBdr>
        </w:div>
        <w:div w:id="1446924515">
          <w:marLeft w:val="0"/>
          <w:marRight w:val="0"/>
          <w:marTop w:val="0"/>
          <w:marBottom w:val="0"/>
          <w:divBdr>
            <w:top w:val="none" w:sz="0" w:space="0" w:color="auto"/>
            <w:left w:val="none" w:sz="0" w:space="0" w:color="auto"/>
            <w:bottom w:val="none" w:sz="0" w:space="0" w:color="auto"/>
            <w:right w:val="none" w:sz="0" w:space="0" w:color="auto"/>
          </w:divBdr>
        </w:div>
        <w:div w:id="1597404399">
          <w:marLeft w:val="0"/>
          <w:marRight w:val="0"/>
          <w:marTop w:val="0"/>
          <w:marBottom w:val="0"/>
          <w:divBdr>
            <w:top w:val="none" w:sz="0" w:space="0" w:color="auto"/>
            <w:left w:val="none" w:sz="0" w:space="0" w:color="auto"/>
            <w:bottom w:val="none" w:sz="0" w:space="0" w:color="auto"/>
            <w:right w:val="none" w:sz="0" w:space="0" w:color="auto"/>
          </w:divBdr>
        </w:div>
        <w:div w:id="1618295793">
          <w:marLeft w:val="0"/>
          <w:marRight w:val="0"/>
          <w:marTop w:val="0"/>
          <w:marBottom w:val="0"/>
          <w:divBdr>
            <w:top w:val="none" w:sz="0" w:space="0" w:color="auto"/>
            <w:left w:val="none" w:sz="0" w:space="0" w:color="auto"/>
            <w:bottom w:val="none" w:sz="0" w:space="0" w:color="auto"/>
            <w:right w:val="none" w:sz="0" w:space="0" w:color="auto"/>
          </w:divBdr>
        </w:div>
        <w:div w:id="1658412994">
          <w:marLeft w:val="0"/>
          <w:marRight w:val="0"/>
          <w:marTop w:val="0"/>
          <w:marBottom w:val="0"/>
          <w:divBdr>
            <w:top w:val="none" w:sz="0" w:space="0" w:color="auto"/>
            <w:left w:val="none" w:sz="0" w:space="0" w:color="auto"/>
            <w:bottom w:val="none" w:sz="0" w:space="0" w:color="auto"/>
            <w:right w:val="none" w:sz="0" w:space="0" w:color="auto"/>
          </w:divBdr>
        </w:div>
        <w:div w:id="1945844827">
          <w:marLeft w:val="0"/>
          <w:marRight w:val="0"/>
          <w:marTop w:val="0"/>
          <w:marBottom w:val="0"/>
          <w:divBdr>
            <w:top w:val="none" w:sz="0" w:space="0" w:color="auto"/>
            <w:left w:val="none" w:sz="0" w:space="0" w:color="auto"/>
            <w:bottom w:val="none" w:sz="0" w:space="0" w:color="auto"/>
            <w:right w:val="none" w:sz="0" w:space="0" w:color="auto"/>
          </w:divBdr>
        </w:div>
        <w:div w:id="2096658404">
          <w:marLeft w:val="0"/>
          <w:marRight w:val="0"/>
          <w:marTop w:val="0"/>
          <w:marBottom w:val="0"/>
          <w:divBdr>
            <w:top w:val="none" w:sz="0" w:space="0" w:color="auto"/>
            <w:left w:val="none" w:sz="0" w:space="0" w:color="auto"/>
            <w:bottom w:val="none" w:sz="0" w:space="0" w:color="auto"/>
            <w:right w:val="none" w:sz="0" w:space="0" w:color="auto"/>
          </w:divBdr>
        </w:div>
        <w:div w:id="2108495916">
          <w:marLeft w:val="0"/>
          <w:marRight w:val="0"/>
          <w:marTop w:val="0"/>
          <w:marBottom w:val="0"/>
          <w:divBdr>
            <w:top w:val="none" w:sz="0" w:space="0" w:color="auto"/>
            <w:left w:val="none" w:sz="0" w:space="0" w:color="auto"/>
            <w:bottom w:val="none" w:sz="0" w:space="0" w:color="auto"/>
            <w:right w:val="none" w:sz="0" w:space="0" w:color="auto"/>
          </w:divBdr>
        </w:div>
      </w:divsChild>
    </w:div>
    <w:div w:id="1044020832">
      <w:bodyDiv w:val="1"/>
      <w:marLeft w:val="0"/>
      <w:marRight w:val="0"/>
      <w:marTop w:val="0"/>
      <w:marBottom w:val="0"/>
      <w:divBdr>
        <w:top w:val="none" w:sz="0" w:space="0" w:color="auto"/>
        <w:left w:val="none" w:sz="0" w:space="0" w:color="auto"/>
        <w:bottom w:val="none" w:sz="0" w:space="0" w:color="auto"/>
        <w:right w:val="none" w:sz="0" w:space="0" w:color="auto"/>
      </w:divBdr>
    </w:div>
    <w:div w:id="1052850446">
      <w:bodyDiv w:val="1"/>
      <w:marLeft w:val="0"/>
      <w:marRight w:val="0"/>
      <w:marTop w:val="0"/>
      <w:marBottom w:val="0"/>
      <w:divBdr>
        <w:top w:val="none" w:sz="0" w:space="0" w:color="auto"/>
        <w:left w:val="none" w:sz="0" w:space="0" w:color="auto"/>
        <w:bottom w:val="none" w:sz="0" w:space="0" w:color="auto"/>
        <w:right w:val="none" w:sz="0" w:space="0" w:color="auto"/>
      </w:divBdr>
      <w:divsChild>
        <w:div w:id="48766801">
          <w:marLeft w:val="0"/>
          <w:marRight w:val="0"/>
          <w:marTop w:val="0"/>
          <w:marBottom w:val="0"/>
          <w:divBdr>
            <w:top w:val="none" w:sz="0" w:space="0" w:color="auto"/>
            <w:left w:val="none" w:sz="0" w:space="0" w:color="auto"/>
            <w:bottom w:val="none" w:sz="0" w:space="0" w:color="auto"/>
            <w:right w:val="none" w:sz="0" w:space="0" w:color="auto"/>
          </w:divBdr>
          <w:divsChild>
            <w:div w:id="1360351639">
              <w:marLeft w:val="0"/>
              <w:marRight w:val="0"/>
              <w:marTop w:val="0"/>
              <w:marBottom w:val="0"/>
              <w:divBdr>
                <w:top w:val="none" w:sz="0" w:space="0" w:color="auto"/>
                <w:left w:val="none" w:sz="0" w:space="0" w:color="auto"/>
                <w:bottom w:val="none" w:sz="0" w:space="0" w:color="auto"/>
                <w:right w:val="none" w:sz="0" w:space="0" w:color="auto"/>
              </w:divBdr>
            </w:div>
            <w:div w:id="1444691399">
              <w:marLeft w:val="0"/>
              <w:marRight w:val="0"/>
              <w:marTop w:val="0"/>
              <w:marBottom w:val="0"/>
              <w:divBdr>
                <w:top w:val="none" w:sz="0" w:space="0" w:color="auto"/>
                <w:left w:val="none" w:sz="0" w:space="0" w:color="auto"/>
                <w:bottom w:val="none" w:sz="0" w:space="0" w:color="auto"/>
                <w:right w:val="none" w:sz="0" w:space="0" w:color="auto"/>
              </w:divBdr>
            </w:div>
          </w:divsChild>
        </w:div>
        <w:div w:id="2105614720">
          <w:marLeft w:val="0"/>
          <w:marRight w:val="0"/>
          <w:marTop w:val="0"/>
          <w:marBottom w:val="0"/>
          <w:divBdr>
            <w:top w:val="none" w:sz="0" w:space="0" w:color="auto"/>
            <w:left w:val="none" w:sz="0" w:space="0" w:color="auto"/>
            <w:bottom w:val="none" w:sz="0" w:space="0" w:color="auto"/>
            <w:right w:val="none" w:sz="0" w:space="0" w:color="auto"/>
          </w:divBdr>
          <w:divsChild>
            <w:div w:id="11532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627833">
      <w:bodyDiv w:val="1"/>
      <w:marLeft w:val="0"/>
      <w:marRight w:val="0"/>
      <w:marTop w:val="0"/>
      <w:marBottom w:val="0"/>
      <w:divBdr>
        <w:top w:val="none" w:sz="0" w:space="0" w:color="auto"/>
        <w:left w:val="none" w:sz="0" w:space="0" w:color="auto"/>
        <w:bottom w:val="none" w:sz="0" w:space="0" w:color="auto"/>
        <w:right w:val="none" w:sz="0" w:space="0" w:color="auto"/>
      </w:divBdr>
      <w:divsChild>
        <w:div w:id="760027811">
          <w:marLeft w:val="0"/>
          <w:marRight w:val="0"/>
          <w:marTop w:val="0"/>
          <w:marBottom w:val="0"/>
          <w:divBdr>
            <w:top w:val="none" w:sz="0" w:space="0" w:color="auto"/>
            <w:left w:val="none" w:sz="0" w:space="0" w:color="auto"/>
            <w:bottom w:val="none" w:sz="0" w:space="0" w:color="auto"/>
            <w:right w:val="none" w:sz="0" w:space="0" w:color="auto"/>
          </w:divBdr>
        </w:div>
        <w:div w:id="794100173">
          <w:marLeft w:val="0"/>
          <w:marRight w:val="0"/>
          <w:marTop w:val="0"/>
          <w:marBottom w:val="0"/>
          <w:divBdr>
            <w:top w:val="none" w:sz="0" w:space="0" w:color="auto"/>
            <w:left w:val="none" w:sz="0" w:space="0" w:color="auto"/>
            <w:bottom w:val="none" w:sz="0" w:space="0" w:color="auto"/>
            <w:right w:val="none" w:sz="0" w:space="0" w:color="auto"/>
          </w:divBdr>
        </w:div>
        <w:div w:id="1071925126">
          <w:marLeft w:val="0"/>
          <w:marRight w:val="0"/>
          <w:marTop w:val="0"/>
          <w:marBottom w:val="0"/>
          <w:divBdr>
            <w:top w:val="none" w:sz="0" w:space="0" w:color="auto"/>
            <w:left w:val="none" w:sz="0" w:space="0" w:color="auto"/>
            <w:bottom w:val="none" w:sz="0" w:space="0" w:color="auto"/>
            <w:right w:val="none" w:sz="0" w:space="0" w:color="auto"/>
          </w:divBdr>
        </w:div>
        <w:div w:id="1113404925">
          <w:marLeft w:val="0"/>
          <w:marRight w:val="0"/>
          <w:marTop w:val="0"/>
          <w:marBottom w:val="0"/>
          <w:divBdr>
            <w:top w:val="none" w:sz="0" w:space="0" w:color="auto"/>
            <w:left w:val="none" w:sz="0" w:space="0" w:color="auto"/>
            <w:bottom w:val="none" w:sz="0" w:space="0" w:color="auto"/>
            <w:right w:val="none" w:sz="0" w:space="0" w:color="auto"/>
          </w:divBdr>
        </w:div>
        <w:div w:id="1138691435">
          <w:marLeft w:val="0"/>
          <w:marRight w:val="0"/>
          <w:marTop w:val="0"/>
          <w:marBottom w:val="0"/>
          <w:divBdr>
            <w:top w:val="none" w:sz="0" w:space="0" w:color="auto"/>
            <w:left w:val="none" w:sz="0" w:space="0" w:color="auto"/>
            <w:bottom w:val="none" w:sz="0" w:space="0" w:color="auto"/>
            <w:right w:val="none" w:sz="0" w:space="0" w:color="auto"/>
          </w:divBdr>
        </w:div>
        <w:div w:id="1155533407">
          <w:marLeft w:val="0"/>
          <w:marRight w:val="0"/>
          <w:marTop w:val="0"/>
          <w:marBottom w:val="0"/>
          <w:divBdr>
            <w:top w:val="none" w:sz="0" w:space="0" w:color="auto"/>
            <w:left w:val="none" w:sz="0" w:space="0" w:color="auto"/>
            <w:bottom w:val="none" w:sz="0" w:space="0" w:color="auto"/>
            <w:right w:val="none" w:sz="0" w:space="0" w:color="auto"/>
          </w:divBdr>
        </w:div>
        <w:div w:id="1285380618">
          <w:marLeft w:val="0"/>
          <w:marRight w:val="0"/>
          <w:marTop w:val="0"/>
          <w:marBottom w:val="0"/>
          <w:divBdr>
            <w:top w:val="none" w:sz="0" w:space="0" w:color="auto"/>
            <w:left w:val="none" w:sz="0" w:space="0" w:color="auto"/>
            <w:bottom w:val="none" w:sz="0" w:space="0" w:color="auto"/>
            <w:right w:val="none" w:sz="0" w:space="0" w:color="auto"/>
          </w:divBdr>
        </w:div>
        <w:div w:id="1435050058">
          <w:marLeft w:val="0"/>
          <w:marRight w:val="0"/>
          <w:marTop w:val="0"/>
          <w:marBottom w:val="0"/>
          <w:divBdr>
            <w:top w:val="none" w:sz="0" w:space="0" w:color="auto"/>
            <w:left w:val="none" w:sz="0" w:space="0" w:color="auto"/>
            <w:bottom w:val="none" w:sz="0" w:space="0" w:color="auto"/>
            <w:right w:val="none" w:sz="0" w:space="0" w:color="auto"/>
          </w:divBdr>
        </w:div>
        <w:div w:id="1709600546">
          <w:marLeft w:val="0"/>
          <w:marRight w:val="0"/>
          <w:marTop w:val="0"/>
          <w:marBottom w:val="0"/>
          <w:divBdr>
            <w:top w:val="none" w:sz="0" w:space="0" w:color="auto"/>
            <w:left w:val="none" w:sz="0" w:space="0" w:color="auto"/>
            <w:bottom w:val="none" w:sz="0" w:space="0" w:color="auto"/>
            <w:right w:val="none" w:sz="0" w:space="0" w:color="auto"/>
          </w:divBdr>
        </w:div>
        <w:div w:id="1814442591">
          <w:marLeft w:val="0"/>
          <w:marRight w:val="0"/>
          <w:marTop w:val="0"/>
          <w:marBottom w:val="0"/>
          <w:divBdr>
            <w:top w:val="none" w:sz="0" w:space="0" w:color="auto"/>
            <w:left w:val="none" w:sz="0" w:space="0" w:color="auto"/>
            <w:bottom w:val="none" w:sz="0" w:space="0" w:color="auto"/>
            <w:right w:val="none" w:sz="0" w:space="0" w:color="auto"/>
          </w:divBdr>
        </w:div>
        <w:div w:id="1832016397">
          <w:marLeft w:val="0"/>
          <w:marRight w:val="0"/>
          <w:marTop w:val="0"/>
          <w:marBottom w:val="0"/>
          <w:divBdr>
            <w:top w:val="none" w:sz="0" w:space="0" w:color="auto"/>
            <w:left w:val="none" w:sz="0" w:space="0" w:color="auto"/>
            <w:bottom w:val="none" w:sz="0" w:space="0" w:color="auto"/>
            <w:right w:val="none" w:sz="0" w:space="0" w:color="auto"/>
          </w:divBdr>
        </w:div>
        <w:div w:id="1840928653">
          <w:marLeft w:val="0"/>
          <w:marRight w:val="0"/>
          <w:marTop w:val="0"/>
          <w:marBottom w:val="0"/>
          <w:divBdr>
            <w:top w:val="none" w:sz="0" w:space="0" w:color="auto"/>
            <w:left w:val="none" w:sz="0" w:space="0" w:color="auto"/>
            <w:bottom w:val="none" w:sz="0" w:space="0" w:color="auto"/>
            <w:right w:val="none" w:sz="0" w:space="0" w:color="auto"/>
          </w:divBdr>
        </w:div>
      </w:divsChild>
    </w:div>
    <w:div w:id="1067797641">
      <w:bodyDiv w:val="1"/>
      <w:marLeft w:val="0"/>
      <w:marRight w:val="0"/>
      <w:marTop w:val="0"/>
      <w:marBottom w:val="0"/>
      <w:divBdr>
        <w:top w:val="none" w:sz="0" w:space="0" w:color="auto"/>
        <w:left w:val="none" w:sz="0" w:space="0" w:color="auto"/>
        <w:bottom w:val="none" w:sz="0" w:space="0" w:color="auto"/>
        <w:right w:val="none" w:sz="0" w:space="0" w:color="auto"/>
      </w:divBdr>
      <w:divsChild>
        <w:div w:id="79757984">
          <w:marLeft w:val="0"/>
          <w:marRight w:val="0"/>
          <w:marTop w:val="0"/>
          <w:marBottom w:val="0"/>
          <w:divBdr>
            <w:top w:val="none" w:sz="0" w:space="0" w:color="auto"/>
            <w:left w:val="none" w:sz="0" w:space="0" w:color="auto"/>
            <w:bottom w:val="none" w:sz="0" w:space="0" w:color="auto"/>
            <w:right w:val="none" w:sz="0" w:space="0" w:color="auto"/>
          </w:divBdr>
        </w:div>
        <w:div w:id="264046441">
          <w:marLeft w:val="0"/>
          <w:marRight w:val="0"/>
          <w:marTop w:val="0"/>
          <w:marBottom w:val="0"/>
          <w:divBdr>
            <w:top w:val="none" w:sz="0" w:space="0" w:color="auto"/>
            <w:left w:val="none" w:sz="0" w:space="0" w:color="auto"/>
            <w:bottom w:val="none" w:sz="0" w:space="0" w:color="auto"/>
            <w:right w:val="none" w:sz="0" w:space="0" w:color="auto"/>
          </w:divBdr>
        </w:div>
        <w:div w:id="305398057">
          <w:marLeft w:val="0"/>
          <w:marRight w:val="0"/>
          <w:marTop w:val="0"/>
          <w:marBottom w:val="0"/>
          <w:divBdr>
            <w:top w:val="none" w:sz="0" w:space="0" w:color="auto"/>
            <w:left w:val="none" w:sz="0" w:space="0" w:color="auto"/>
            <w:bottom w:val="none" w:sz="0" w:space="0" w:color="auto"/>
            <w:right w:val="none" w:sz="0" w:space="0" w:color="auto"/>
          </w:divBdr>
        </w:div>
        <w:div w:id="330253869">
          <w:marLeft w:val="0"/>
          <w:marRight w:val="0"/>
          <w:marTop w:val="0"/>
          <w:marBottom w:val="0"/>
          <w:divBdr>
            <w:top w:val="none" w:sz="0" w:space="0" w:color="auto"/>
            <w:left w:val="none" w:sz="0" w:space="0" w:color="auto"/>
            <w:bottom w:val="none" w:sz="0" w:space="0" w:color="auto"/>
            <w:right w:val="none" w:sz="0" w:space="0" w:color="auto"/>
          </w:divBdr>
        </w:div>
        <w:div w:id="389306309">
          <w:marLeft w:val="0"/>
          <w:marRight w:val="0"/>
          <w:marTop w:val="0"/>
          <w:marBottom w:val="0"/>
          <w:divBdr>
            <w:top w:val="none" w:sz="0" w:space="0" w:color="auto"/>
            <w:left w:val="none" w:sz="0" w:space="0" w:color="auto"/>
            <w:bottom w:val="none" w:sz="0" w:space="0" w:color="auto"/>
            <w:right w:val="none" w:sz="0" w:space="0" w:color="auto"/>
          </w:divBdr>
        </w:div>
        <w:div w:id="478690890">
          <w:marLeft w:val="0"/>
          <w:marRight w:val="0"/>
          <w:marTop w:val="0"/>
          <w:marBottom w:val="0"/>
          <w:divBdr>
            <w:top w:val="none" w:sz="0" w:space="0" w:color="auto"/>
            <w:left w:val="none" w:sz="0" w:space="0" w:color="auto"/>
            <w:bottom w:val="none" w:sz="0" w:space="0" w:color="auto"/>
            <w:right w:val="none" w:sz="0" w:space="0" w:color="auto"/>
          </w:divBdr>
        </w:div>
        <w:div w:id="832917784">
          <w:marLeft w:val="0"/>
          <w:marRight w:val="0"/>
          <w:marTop w:val="0"/>
          <w:marBottom w:val="0"/>
          <w:divBdr>
            <w:top w:val="none" w:sz="0" w:space="0" w:color="auto"/>
            <w:left w:val="none" w:sz="0" w:space="0" w:color="auto"/>
            <w:bottom w:val="none" w:sz="0" w:space="0" w:color="auto"/>
            <w:right w:val="none" w:sz="0" w:space="0" w:color="auto"/>
          </w:divBdr>
        </w:div>
        <w:div w:id="938636363">
          <w:marLeft w:val="0"/>
          <w:marRight w:val="0"/>
          <w:marTop w:val="0"/>
          <w:marBottom w:val="0"/>
          <w:divBdr>
            <w:top w:val="none" w:sz="0" w:space="0" w:color="auto"/>
            <w:left w:val="none" w:sz="0" w:space="0" w:color="auto"/>
            <w:bottom w:val="none" w:sz="0" w:space="0" w:color="auto"/>
            <w:right w:val="none" w:sz="0" w:space="0" w:color="auto"/>
          </w:divBdr>
        </w:div>
        <w:div w:id="1188519511">
          <w:marLeft w:val="0"/>
          <w:marRight w:val="0"/>
          <w:marTop w:val="0"/>
          <w:marBottom w:val="0"/>
          <w:divBdr>
            <w:top w:val="none" w:sz="0" w:space="0" w:color="auto"/>
            <w:left w:val="none" w:sz="0" w:space="0" w:color="auto"/>
            <w:bottom w:val="none" w:sz="0" w:space="0" w:color="auto"/>
            <w:right w:val="none" w:sz="0" w:space="0" w:color="auto"/>
          </w:divBdr>
        </w:div>
        <w:div w:id="1292784108">
          <w:marLeft w:val="0"/>
          <w:marRight w:val="0"/>
          <w:marTop w:val="0"/>
          <w:marBottom w:val="0"/>
          <w:divBdr>
            <w:top w:val="none" w:sz="0" w:space="0" w:color="auto"/>
            <w:left w:val="none" w:sz="0" w:space="0" w:color="auto"/>
            <w:bottom w:val="none" w:sz="0" w:space="0" w:color="auto"/>
            <w:right w:val="none" w:sz="0" w:space="0" w:color="auto"/>
          </w:divBdr>
        </w:div>
        <w:div w:id="1523931216">
          <w:marLeft w:val="0"/>
          <w:marRight w:val="0"/>
          <w:marTop w:val="0"/>
          <w:marBottom w:val="0"/>
          <w:divBdr>
            <w:top w:val="none" w:sz="0" w:space="0" w:color="auto"/>
            <w:left w:val="none" w:sz="0" w:space="0" w:color="auto"/>
            <w:bottom w:val="none" w:sz="0" w:space="0" w:color="auto"/>
            <w:right w:val="none" w:sz="0" w:space="0" w:color="auto"/>
          </w:divBdr>
        </w:div>
        <w:div w:id="1571305054">
          <w:marLeft w:val="0"/>
          <w:marRight w:val="0"/>
          <w:marTop w:val="0"/>
          <w:marBottom w:val="0"/>
          <w:divBdr>
            <w:top w:val="none" w:sz="0" w:space="0" w:color="auto"/>
            <w:left w:val="none" w:sz="0" w:space="0" w:color="auto"/>
            <w:bottom w:val="none" w:sz="0" w:space="0" w:color="auto"/>
            <w:right w:val="none" w:sz="0" w:space="0" w:color="auto"/>
          </w:divBdr>
        </w:div>
        <w:div w:id="1649552604">
          <w:marLeft w:val="0"/>
          <w:marRight w:val="0"/>
          <w:marTop w:val="0"/>
          <w:marBottom w:val="0"/>
          <w:divBdr>
            <w:top w:val="none" w:sz="0" w:space="0" w:color="auto"/>
            <w:left w:val="none" w:sz="0" w:space="0" w:color="auto"/>
            <w:bottom w:val="none" w:sz="0" w:space="0" w:color="auto"/>
            <w:right w:val="none" w:sz="0" w:space="0" w:color="auto"/>
          </w:divBdr>
        </w:div>
        <w:div w:id="2048217364">
          <w:marLeft w:val="0"/>
          <w:marRight w:val="0"/>
          <w:marTop w:val="0"/>
          <w:marBottom w:val="0"/>
          <w:divBdr>
            <w:top w:val="none" w:sz="0" w:space="0" w:color="auto"/>
            <w:left w:val="none" w:sz="0" w:space="0" w:color="auto"/>
            <w:bottom w:val="none" w:sz="0" w:space="0" w:color="auto"/>
            <w:right w:val="none" w:sz="0" w:space="0" w:color="auto"/>
          </w:divBdr>
        </w:div>
      </w:divsChild>
    </w:div>
    <w:div w:id="1076974451">
      <w:bodyDiv w:val="1"/>
      <w:marLeft w:val="0"/>
      <w:marRight w:val="0"/>
      <w:marTop w:val="0"/>
      <w:marBottom w:val="0"/>
      <w:divBdr>
        <w:top w:val="none" w:sz="0" w:space="0" w:color="auto"/>
        <w:left w:val="none" w:sz="0" w:space="0" w:color="auto"/>
        <w:bottom w:val="none" w:sz="0" w:space="0" w:color="auto"/>
        <w:right w:val="none" w:sz="0" w:space="0" w:color="auto"/>
      </w:divBdr>
      <w:divsChild>
        <w:div w:id="1907455212">
          <w:marLeft w:val="0"/>
          <w:marRight w:val="0"/>
          <w:marTop w:val="0"/>
          <w:marBottom w:val="0"/>
          <w:divBdr>
            <w:top w:val="none" w:sz="0" w:space="0" w:color="auto"/>
            <w:left w:val="none" w:sz="0" w:space="0" w:color="auto"/>
            <w:bottom w:val="none" w:sz="0" w:space="0" w:color="auto"/>
            <w:right w:val="none" w:sz="0" w:space="0" w:color="auto"/>
          </w:divBdr>
          <w:divsChild>
            <w:div w:id="36861731">
              <w:marLeft w:val="0"/>
              <w:marRight w:val="0"/>
              <w:marTop w:val="0"/>
              <w:marBottom w:val="0"/>
              <w:divBdr>
                <w:top w:val="none" w:sz="0" w:space="0" w:color="auto"/>
                <w:left w:val="none" w:sz="0" w:space="0" w:color="auto"/>
                <w:bottom w:val="none" w:sz="0" w:space="0" w:color="auto"/>
                <w:right w:val="none" w:sz="0" w:space="0" w:color="auto"/>
              </w:divBdr>
            </w:div>
            <w:div w:id="342512836">
              <w:marLeft w:val="0"/>
              <w:marRight w:val="0"/>
              <w:marTop w:val="0"/>
              <w:marBottom w:val="0"/>
              <w:divBdr>
                <w:top w:val="none" w:sz="0" w:space="0" w:color="auto"/>
                <w:left w:val="none" w:sz="0" w:space="0" w:color="auto"/>
                <w:bottom w:val="none" w:sz="0" w:space="0" w:color="auto"/>
                <w:right w:val="none" w:sz="0" w:space="0" w:color="auto"/>
              </w:divBdr>
            </w:div>
            <w:div w:id="246232839">
              <w:marLeft w:val="0"/>
              <w:marRight w:val="0"/>
              <w:marTop w:val="0"/>
              <w:marBottom w:val="0"/>
              <w:divBdr>
                <w:top w:val="none" w:sz="0" w:space="0" w:color="auto"/>
                <w:left w:val="none" w:sz="0" w:space="0" w:color="auto"/>
                <w:bottom w:val="none" w:sz="0" w:space="0" w:color="auto"/>
                <w:right w:val="none" w:sz="0" w:space="0" w:color="auto"/>
              </w:divBdr>
            </w:div>
            <w:div w:id="273439846">
              <w:marLeft w:val="0"/>
              <w:marRight w:val="0"/>
              <w:marTop w:val="0"/>
              <w:marBottom w:val="0"/>
              <w:divBdr>
                <w:top w:val="none" w:sz="0" w:space="0" w:color="auto"/>
                <w:left w:val="none" w:sz="0" w:space="0" w:color="auto"/>
                <w:bottom w:val="none" w:sz="0" w:space="0" w:color="auto"/>
                <w:right w:val="none" w:sz="0" w:space="0" w:color="auto"/>
              </w:divBdr>
            </w:div>
            <w:div w:id="1621766136">
              <w:marLeft w:val="0"/>
              <w:marRight w:val="0"/>
              <w:marTop w:val="0"/>
              <w:marBottom w:val="0"/>
              <w:divBdr>
                <w:top w:val="none" w:sz="0" w:space="0" w:color="auto"/>
                <w:left w:val="none" w:sz="0" w:space="0" w:color="auto"/>
                <w:bottom w:val="none" w:sz="0" w:space="0" w:color="auto"/>
                <w:right w:val="none" w:sz="0" w:space="0" w:color="auto"/>
              </w:divBdr>
            </w:div>
            <w:div w:id="617447332">
              <w:marLeft w:val="0"/>
              <w:marRight w:val="0"/>
              <w:marTop w:val="0"/>
              <w:marBottom w:val="0"/>
              <w:divBdr>
                <w:top w:val="none" w:sz="0" w:space="0" w:color="auto"/>
                <w:left w:val="none" w:sz="0" w:space="0" w:color="auto"/>
                <w:bottom w:val="none" w:sz="0" w:space="0" w:color="auto"/>
                <w:right w:val="none" w:sz="0" w:space="0" w:color="auto"/>
              </w:divBdr>
            </w:div>
            <w:div w:id="710960464">
              <w:marLeft w:val="0"/>
              <w:marRight w:val="0"/>
              <w:marTop w:val="0"/>
              <w:marBottom w:val="0"/>
              <w:divBdr>
                <w:top w:val="none" w:sz="0" w:space="0" w:color="auto"/>
                <w:left w:val="none" w:sz="0" w:space="0" w:color="auto"/>
                <w:bottom w:val="none" w:sz="0" w:space="0" w:color="auto"/>
                <w:right w:val="none" w:sz="0" w:space="0" w:color="auto"/>
              </w:divBdr>
            </w:div>
            <w:div w:id="1870945788">
              <w:marLeft w:val="0"/>
              <w:marRight w:val="0"/>
              <w:marTop w:val="0"/>
              <w:marBottom w:val="0"/>
              <w:divBdr>
                <w:top w:val="none" w:sz="0" w:space="0" w:color="auto"/>
                <w:left w:val="none" w:sz="0" w:space="0" w:color="auto"/>
                <w:bottom w:val="none" w:sz="0" w:space="0" w:color="auto"/>
                <w:right w:val="none" w:sz="0" w:space="0" w:color="auto"/>
              </w:divBdr>
            </w:div>
            <w:div w:id="1755543322">
              <w:marLeft w:val="0"/>
              <w:marRight w:val="0"/>
              <w:marTop w:val="0"/>
              <w:marBottom w:val="0"/>
              <w:divBdr>
                <w:top w:val="none" w:sz="0" w:space="0" w:color="auto"/>
                <w:left w:val="none" w:sz="0" w:space="0" w:color="auto"/>
                <w:bottom w:val="none" w:sz="0" w:space="0" w:color="auto"/>
                <w:right w:val="none" w:sz="0" w:space="0" w:color="auto"/>
              </w:divBdr>
            </w:div>
            <w:div w:id="1494491552">
              <w:marLeft w:val="0"/>
              <w:marRight w:val="0"/>
              <w:marTop w:val="0"/>
              <w:marBottom w:val="0"/>
              <w:divBdr>
                <w:top w:val="none" w:sz="0" w:space="0" w:color="auto"/>
                <w:left w:val="none" w:sz="0" w:space="0" w:color="auto"/>
                <w:bottom w:val="none" w:sz="0" w:space="0" w:color="auto"/>
                <w:right w:val="none" w:sz="0" w:space="0" w:color="auto"/>
              </w:divBdr>
            </w:div>
            <w:div w:id="2058040954">
              <w:marLeft w:val="0"/>
              <w:marRight w:val="0"/>
              <w:marTop w:val="0"/>
              <w:marBottom w:val="0"/>
              <w:divBdr>
                <w:top w:val="none" w:sz="0" w:space="0" w:color="auto"/>
                <w:left w:val="none" w:sz="0" w:space="0" w:color="auto"/>
                <w:bottom w:val="none" w:sz="0" w:space="0" w:color="auto"/>
                <w:right w:val="none" w:sz="0" w:space="0" w:color="auto"/>
              </w:divBdr>
            </w:div>
            <w:div w:id="776870733">
              <w:marLeft w:val="0"/>
              <w:marRight w:val="0"/>
              <w:marTop w:val="0"/>
              <w:marBottom w:val="0"/>
              <w:divBdr>
                <w:top w:val="none" w:sz="0" w:space="0" w:color="auto"/>
                <w:left w:val="none" w:sz="0" w:space="0" w:color="auto"/>
                <w:bottom w:val="none" w:sz="0" w:space="0" w:color="auto"/>
                <w:right w:val="none" w:sz="0" w:space="0" w:color="auto"/>
              </w:divBdr>
            </w:div>
          </w:divsChild>
        </w:div>
        <w:div w:id="552693633">
          <w:marLeft w:val="0"/>
          <w:marRight w:val="0"/>
          <w:marTop w:val="0"/>
          <w:marBottom w:val="0"/>
          <w:divBdr>
            <w:top w:val="none" w:sz="0" w:space="0" w:color="auto"/>
            <w:left w:val="none" w:sz="0" w:space="0" w:color="auto"/>
            <w:bottom w:val="none" w:sz="0" w:space="0" w:color="auto"/>
            <w:right w:val="none" w:sz="0" w:space="0" w:color="auto"/>
          </w:divBdr>
          <w:divsChild>
            <w:div w:id="1297686811">
              <w:marLeft w:val="0"/>
              <w:marRight w:val="0"/>
              <w:marTop w:val="0"/>
              <w:marBottom w:val="0"/>
              <w:divBdr>
                <w:top w:val="none" w:sz="0" w:space="0" w:color="auto"/>
                <w:left w:val="none" w:sz="0" w:space="0" w:color="auto"/>
                <w:bottom w:val="none" w:sz="0" w:space="0" w:color="auto"/>
                <w:right w:val="none" w:sz="0" w:space="0" w:color="auto"/>
              </w:divBdr>
            </w:div>
            <w:div w:id="1620988576">
              <w:marLeft w:val="0"/>
              <w:marRight w:val="0"/>
              <w:marTop w:val="0"/>
              <w:marBottom w:val="0"/>
              <w:divBdr>
                <w:top w:val="none" w:sz="0" w:space="0" w:color="auto"/>
                <w:left w:val="none" w:sz="0" w:space="0" w:color="auto"/>
                <w:bottom w:val="none" w:sz="0" w:space="0" w:color="auto"/>
                <w:right w:val="none" w:sz="0" w:space="0" w:color="auto"/>
              </w:divBdr>
            </w:div>
            <w:div w:id="1942175968">
              <w:marLeft w:val="0"/>
              <w:marRight w:val="0"/>
              <w:marTop w:val="0"/>
              <w:marBottom w:val="0"/>
              <w:divBdr>
                <w:top w:val="none" w:sz="0" w:space="0" w:color="auto"/>
                <w:left w:val="none" w:sz="0" w:space="0" w:color="auto"/>
                <w:bottom w:val="none" w:sz="0" w:space="0" w:color="auto"/>
                <w:right w:val="none" w:sz="0" w:space="0" w:color="auto"/>
              </w:divBdr>
            </w:div>
            <w:div w:id="1760180683">
              <w:marLeft w:val="0"/>
              <w:marRight w:val="0"/>
              <w:marTop w:val="0"/>
              <w:marBottom w:val="0"/>
              <w:divBdr>
                <w:top w:val="none" w:sz="0" w:space="0" w:color="auto"/>
                <w:left w:val="none" w:sz="0" w:space="0" w:color="auto"/>
                <w:bottom w:val="none" w:sz="0" w:space="0" w:color="auto"/>
                <w:right w:val="none" w:sz="0" w:space="0" w:color="auto"/>
              </w:divBdr>
            </w:div>
            <w:div w:id="77490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116638">
      <w:bodyDiv w:val="1"/>
      <w:marLeft w:val="0"/>
      <w:marRight w:val="0"/>
      <w:marTop w:val="0"/>
      <w:marBottom w:val="0"/>
      <w:divBdr>
        <w:top w:val="none" w:sz="0" w:space="0" w:color="auto"/>
        <w:left w:val="none" w:sz="0" w:space="0" w:color="auto"/>
        <w:bottom w:val="none" w:sz="0" w:space="0" w:color="auto"/>
        <w:right w:val="none" w:sz="0" w:space="0" w:color="auto"/>
      </w:divBdr>
      <w:divsChild>
        <w:div w:id="101610420">
          <w:marLeft w:val="0"/>
          <w:marRight w:val="0"/>
          <w:marTop w:val="0"/>
          <w:marBottom w:val="0"/>
          <w:divBdr>
            <w:top w:val="none" w:sz="0" w:space="0" w:color="auto"/>
            <w:left w:val="none" w:sz="0" w:space="0" w:color="auto"/>
            <w:bottom w:val="none" w:sz="0" w:space="0" w:color="auto"/>
            <w:right w:val="none" w:sz="0" w:space="0" w:color="auto"/>
          </w:divBdr>
        </w:div>
        <w:div w:id="339283417">
          <w:marLeft w:val="0"/>
          <w:marRight w:val="0"/>
          <w:marTop w:val="0"/>
          <w:marBottom w:val="0"/>
          <w:divBdr>
            <w:top w:val="none" w:sz="0" w:space="0" w:color="auto"/>
            <w:left w:val="none" w:sz="0" w:space="0" w:color="auto"/>
            <w:bottom w:val="none" w:sz="0" w:space="0" w:color="auto"/>
            <w:right w:val="none" w:sz="0" w:space="0" w:color="auto"/>
          </w:divBdr>
        </w:div>
        <w:div w:id="461264088">
          <w:marLeft w:val="0"/>
          <w:marRight w:val="0"/>
          <w:marTop w:val="0"/>
          <w:marBottom w:val="0"/>
          <w:divBdr>
            <w:top w:val="none" w:sz="0" w:space="0" w:color="auto"/>
            <w:left w:val="none" w:sz="0" w:space="0" w:color="auto"/>
            <w:bottom w:val="none" w:sz="0" w:space="0" w:color="auto"/>
            <w:right w:val="none" w:sz="0" w:space="0" w:color="auto"/>
          </w:divBdr>
        </w:div>
        <w:div w:id="603419000">
          <w:marLeft w:val="0"/>
          <w:marRight w:val="0"/>
          <w:marTop w:val="0"/>
          <w:marBottom w:val="0"/>
          <w:divBdr>
            <w:top w:val="none" w:sz="0" w:space="0" w:color="auto"/>
            <w:left w:val="none" w:sz="0" w:space="0" w:color="auto"/>
            <w:bottom w:val="none" w:sz="0" w:space="0" w:color="auto"/>
            <w:right w:val="none" w:sz="0" w:space="0" w:color="auto"/>
          </w:divBdr>
        </w:div>
        <w:div w:id="607591501">
          <w:marLeft w:val="0"/>
          <w:marRight w:val="0"/>
          <w:marTop w:val="0"/>
          <w:marBottom w:val="0"/>
          <w:divBdr>
            <w:top w:val="none" w:sz="0" w:space="0" w:color="auto"/>
            <w:left w:val="none" w:sz="0" w:space="0" w:color="auto"/>
            <w:bottom w:val="none" w:sz="0" w:space="0" w:color="auto"/>
            <w:right w:val="none" w:sz="0" w:space="0" w:color="auto"/>
          </w:divBdr>
        </w:div>
        <w:div w:id="650256355">
          <w:marLeft w:val="0"/>
          <w:marRight w:val="0"/>
          <w:marTop w:val="0"/>
          <w:marBottom w:val="0"/>
          <w:divBdr>
            <w:top w:val="none" w:sz="0" w:space="0" w:color="auto"/>
            <w:left w:val="none" w:sz="0" w:space="0" w:color="auto"/>
            <w:bottom w:val="none" w:sz="0" w:space="0" w:color="auto"/>
            <w:right w:val="none" w:sz="0" w:space="0" w:color="auto"/>
          </w:divBdr>
        </w:div>
        <w:div w:id="762261067">
          <w:marLeft w:val="0"/>
          <w:marRight w:val="0"/>
          <w:marTop w:val="0"/>
          <w:marBottom w:val="0"/>
          <w:divBdr>
            <w:top w:val="none" w:sz="0" w:space="0" w:color="auto"/>
            <w:left w:val="none" w:sz="0" w:space="0" w:color="auto"/>
            <w:bottom w:val="none" w:sz="0" w:space="0" w:color="auto"/>
            <w:right w:val="none" w:sz="0" w:space="0" w:color="auto"/>
          </w:divBdr>
        </w:div>
        <w:div w:id="830217310">
          <w:marLeft w:val="0"/>
          <w:marRight w:val="0"/>
          <w:marTop w:val="0"/>
          <w:marBottom w:val="0"/>
          <w:divBdr>
            <w:top w:val="none" w:sz="0" w:space="0" w:color="auto"/>
            <w:left w:val="none" w:sz="0" w:space="0" w:color="auto"/>
            <w:bottom w:val="none" w:sz="0" w:space="0" w:color="auto"/>
            <w:right w:val="none" w:sz="0" w:space="0" w:color="auto"/>
          </w:divBdr>
        </w:div>
        <w:div w:id="995257127">
          <w:marLeft w:val="0"/>
          <w:marRight w:val="0"/>
          <w:marTop w:val="0"/>
          <w:marBottom w:val="0"/>
          <w:divBdr>
            <w:top w:val="none" w:sz="0" w:space="0" w:color="auto"/>
            <w:left w:val="none" w:sz="0" w:space="0" w:color="auto"/>
            <w:bottom w:val="none" w:sz="0" w:space="0" w:color="auto"/>
            <w:right w:val="none" w:sz="0" w:space="0" w:color="auto"/>
          </w:divBdr>
        </w:div>
        <w:div w:id="1147668964">
          <w:marLeft w:val="0"/>
          <w:marRight w:val="0"/>
          <w:marTop w:val="0"/>
          <w:marBottom w:val="0"/>
          <w:divBdr>
            <w:top w:val="none" w:sz="0" w:space="0" w:color="auto"/>
            <w:left w:val="none" w:sz="0" w:space="0" w:color="auto"/>
            <w:bottom w:val="none" w:sz="0" w:space="0" w:color="auto"/>
            <w:right w:val="none" w:sz="0" w:space="0" w:color="auto"/>
          </w:divBdr>
        </w:div>
        <w:div w:id="1224684809">
          <w:marLeft w:val="0"/>
          <w:marRight w:val="0"/>
          <w:marTop w:val="0"/>
          <w:marBottom w:val="0"/>
          <w:divBdr>
            <w:top w:val="none" w:sz="0" w:space="0" w:color="auto"/>
            <w:left w:val="none" w:sz="0" w:space="0" w:color="auto"/>
            <w:bottom w:val="none" w:sz="0" w:space="0" w:color="auto"/>
            <w:right w:val="none" w:sz="0" w:space="0" w:color="auto"/>
          </w:divBdr>
        </w:div>
        <w:div w:id="1359965255">
          <w:marLeft w:val="0"/>
          <w:marRight w:val="0"/>
          <w:marTop w:val="0"/>
          <w:marBottom w:val="0"/>
          <w:divBdr>
            <w:top w:val="none" w:sz="0" w:space="0" w:color="auto"/>
            <w:left w:val="none" w:sz="0" w:space="0" w:color="auto"/>
            <w:bottom w:val="none" w:sz="0" w:space="0" w:color="auto"/>
            <w:right w:val="none" w:sz="0" w:space="0" w:color="auto"/>
          </w:divBdr>
        </w:div>
        <w:div w:id="1470366957">
          <w:marLeft w:val="0"/>
          <w:marRight w:val="0"/>
          <w:marTop w:val="0"/>
          <w:marBottom w:val="0"/>
          <w:divBdr>
            <w:top w:val="none" w:sz="0" w:space="0" w:color="auto"/>
            <w:left w:val="none" w:sz="0" w:space="0" w:color="auto"/>
            <w:bottom w:val="none" w:sz="0" w:space="0" w:color="auto"/>
            <w:right w:val="none" w:sz="0" w:space="0" w:color="auto"/>
          </w:divBdr>
        </w:div>
        <w:div w:id="1508593629">
          <w:marLeft w:val="0"/>
          <w:marRight w:val="0"/>
          <w:marTop w:val="0"/>
          <w:marBottom w:val="0"/>
          <w:divBdr>
            <w:top w:val="none" w:sz="0" w:space="0" w:color="auto"/>
            <w:left w:val="none" w:sz="0" w:space="0" w:color="auto"/>
            <w:bottom w:val="none" w:sz="0" w:space="0" w:color="auto"/>
            <w:right w:val="none" w:sz="0" w:space="0" w:color="auto"/>
          </w:divBdr>
        </w:div>
        <w:div w:id="1509952029">
          <w:marLeft w:val="0"/>
          <w:marRight w:val="0"/>
          <w:marTop w:val="0"/>
          <w:marBottom w:val="0"/>
          <w:divBdr>
            <w:top w:val="none" w:sz="0" w:space="0" w:color="auto"/>
            <w:left w:val="none" w:sz="0" w:space="0" w:color="auto"/>
            <w:bottom w:val="none" w:sz="0" w:space="0" w:color="auto"/>
            <w:right w:val="none" w:sz="0" w:space="0" w:color="auto"/>
          </w:divBdr>
        </w:div>
        <w:div w:id="1696228339">
          <w:marLeft w:val="0"/>
          <w:marRight w:val="0"/>
          <w:marTop w:val="0"/>
          <w:marBottom w:val="0"/>
          <w:divBdr>
            <w:top w:val="none" w:sz="0" w:space="0" w:color="auto"/>
            <w:left w:val="none" w:sz="0" w:space="0" w:color="auto"/>
            <w:bottom w:val="none" w:sz="0" w:space="0" w:color="auto"/>
            <w:right w:val="none" w:sz="0" w:space="0" w:color="auto"/>
          </w:divBdr>
        </w:div>
        <w:div w:id="1713842196">
          <w:marLeft w:val="0"/>
          <w:marRight w:val="0"/>
          <w:marTop w:val="0"/>
          <w:marBottom w:val="0"/>
          <w:divBdr>
            <w:top w:val="none" w:sz="0" w:space="0" w:color="auto"/>
            <w:left w:val="none" w:sz="0" w:space="0" w:color="auto"/>
            <w:bottom w:val="none" w:sz="0" w:space="0" w:color="auto"/>
            <w:right w:val="none" w:sz="0" w:space="0" w:color="auto"/>
          </w:divBdr>
        </w:div>
        <w:div w:id="1890727452">
          <w:marLeft w:val="0"/>
          <w:marRight w:val="0"/>
          <w:marTop w:val="0"/>
          <w:marBottom w:val="0"/>
          <w:divBdr>
            <w:top w:val="none" w:sz="0" w:space="0" w:color="auto"/>
            <w:left w:val="none" w:sz="0" w:space="0" w:color="auto"/>
            <w:bottom w:val="none" w:sz="0" w:space="0" w:color="auto"/>
            <w:right w:val="none" w:sz="0" w:space="0" w:color="auto"/>
          </w:divBdr>
        </w:div>
        <w:div w:id="2017266465">
          <w:marLeft w:val="0"/>
          <w:marRight w:val="0"/>
          <w:marTop w:val="0"/>
          <w:marBottom w:val="0"/>
          <w:divBdr>
            <w:top w:val="none" w:sz="0" w:space="0" w:color="auto"/>
            <w:left w:val="none" w:sz="0" w:space="0" w:color="auto"/>
            <w:bottom w:val="none" w:sz="0" w:space="0" w:color="auto"/>
            <w:right w:val="none" w:sz="0" w:space="0" w:color="auto"/>
          </w:divBdr>
        </w:div>
        <w:div w:id="2095123820">
          <w:marLeft w:val="0"/>
          <w:marRight w:val="0"/>
          <w:marTop w:val="0"/>
          <w:marBottom w:val="0"/>
          <w:divBdr>
            <w:top w:val="none" w:sz="0" w:space="0" w:color="auto"/>
            <w:left w:val="none" w:sz="0" w:space="0" w:color="auto"/>
            <w:bottom w:val="none" w:sz="0" w:space="0" w:color="auto"/>
            <w:right w:val="none" w:sz="0" w:space="0" w:color="auto"/>
          </w:divBdr>
        </w:div>
      </w:divsChild>
    </w:div>
    <w:div w:id="1092431628">
      <w:bodyDiv w:val="1"/>
      <w:marLeft w:val="0"/>
      <w:marRight w:val="0"/>
      <w:marTop w:val="0"/>
      <w:marBottom w:val="0"/>
      <w:divBdr>
        <w:top w:val="none" w:sz="0" w:space="0" w:color="auto"/>
        <w:left w:val="none" w:sz="0" w:space="0" w:color="auto"/>
        <w:bottom w:val="none" w:sz="0" w:space="0" w:color="auto"/>
        <w:right w:val="none" w:sz="0" w:space="0" w:color="auto"/>
      </w:divBdr>
    </w:div>
    <w:div w:id="1093892720">
      <w:bodyDiv w:val="1"/>
      <w:marLeft w:val="0"/>
      <w:marRight w:val="0"/>
      <w:marTop w:val="0"/>
      <w:marBottom w:val="0"/>
      <w:divBdr>
        <w:top w:val="none" w:sz="0" w:space="0" w:color="auto"/>
        <w:left w:val="none" w:sz="0" w:space="0" w:color="auto"/>
        <w:bottom w:val="none" w:sz="0" w:space="0" w:color="auto"/>
        <w:right w:val="none" w:sz="0" w:space="0" w:color="auto"/>
      </w:divBdr>
    </w:div>
    <w:div w:id="1094135257">
      <w:bodyDiv w:val="1"/>
      <w:marLeft w:val="0"/>
      <w:marRight w:val="0"/>
      <w:marTop w:val="0"/>
      <w:marBottom w:val="0"/>
      <w:divBdr>
        <w:top w:val="none" w:sz="0" w:space="0" w:color="auto"/>
        <w:left w:val="none" w:sz="0" w:space="0" w:color="auto"/>
        <w:bottom w:val="none" w:sz="0" w:space="0" w:color="auto"/>
        <w:right w:val="none" w:sz="0" w:space="0" w:color="auto"/>
      </w:divBdr>
      <w:divsChild>
        <w:div w:id="38163955">
          <w:marLeft w:val="0"/>
          <w:marRight w:val="0"/>
          <w:marTop w:val="0"/>
          <w:marBottom w:val="0"/>
          <w:divBdr>
            <w:top w:val="none" w:sz="0" w:space="0" w:color="auto"/>
            <w:left w:val="none" w:sz="0" w:space="0" w:color="auto"/>
            <w:bottom w:val="none" w:sz="0" w:space="0" w:color="auto"/>
            <w:right w:val="none" w:sz="0" w:space="0" w:color="auto"/>
          </w:divBdr>
          <w:divsChild>
            <w:div w:id="1449347721">
              <w:marLeft w:val="0"/>
              <w:marRight w:val="0"/>
              <w:marTop w:val="0"/>
              <w:marBottom w:val="0"/>
              <w:divBdr>
                <w:top w:val="none" w:sz="0" w:space="0" w:color="auto"/>
                <w:left w:val="none" w:sz="0" w:space="0" w:color="auto"/>
                <w:bottom w:val="none" w:sz="0" w:space="0" w:color="auto"/>
                <w:right w:val="none" w:sz="0" w:space="0" w:color="auto"/>
              </w:divBdr>
            </w:div>
          </w:divsChild>
        </w:div>
        <w:div w:id="378167266">
          <w:marLeft w:val="0"/>
          <w:marRight w:val="0"/>
          <w:marTop w:val="0"/>
          <w:marBottom w:val="0"/>
          <w:divBdr>
            <w:top w:val="none" w:sz="0" w:space="0" w:color="auto"/>
            <w:left w:val="none" w:sz="0" w:space="0" w:color="auto"/>
            <w:bottom w:val="none" w:sz="0" w:space="0" w:color="auto"/>
            <w:right w:val="none" w:sz="0" w:space="0" w:color="auto"/>
          </w:divBdr>
          <w:divsChild>
            <w:div w:id="316417971">
              <w:marLeft w:val="0"/>
              <w:marRight w:val="0"/>
              <w:marTop w:val="0"/>
              <w:marBottom w:val="0"/>
              <w:divBdr>
                <w:top w:val="none" w:sz="0" w:space="0" w:color="auto"/>
                <w:left w:val="none" w:sz="0" w:space="0" w:color="auto"/>
                <w:bottom w:val="none" w:sz="0" w:space="0" w:color="auto"/>
                <w:right w:val="none" w:sz="0" w:space="0" w:color="auto"/>
              </w:divBdr>
            </w:div>
          </w:divsChild>
        </w:div>
        <w:div w:id="458686699">
          <w:marLeft w:val="0"/>
          <w:marRight w:val="0"/>
          <w:marTop w:val="0"/>
          <w:marBottom w:val="0"/>
          <w:divBdr>
            <w:top w:val="none" w:sz="0" w:space="0" w:color="auto"/>
            <w:left w:val="none" w:sz="0" w:space="0" w:color="auto"/>
            <w:bottom w:val="none" w:sz="0" w:space="0" w:color="auto"/>
            <w:right w:val="none" w:sz="0" w:space="0" w:color="auto"/>
          </w:divBdr>
          <w:divsChild>
            <w:div w:id="1539195025">
              <w:marLeft w:val="0"/>
              <w:marRight w:val="0"/>
              <w:marTop w:val="0"/>
              <w:marBottom w:val="0"/>
              <w:divBdr>
                <w:top w:val="none" w:sz="0" w:space="0" w:color="auto"/>
                <w:left w:val="none" w:sz="0" w:space="0" w:color="auto"/>
                <w:bottom w:val="none" w:sz="0" w:space="0" w:color="auto"/>
                <w:right w:val="none" w:sz="0" w:space="0" w:color="auto"/>
              </w:divBdr>
            </w:div>
          </w:divsChild>
        </w:div>
        <w:div w:id="984972624">
          <w:marLeft w:val="0"/>
          <w:marRight w:val="0"/>
          <w:marTop w:val="0"/>
          <w:marBottom w:val="0"/>
          <w:divBdr>
            <w:top w:val="none" w:sz="0" w:space="0" w:color="auto"/>
            <w:left w:val="none" w:sz="0" w:space="0" w:color="auto"/>
            <w:bottom w:val="none" w:sz="0" w:space="0" w:color="auto"/>
            <w:right w:val="none" w:sz="0" w:space="0" w:color="auto"/>
          </w:divBdr>
          <w:divsChild>
            <w:div w:id="1148480061">
              <w:marLeft w:val="0"/>
              <w:marRight w:val="0"/>
              <w:marTop w:val="0"/>
              <w:marBottom w:val="0"/>
              <w:divBdr>
                <w:top w:val="none" w:sz="0" w:space="0" w:color="auto"/>
                <w:left w:val="none" w:sz="0" w:space="0" w:color="auto"/>
                <w:bottom w:val="none" w:sz="0" w:space="0" w:color="auto"/>
                <w:right w:val="none" w:sz="0" w:space="0" w:color="auto"/>
              </w:divBdr>
            </w:div>
          </w:divsChild>
        </w:div>
        <w:div w:id="1652175167">
          <w:marLeft w:val="0"/>
          <w:marRight w:val="0"/>
          <w:marTop w:val="0"/>
          <w:marBottom w:val="0"/>
          <w:divBdr>
            <w:top w:val="none" w:sz="0" w:space="0" w:color="auto"/>
            <w:left w:val="none" w:sz="0" w:space="0" w:color="auto"/>
            <w:bottom w:val="none" w:sz="0" w:space="0" w:color="auto"/>
            <w:right w:val="none" w:sz="0" w:space="0" w:color="auto"/>
          </w:divBdr>
          <w:divsChild>
            <w:div w:id="963461824">
              <w:marLeft w:val="0"/>
              <w:marRight w:val="0"/>
              <w:marTop w:val="0"/>
              <w:marBottom w:val="0"/>
              <w:divBdr>
                <w:top w:val="none" w:sz="0" w:space="0" w:color="auto"/>
                <w:left w:val="none" w:sz="0" w:space="0" w:color="auto"/>
                <w:bottom w:val="none" w:sz="0" w:space="0" w:color="auto"/>
                <w:right w:val="none" w:sz="0" w:space="0" w:color="auto"/>
              </w:divBdr>
            </w:div>
          </w:divsChild>
        </w:div>
        <w:div w:id="1710110675">
          <w:marLeft w:val="0"/>
          <w:marRight w:val="0"/>
          <w:marTop w:val="0"/>
          <w:marBottom w:val="0"/>
          <w:divBdr>
            <w:top w:val="none" w:sz="0" w:space="0" w:color="auto"/>
            <w:left w:val="none" w:sz="0" w:space="0" w:color="auto"/>
            <w:bottom w:val="none" w:sz="0" w:space="0" w:color="auto"/>
            <w:right w:val="none" w:sz="0" w:space="0" w:color="auto"/>
          </w:divBdr>
          <w:divsChild>
            <w:div w:id="32735047">
              <w:marLeft w:val="0"/>
              <w:marRight w:val="0"/>
              <w:marTop w:val="0"/>
              <w:marBottom w:val="0"/>
              <w:divBdr>
                <w:top w:val="none" w:sz="0" w:space="0" w:color="auto"/>
                <w:left w:val="none" w:sz="0" w:space="0" w:color="auto"/>
                <w:bottom w:val="none" w:sz="0" w:space="0" w:color="auto"/>
                <w:right w:val="none" w:sz="0" w:space="0" w:color="auto"/>
              </w:divBdr>
            </w:div>
          </w:divsChild>
        </w:div>
        <w:div w:id="1746417264">
          <w:marLeft w:val="0"/>
          <w:marRight w:val="0"/>
          <w:marTop w:val="0"/>
          <w:marBottom w:val="0"/>
          <w:divBdr>
            <w:top w:val="none" w:sz="0" w:space="0" w:color="auto"/>
            <w:left w:val="none" w:sz="0" w:space="0" w:color="auto"/>
            <w:bottom w:val="none" w:sz="0" w:space="0" w:color="auto"/>
            <w:right w:val="none" w:sz="0" w:space="0" w:color="auto"/>
          </w:divBdr>
          <w:divsChild>
            <w:div w:id="221986890">
              <w:marLeft w:val="0"/>
              <w:marRight w:val="0"/>
              <w:marTop w:val="0"/>
              <w:marBottom w:val="0"/>
              <w:divBdr>
                <w:top w:val="none" w:sz="0" w:space="0" w:color="auto"/>
                <w:left w:val="none" w:sz="0" w:space="0" w:color="auto"/>
                <w:bottom w:val="none" w:sz="0" w:space="0" w:color="auto"/>
                <w:right w:val="none" w:sz="0" w:space="0" w:color="auto"/>
              </w:divBdr>
            </w:div>
          </w:divsChild>
        </w:div>
        <w:div w:id="1756854459">
          <w:marLeft w:val="0"/>
          <w:marRight w:val="0"/>
          <w:marTop w:val="0"/>
          <w:marBottom w:val="0"/>
          <w:divBdr>
            <w:top w:val="none" w:sz="0" w:space="0" w:color="auto"/>
            <w:left w:val="none" w:sz="0" w:space="0" w:color="auto"/>
            <w:bottom w:val="none" w:sz="0" w:space="0" w:color="auto"/>
            <w:right w:val="none" w:sz="0" w:space="0" w:color="auto"/>
          </w:divBdr>
          <w:divsChild>
            <w:div w:id="272399278">
              <w:marLeft w:val="0"/>
              <w:marRight w:val="0"/>
              <w:marTop w:val="0"/>
              <w:marBottom w:val="0"/>
              <w:divBdr>
                <w:top w:val="none" w:sz="0" w:space="0" w:color="auto"/>
                <w:left w:val="none" w:sz="0" w:space="0" w:color="auto"/>
                <w:bottom w:val="none" w:sz="0" w:space="0" w:color="auto"/>
                <w:right w:val="none" w:sz="0" w:space="0" w:color="auto"/>
              </w:divBdr>
            </w:div>
          </w:divsChild>
        </w:div>
        <w:div w:id="1907301195">
          <w:marLeft w:val="0"/>
          <w:marRight w:val="0"/>
          <w:marTop w:val="0"/>
          <w:marBottom w:val="0"/>
          <w:divBdr>
            <w:top w:val="none" w:sz="0" w:space="0" w:color="auto"/>
            <w:left w:val="none" w:sz="0" w:space="0" w:color="auto"/>
            <w:bottom w:val="none" w:sz="0" w:space="0" w:color="auto"/>
            <w:right w:val="none" w:sz="0" w:space="0" w:color="auto"/>
          </w:divBdr>
          <w:divsChild>
            <w:div w:id="120979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895404">
      <w:bodyDiv w:val="1"/>
      <w:marLeft w:val="0"/>
      <w:marRight w:val="0"/>
      <w:marTop w:val="0"/>
      <w:marBottom w:val="0"/>
      <w:divBdr>
        <w:top w:val="none" w:sz="0" w:space="0" w:color="auto"/>
        <w:left w:val="none" w:sz="0" w:space="0" w:color="auto"/>
        <w:bottom w:val="none" w:sz="0" w:space="0" w:color="auto"/>
        <w:right w:val="none" w:sz="0" w:space="0" w:color="auto"/>
      </w:divBdr>
    </w:div>
    <w:div w:id="1108163594">
      <w:bodyDiv w:val="1"/>
      <w:marLeft w:val="0"/>
      <w:marRight w:val="0"/>
      <w:marTop w:val="0"/>
      <w:marBottom w:val="0"/>
      <w:divBdr>
        <w:top w:val="none" w:sz="0" w:space="0" w:color="auto"/>
        <w:left w:val="none" w:sz="0" w:space="0" w:color="auto"/>
        <w:bottom w:val="none" w:sz="0" w:space="0" w:color="auto"/>
        <w:right w:val="none" w:sz="0" w:space="0" w:color="auto"/>
      </w:divBdr>
      <w:divsChild>
        <w:div w:id="106044969">
          <w:marLeft w:val="0"/>
          <w:marRight w:val="0"/>
          <w:marTop w:val="0"/>
          <w:marBottom w:val="0"/>
          <w:divBdr>
            <w:top w:val="none" w:sz="0" w:space="0" w:color="auto"/>
            <w:left w:val="none" w:sz="0" w:space="0" w:color="auto"/>
            <w:bottom w:val="none" w:sz="0" w:space="0" w:color="auto"/>
            <w:right w:val="none" w:sz="0" w:space="0" w:color="auto"/>
          </w:divBdr>
        </w:div>
        <w:div w:id="147942437">
          <w:marLeft w:val="0"/>
          <w:marRight w:val="0"/>
          <w:marTop w:val="0"/>
          <w:marBottom w:val="0"/>
          <w:divBdr>
            <w:top w:val="none" w:sz="0" w:space="0" w:color="auto"/>
            <w:left w:val="none" w:sz="0" w:space="0" w:color="auto"/>
            <w:bottom w:val="none" w:sz="0" w:space="0" w:color="auto"/>
            <w:right w:val="none" w:sz="0" w:space="0" w:color="auto"/>
          </w:divBdr>
        </w:div>
        <w:div w:id="193690197">
          <w:marLeft w:val="0"/>
          <w:marRight w:val="0"/>
          <w:marTop w:val="0"/>
          <w:marBottom w:val="0"/>
          <w:divBdr>
            <w:top w:val="none" w:sz="0" w:space="0" w:color="auto"/>
            <w:left w:val="none" w:sz="0" w:space="0" w:color="auto"/>
            <w:bottom w:val="none" w:sz="0" w:space="0" w:color="auto"/>
            <w:right w:val="none" w:sz="0" w:space="0" w:color="auto"/>
          </w:divBdr>
        </w:div>
        <w:div w:id="312953390">
          <w:marLeft w:val="0"/>
          <w:marRight w:val="0"/>
          <w:marTop w:val="0"/>
          <w:marBottom w:val="0"/>
          <w:divBdr>
            <w:top w:val="none" w:sz="0" w:space="0" w:color="auto"/>
            <w:left w:val="none" w:sz="0" w:space="0" w:color="auto"/>
            <w:bottom w:val="none" w:sz="0" w:space="0" w:color="auto"/>
            <w:right w:val="none" w:sz="0" w:space="0" w:color="auto"/>
          </w:divBdr>
        </w:div>
        <w:div w:id="467666174">
          <w:marLeft w:val="0"/>
          <w:marRight w:val="0"/>
          <w:marTop w:val="0"/>
          <w:marBottom w:val="0"/>
          <w:divBdr>
            <w:top w:val="none" w:sz="0" w:space="0" w:color="auto"/>
            <w:left w:val="none" w:sz="0" w:space="0" w:color="auto"/>
            <w:bottom w:val="none" w:sz="0" w:space="0" w:color="auto"/>
            <w:right w:val="none" w:sz="0" w:space="0" w:color="auto"/>
          </w:divBdr>
        </w:div>
        <w:div w:id="497431448">
          <w:marLeft w:val="0"/>
          <w:marRight w:val="0"/>
          <w:marTop w:val="0"/>
          <w:marBottom w:val="0"/>
          <w:divBdr>
            <w:top w:val="none" w:sz="0" w:space="0" w:color="auto"/>
            <w:left w:val="none" w:sz="0" w:space="0" w:color="auto"/>
            <w:bottom w:val="none" w:sz="0" w:space="0" w:color="auto"/>
            <w:right w:val="none" w:sz="0" w:space="0" w:color="auto"/>
          </w:divBdr>
        </w:div>
        <w:div w:id="563952846">
          <w:marLeft w:val="0"/>
          <w:marRight w:val="0"/>
          <w:marTop w:val="0"/>
          <w:marBottom w:val="0"/>
          <w:divBdr>
            <w:top w:val="none" w:sz="0" w:space="0" w:color="auto"/>
            <w:left w:val="none" w:sz="0" w:space="0" w:color="auto"/>
            <w:bottom w:val="none" w:sz="0" w:space="0" w:color="auto"/>
            <w:right w:val="none" w:sz="0" w:space="0" w:color="auto"/>
          </w:divBdr>
        </w:div>
        <w:div w:id="767577222">
          <w:marLeft w:val="0"/>
          <w:marRight w:val="0"/>
          <w:marTop w:val="0"/>
          <w:marBottom w:val="0"/>
          <w:divBdr>
            <w:top w:val="none" w:sz="0" w:space="0" w:color="auto"/>
            <w:left w:val="none" w:sz="0" w:space="0" w:color="auto"/>
            <w:bottom w:val="none" w:sz="0" w:space="0" w:color="auto"/>
            <w:right w:val="none" w:sz="0" w:space="0" w:color="auto"/>
          </w:divBdr>
        </w:div>
        <w:div w:id="780106861">
          <w:marLeft w:val="0"/>
          <w:marRight w:val="0"/>
          <w:marTop w:val="0"/>
          <w:marBottom w:val="0"/>
          <w:divBdr>
            <w:top w:val="none" w:sz="0" w:space="0" w:color="auto"/>
            <w:left w:val="none" w:sz="0" w:space="0" w:color="auto"/>
            <w:bottom w:val="none" w:sz="0" w:space="0" w:color="auto"/>
            <w:right w:val="none" w:sz="0" w:space="0" w:color="auto"/>
          </w:divBdr>
        </w:div>
        <w:div w:id="853685783">
          <w:marLeft w:val="0"/>
          <w:marRight w:val="0"/>
          <w:marTop w:val="0"/>
          <w:marBottom w:val="0"/>
          <w:divBdr>
            <w:top w:val="none" w:sz="0" w:space="0" w:color="auto"/>
            <w:left w:val="none" w:sz="0" w:space="0" w:color="auto"/>
            <w:bottom w:val="none" w:sz="0" w:space="0" w:color="auto"/>
            <w:right w:val="none" w:sz="0" w:space="0" w:color="auto"/>
          </w:divBdr>
        </w:div>
        <w:div w:id="941374627">
          <w:marLeft w:val="0"/>
          <w:marRight w:val="0"/>
          <w:marTop w:val="0"/>
          <w:marBottom w:val="0"/>
          <w:divBdr>
            <w:top w:val="none" w:sz="0" w:space="0" w:color="auto"/>
            <w:left w:val="none" w:sz="0" w:space="0" w:color="auto"/>
            <w:bottom w:val="none" w:sz="0" w:space="0" w:color="auto"/>
            <w:right w:val="none" w:sz="0" w:space="0" w:color="auto"/>
          </w:divBdr>
        </w:div>
        <w:div w:id="1134368574">
          <w:marLeft w:val="0"/>
          <w:marRight w:val="0"/>
          <w:marTop w:val="0"/>
          <w:marBottom w:val="0"/>
          <w:divBdr>
            <w:top w:val="none" w:sz="0" w:space="0" w:color="auto"/>
            <w:left w:val="none" w:sz="0" w:space="0" w:color="auto"/>
            <w:bottom w:val="none" w:sz="0" w:space="0" w:color="auto"/>
            <w:right w:val="none" w:sz="0" w:space="0" w:color="auto"/>
          </w:divBdr>
        </w:div>
        <w:div w:id="1364671035">
          <w:marLeft w:val="0"/>
          <w:marRight w:val="0"/>
          <w:marTop w:val="0"/>
          <w:marBottom w:val="0"/>
          <w:divBdr>
            <w:top w:val="none" w:sz="0" w:space="0" w:color="auto"/>
            <w:left w:val="none" w:sz="0" w:space="0" w:color="auto"/>
            <w:bottom w:val="none" w:sz="0" w:space="0" w:color="auto"/>
            <w:right w:val="none" w:sz="0" w:space="0" w:color="auto"/>
          </w:divBdr>
        </w:div>
        <w:div w:id="1429697333">
          <w:marLeft w:val="0"/>
          <w:marRight w:val="0"/>
          <w:marTop w:val="0"/>
          <w:marBottom w:val="0"/>
          <w:divBdr>
            <w:top w:val="none" w:sz="0" w:space="0" w:color="auto"/>
            <w:left w:val="none" w:sz="0" w:space="0" w:color="auto"/>
            <w:bottom w:val="none" w:sz="0" w:space="0" w:color="auto"/>
            <w:right w:val="none" w:sz="0" w:space="0" w:color="auto"/>
          </w:divBdr>
        </w:div>
        <w:div w:id="1775973775">
          <w:marLeft w:val="0"/>
          <w:marRight w:val="0"/>
          <w:marTop w:val="0"/>
          <w:marBottom w:val="0"/>
          <w:divBdr>
            <w:top w:val="none" w:sz="0" w:space="0" w:color="auto"/>
            <w:left w:val="none" w:sz="0" w:space="0" w:color="auto"/>
            <w:bottom w:val="none" w:sz="0" w:space="0" w:color="auto"/>
            <w:right w:val="none" w:sz="0" w:space="0" w:color="auto"/>
          </w:divBdr>
        </w:div>
        <w:div w:id="1890336592">
          <w:marLeft w:val="0"/>
          <w:marRight w:val="0"/>
          <w:marTop w:val="0"/>
          <w:marBottom w:val="0"/>
          <w:divBdr>
            <w:top w:val="none" w:sz="0" w:space="0" w:color="auto"/>
            <w:left w:val="none" w:sz="0" w:space="0" w:color="auto"/>
            <w:bottom w:val="none" w:sz="0" w:space="0" w:color="auto"/>
            <w:right w:val="none" w:sz="0" w:space="0" w:color="auto"/>
          </w:divBdr>
        </w:div>
      </w:divsChild>
    </w:div>
    <w:div w:id="1112745642">
      <w:bodyDiv w:val="1"/>
      <w:marLeft w:val="0"/>
      <w:marRight w:val="0"/>
      <w:marTop w:val="0"/>
      <w:marBottom w:val="0"/>
      <w:divBdr>
        <w:top w:val="none" w:sz="0" w:space="0" w:color="auto"/>
        <w:left w:val="none" w:sz="0" w:space="0" w:color="auto"/>
        <w:bottom w:val="none" w:sz="0" w:space="0" w:color="auto"/>
        <w:right w:val="none" w:sz="0" w:space="0" w:color="auto"/>
      </w:divBdr>
    </w:div>
    <w:div w:id="1118643190">
      <w:bodyDiv w:val="1"/>
      <w:marLeft w:val="0"/>
      <w:marRight w:val="0"/>
      <w:marTop w:val="0"/>
      <w:marBottom w:val="0"/>
      <w:divBdr>
        <w:top w:val="none" w:sz="0" w:space="0" w:color="auto"/>
        <w:left w:val="none" w:sz="0" w:space="0" w:color="auto"/>
        <w:bottom w:val="none" w:sz="0" w:space="0" w:color="auto"/>
        <w:right w:val="none" w:sz="0" w:space="0" w:color="auto"/>
      </w:divBdr>
    </w:div>
    <w:div w:id="1143303953">
      <w:bodyDiv w:val="1"/>
      <w:marLeft w:val="0"/>
      <w:marRight w:val="0"/>
      <w:marTop w:val="0"/>
      <w:marBottom w:val="0"/>
      <w:divBdr>
        <w:top w:val="none" w:sz="0" w:space="0" w:color="auto"/>
        <w:left w:val="none" w:sz="0" w:space="0" w:color="auto"/>
        <w:bottom w:val="none" w:sz="0" w:space="0" w:color="auto"/>
        <w:right w:val="none" w:sz="0" w:space="0" w:color="auto"/>
      </w:divBdr>
      <w:divsChild>
        <w:div w:id="960262509">
          <w:marLeft w:val="0"/>
          <w:marRight w:val="0"/>
          <w:marTop w:val="0"/>
          <w:marBottom w:val="0"/>
          <w:divBdr>
            <w:top w:val="none" w:sz="0" w:space="0" w:color="auto"/>
            <w:left w:val="none" w:sz="0" w:space="0" w:color="auto"/>
            <w:bottom w:val="none" w:sz="0" w:space="0" w:color="auto"/>
            <w:right w:val="none" w:sz="0" w:space="0" w:color="auto"/>
          </w:divBdr>
          <w:divsChild>
            <w:div w:id="691340766">
              <w:marLeft w:val="0"/>
              <w:marRight w:val="0"/>
              <w:marTop w:val="0"/>
              <w:marBottom w:val="0"/>
              <w:divBdr>
                <w:top w:val="none" w:sz="0" w:space="0" w:color="auto"/>
                <w:left w:val="none" w:sz="0" w:space="0" w:color="auto"/>
                <w:bottom w:val="none" w:sz="0" w:space="0" w:color="auto"/>
                <w:right w:val="none" w:sz="0" w:space="0" w:color="auto"/>
              </w:divBdr>
            </w:div>
            <w:div w:id="1737389358">
              <w:marLeft w:val="0"/>
              <w:marRight w:val="0"/>
              <w:marTop w:val="0"/>
              <w:marBottom w:val="0"/>
              <w:divBdr>
                <w:top w:val="none" w:sz="0" w:space="0" w:color="auto"/>
                <w:left w:val="none" w:sz="0" w:space="0" w:color="auto"/>
                <w:bottom w:val="none" w:sz="0" w:space="0" w:color="auto"/>
                <w:right w:val="none" w:sz="0" w:space="0" w:color="auto"/>
              </w:divBdr>
            </w:div>
            <w:div w:id="1158573407">
              <w:marLeft w:val="0"/>
              <w:marRight w:val="0"/>
              <w:marTop w:val="0"/>
              <w:marBottom w:val="0"/>
              <w:divBdr>
                <w:top w:val="none" w:sz="0" w:space="0" w:color="auto"/>
                <w:left w:val="none" w:sz="0" w:space="0" w:color="auto"/>
                <w:bottom w:val="none" w:sz="0" w:space="0" w:color="auto"/>
                <w:right w:val="none" w:sz="0" w:space="0" w:color="auto"/>
              </w:divBdr>
            </w:div>
            <w:div w:id="565266929">
              <w:marLeft w:val="0"/>
              <w:marRight w:val="0"/>
              <w:marTop w:val="0"/>
              <w:marBottom w:val="0"/>
              <w:divBdr>
                <w:top w:val="none" w:sz="0" w:space="0" w:color="auto"/>
                <w:left w:val="none" w:sz="0" w:space="0" w:color="auto"/>
                <w:bottom w:val="none" w:sz="0" w:space="0" w:color="auto"/>
                <w:right w:val="none" w:sz="0" w:space="0" w:color="auto"/>
              </w:divBdr>
            </w:div>
          </w:divsChild>
        </w:div>
        <w:div w:id="1521701455">
          <w:marLeft w:val="0"/>
          <w:marRight w:val="0"/>
          <w:marTop w:val="0"/>
          <w:marBottom w:val="0"/>
          <w:divBdr>
            <w:top w:val="none" w:sz="0" w:space="0" w:color="auto"/>
            <w:left w:val="none" w:sz="0" w:space="0" w:color="auto"/>
            <w:bottom w:val="none" w:sz="0" w:space="0" w:color="auto"/>
            <w:right w:val="none" w:sz="0" w:space="0" w:color="auto"/>
          </w:divBdr>
          <w:divsChild>
            <w:div w:id="1466124461">
              <w:marLeft w:val="0"/>
              <w:marRight w:val="0"/>
              <w:marTop w:val="0"/>
              <w:marBottom w:val="0"/>
              <w:divBdr>
                <w:top w:val="none" w:sz="0" w:space="0" w:color="auto"/>
                <w:left w:val="none" w:sz="0" w:space="0" w:color="auto"/>
                <w:bottom w:val="none" w:sz="0" w:space="0" w:color="auto"/>
                <w:right w:val="none" w:sz="0" w:space="0" w:color="auto"/>
              </w:divBdr>
            </w:div>
            <w:div w:id="848787837">
              <w:marLeft w:val="0"/>
              <w:marRight w:val="0"/>
              <w:marTop w:val="0"/>
              <w:marBottom w:val="0"/>
              <w:divBdr>
                <w:top w:val="none" w:sz="0" w:space="0" w:color="auto"/>
                <w:left w:val="none" w:sz="0" w:space="0" w:color="auto"/>
                <w:bottom w:val="none" w:sz="0" w:space="0" w:color="auto"/>
                <w:right w:val="none" w:sz="0" w:space="0" w:color="auto"/>
              </w:divBdr>
            </w:div>
            <w:div w:id="1360005267">
              <w:marLeft w:val="0"/>
              <w:marRight w:val="0"/>
              <w:marTop w:val="0"/>
              <w:marBottom w:val="0"/>
              <w:divBdr>
                <w:top w:val="none" w:sz="0" w:space="0" w:color="auto"/>
                <w:left w:val="none" w:sz="0" w:space="0" w:color="auto"/>
                <w:bottom w:val="none" w:sz="0" w:space="0" w:color="auto"/>
                <w:right w:val="none" w:sz="0" w:space="0" w:color="auto"/>
              </w:divBdr>
            </w:div>
            <w:div w:id="494297534">
              <w:marLeft w:val="0"/>
              <w:marRight w:val="0"/>
              <w:marTop w:val="0"/>
              <w:marBottom w:val="0"/>
              <w:divBdr>
                <w:top w:val="none" w:sz="0" w:space="0" w:color="auto"/>
                <w:left w:val="none" w:sz="0" w:space="0" w:color="auto"/>
                <w:bottom w:val="none" w:sz="0" w:space="0" w:color="auto"/>
                <w:right w:val="none" w:sz="0" w:space="0" w:color="auto"/>
              </w:divBdr>
            </w:div>
            <w:div w:id="1528443686">
              <w:marLeft w:val="0"/>
              <w:marRight w:val="0"/>
              <w:marTop w:val="0"/>
              <w:marBottom w:val="0"/>
              <w:divBdr>
                <w:top w:val="none" w:sz="0" w:space="0" w:color="auto"/>
                <w:left w:val="none" w:sz="0" w:space="0" w:color="auto"/>
                <w:bottom w:val="none" w:sz="0" w:space="0" w:color="auto"/>
                <w:right w:val="none" w:sz="0" w:space="0" w:color="auto"/>
              </w:divBdr>
            </w:div>
            <w:div w:id="1208298877">
              <w:marLeft w:val="0"/>
              <w:marRight w:val="0"/>
              <w:marTop w:val="0"/>
              <w:marBottom w:val="0"/>
              <w:divBdr>
                <w:top w:val="none" w:sz="0" w:space="0" w:color="auto"/>
                <w:left w:val="none" w:sz="0" w:space="0" w:color="auto"/>
                <w:bottom w:val="none" w:sz="0" w:space="0" w:color="auto"/>
                <w:right w:val="none" w:sz="0" w:space="0" w:color="auto"/>
              </w:divBdr>
            </w:div>
            <w:div w:id="610357576">
              <w:marLeft w:val="0"/>
              <w:marRight w:val="0"/>
              <w:marTop w:val="0"/>
              <w:marBottom w:val="0"/>
              <w:divBdr>
                <w:top w:val="none" w:sz="0" w:space="0" w:color="auto"/>
                <w:left w:val="none" w:sz="0" w:space="0" w:color="auto"/>
                <w:bottom w:val="none" w:sz="0" w:space="0" w:color="auto"/>
                <w:right w:val="none" w:sz="0" w:space="0" w:color="auto"/>
              </w:divBdr>
            </w:div>
            <w:div w:id="1467430101">
              <w:marLeft w:val="0"/>
              <w:marRight w:val="0"/>
              <w:marTop w:val="0"/>
              <w:marBottom w:val="0"/>
              <w:divBdr>
                <w:top w:val="none" w:sz="0" w:space="0" w:color="auto"/>
                <w:left w:val="none" w:sz="0" w:space="0" w:color="auto"/>
                <w:bottom w:val="none" w:sz="0" w:space="0" w:color="auto"/>
                <w:right w:val="none" w:sz="0" w:space="0" w:color="auto"/>
              </w:divBdr>
            </w:div>
            <w:div w:id="1981030568">
              <w:marLeft w:val="0"/>
              <w:marRight w:val="0"/>
              <w:marTop w:val="0"/>
              <w:marBottom w:val="0"/>
              <w:divBdr>
                <w:top w:val="none" w:sz="0" w:space="0" w:color="auto"/>
                <w:left w:val="none" w:sz="0" w:space="0" w:color="auto"/>
                <w:bottom w:val="none" w:sz="0" w:space="0" w:color="auto"/>
                <w:right w:val="none" w:sz="0" w:space="0" w:color="auto"/>
              </w:divBdr>
            </w:div>
            <w:div w:id="1347100701">
              <w:marLeft w:val="0"/>
              <w:marRight w:val="0"/>
              <w:marTop w:val="0"/>
              <w:marBottom w:val="0"/>
              <w:divBdr>
                <w:top w:val="none" w:sz="0" w:space="0" w:color="auto"/>
                <w:left w:val="none" w:sz="0" w:space="0" w:color="auto"/>
                <w:bottom w:val="none" w:sz="0" w:space="0" w:color="auto"/>
                <w:right w:val="none" w:sz="0" w:space="0" w:color="auto"/>
              </w:divBdr>
            </w:div>
            <w:div w:id="2098360389">
              <w:marLeft w:val="0"/>
              <w:marRight w:val="0"/>
              <w:marTop w:val="0"/>
              <w:marBottom w:val="0"/>
              <w:divBdr>
                <w:top w:val="none" w:sz="0" w:space="0" w:color="auto"/>
                <w:left w:val="none" w:sz="0" w:space="0" w:color="auto"/>
                <w:bottom w:val="none" w:sz="0" w:space="0" w:color="auto"/>
                <w:right w:val="none" w:sz="0" w:space="0" w:color="auto"/>
              </w:divBdr>
            </w:div>
            <w:div w:id="832842571">
              <w:marLeft w:val="0"/>
              <w:marRight w:val="0"/>
              <w:marTop w:val="0"/>
              <w:marBottom w:val="0"/>
              <w:divBdr>
                <w:top w:val="none" w:sz="0" w:space="0" w:color="auto"/>
                <w:left w:val="none" w:sz="0" w:space="0" w:color="auto"/>
                <w:bottom w:val="none" w:sz="0" w:space="0" w:color="auto"/>
                <w:right w:val="none" w:sz="0" w:space="0" w:color="auto"/>
              </w:divBdr>
            </w:div>
            <w:div w:id="19134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632464">
      <w:bodyDiv w:val="1"/>
      <w:marLeft w:val="0"/>
      <w:marRight w:val="0"/>
      <w:marTop w:val="0"/>
      <w:marBottom w:val="0"/>
      <w:divBdr>
        <w:top w:val="none" w:sz="0" w:space="0" w:color="auto"/>
        <w:left w:val="none" w:sz="0" w:space="0" w:color="auto"/>
        <w:bottom w:val="none" w:sz="0" w:space="0" w:color="auto"/>
        <w:right w:val="none" w:sz="0" w:space="0" w:color="auto"/>
      </w:divBdr>
      <w:divsChild>
        <w:div w:id="162208041">
          <w:marLeft w:val="0"/>
          <w:marRight w:val="0"/>
          <w:marTop w:val="0"/>
          <w:marBottom w:val="0"/>
          <w:divBdr>
            <w:top w:val="none" w:sz="0" w:space="0" w:color="auto"/>
            <w:left w:val="none" w:sz="0" w:space="0" w:color="auto"/>
            <w:bottom w:val="none" w:sz="0" w:space="0" w:color="auto"/>
            <w:right w:val="none" w:sz="0" w:space="0" w:color="auto"/>
          </w:divBdr>
        </w:div>
        <w:div w:id="650251076">
          <w:marLeft w:val="0"/>
          <w:marRight w:val="0"/>
          <w:marTop w:val="0"/>
          <w:marBottom w:val="0"/>
          <w:divBdr>
            <w:top w:val="none" w:sz="0" w:space="0" w:color="auto"/>
            <w:left w:val="none" w:sz="0" w:space="0" w:color="auto"/>
            <w:bottom w:val="none" w:sz="0" w:space="0" w:color="auto"/>
            <w:right w:val="none" w:sz="0" w:space="0" w:color="auto"/>
          </w:divBdr>
        </w:div>
        <w:div w:id="752975552">
          <w:marLeft w:val="0"/>
          <w:marRight w:val="0"/>
          <w:marTop w:val="0"/>
          <w:marBottom w:val="0"/>
          <w:divBdr>
            <w:top w:val="none" w:sz="0" w:space="0" w:color="auto"/>
            <w:left w:val="none" w:sz="0" w:space="0" w:color="auto"/>
            <w:bottom w:val="none" w:sz="0" w:space="0" w:color="auto"/>
            <w:right w:val="none" w:sz="0" w:space="0" w:color="auto"/>
          </w:divBdr>
        </w:div>
        <w:div w:id="864291682">
          <w:marLeft w:val="0"/>
          <w:marRight w:val="0"/>
          <w:marTop w:val="0"/>
          <w:marBottom w:val="0"/>
          <w:divBdr>
            <w:top w:val="none" w:sz="0" w:space="0" w:color="auto"/>
            <w:left w:val="none" w:sz="0" w:space="0" w:color="auto"/>
            <w:bottom w:val="none" w:sz="0" w:space="0" w:color="auto"/>
            <w:right w:val="none" w:sz="0" w:space="0" w:color="auto"/>
          </w:divBdr>
        </w:div>
        <w:div w:id="1005788270">
          <w:marLeft w:val="0"/>
          <w:marRight w:val="0"/>
          <w:marTop w:val="0"/>
          <w:marBottom w:val="0"/>
          <w:divBdr>
            <w:top w:val="none" w:sz="0" w:space="0" w:color="auto"/>
            <w:left w:val="none" w:sz="0" w:space="0" w:color="auto"/>
            <w:bottom w:val="none" w:sz="0" w:space="0" w:color="auto"/>
            <w:right w:val="none" w:sz="0" w:space="0" w:color="auto"/>
          </w:divBdr>
        </w:div>
        <w:div w:id="1910921593">
          <w:marLeft w:val="0"/>
          <w:marRight w:val="0"/>
          <w:marTop w:val="0"/>
          <w:marBottom w:val="0"/>
          <w:divBdr>
            <w:top w:val="none" w:sz="0" w:space="0" w:color="auto"/>
            <w:left w:val="none" w:sz="0" w:space="0" w:color="auto"/>
            <w:bottom w:val="none" w:sz="0" w:space="0" w:color="auto"/>
            <w:right w:val="none" w:sz="0" w:space="0" w:color="auto"/>
          </w:divBdr>
        </w:div>
      </w:divsChild>
    </w:div>
    <w:div w:id="1150905183">
      <w:bodyDiv w:val="1"/>
      <w:marLeft w:val="0"/>
      <w:marRight w:val="0"/>
      <w:marTop w:val="0"/>
      <w:marBottom w:val="0"/>
      <w:divBdr>
        <w:top w:val="none" w:sz="0" w:space="0" w:color="auto"/>
        <w:left w:val="none" w:sz="0" w:space="0" w:color="auto"/>
        <w:bottom w:val="none" w:sz="0" w:space="0" w:color="auto"/>
        <w:right w:val="none" w:sz="0" w:space="0" w:color="auto"/>
      </w:divBdr>
    </w:div>
    <w:div w:id="1177766226">
      <w:bodyDiv w:val="1"/>
      <w:marLeft w:val="0"/>
      <w:marRight w:val="0"/>
      <w:marTop w:val="0"/>
      <w:marBottom w:val="0"/>
      <w:divBdr>
        <w:top w:val="none" w:sz="0" w:space="0" w:color="auto"/>
        <w:left w:val="none" w:sz="0" w:space="0" w:color="auto"/>
        <w:bottom w:val="none" w:sz="0" w:space="0" w:color="auto"/>
        <w:right w:val="none" w:sz="0" w:space="0" w:color="auto"/>
      </w:divBdr>
    </w:div>
    <w:div w:id="1180856330">
      <w:bodyDiv w:val="1"/>
      <w:marLeft w:val="0"/>
      <w:marRight w:val="0"/>
      <w:marTop w:val="0"/>
      <w:marBottom w:val="0"/>
      <w:divBdr>
        <w:top w:val="none" w:sz="0" w:space="0" w:color="auto"/>
        <w:left w:val="none" w:sz="0" w:space="0" w:color="auto"/>
        <w:bottom w:val="none" w:sz="0" w:space="0" w:color="auto"/>
        <w:right w:val="none" w:sz="0" w:space="0" w:color="auto"/>
      </w:divBdr>
      <w:divsChild>
        <w:div w:id="1906180793">
          <w:marLeft w:val="0"/>
          <w:marRight w:val="0"/>
          <w:marTop w:val="0"/>
          <w:marBottom w:val="0"/>
          <w:divBdr>
            <w:top w:val="none" w:sz="0" w:space="0" w:color="auto"/>
            <w:left w:val="none" w:sz="0" w:space="0" w:color="auto"/>
            <w:bottom w:val="none" w:sz="0" w:space="0" w:color="auto"/>
            <w:right w:val="none" w:sz="0" w:space="0" w:color="auto"/>
          </w:divBdr>
          <w:divsChild>
            <w:div w:id="605429273">
              <w:marLeft w:val="0"/>
              <w:marRight w:val="0"/>
              <w:marTop w:val="0"/>
              <w:marBottom w:val="0"/>
              <w:divBdr>
                <w:top w:val="none" w:sz="0" w:space="0" w:color="auto"/>
                <w:left w:val="none" w:sz="0" w:space="0" w:color="auto"/>
                <w:bottom w:val="none" w:sz="0" w:space="0" w:color="auto"/>
                <w:right w:val="none" w:sz="0" w:space="0" w:color="auto"/>
              </w:divBdr>
            </w:div>
            <w:div w:id="313996625">
              <w:marLeft w:val="0"/>
              <w:marRight w:val="0"/>
              <w:marTop w:val="0"/>
              <w:marBottom w:val="0"/>
              <w:divBdr>
                <w:top w:val="none" w:sz="0" w:space="0" w:color="auto"/>
                <w:left w:val="none" w:sz="0" w:space="0" w:color="auto"/>
                <w:bottom w:val="none" w:sz="0" w:space="0" w:color="auto"/>
                <w:right w:val="none" w:sz="0" w:space="0" w:color="auto"/>
              </w:divBdr>
            </w:div>
            <w:div w:id="1622347697">
              <w:marLeft w:val="0"/>
              <w:marRight w:val="0"/>
              <w:marTop w:val="0"/>
              <w:marBottom w:val="0"/>
              <w:divBdr>
                <w:top w:val="none" w:sz="0" w:space="0" w:color="auto"/>
                <w:left w:val="none" w:sz="0" w:space="0" w:color="auto"/>
                <w:bottom w:val="none" w:sz="0" w:space="0" w:color="auto"/>
                <w:right w:val="none" w:sz="0" w:space="0" w:color="auto"/>
              </w:divBdr>
            </w:div>
            <w:div w:id="1119421587">
              <w:marLeft w:val="0"/>
              <w:marRight w:val="0"/>
              <w:marTop w:val="0"/>
              <w:marBottom w:val="0"/>
              <w:divBdr>
                <w:top w:val="none" w:sz="0" w:space="0" w:color="auto"/>
                <w:left w:val="none" w:sz="0" w:space="0" w:color="auto"/>
                <w:bottom w:val="none" w:sz="0" w:space="0" w:color="auto"/>
                <w:right w:val="none" w:sz="0" w:space="0" w:color="auto"/>
              </w:divBdr>
            </w:div>
          </w:divsChild>
        </w:div>
        <w:div w:id="394818556">
          <w:marLeft w:val="0"/>
          <w:marRight w:val="0"/>
          <w:marTop w:val="0"/>
          <w:marBottom w:val="0"/>
          <w:divBdr>
            <w:top w:val="none" w:sz="0" w:space="0" w:color="auto"/>
            <w:left w:val="none" w:sz="0" w:space="0" w:color="auto"/>
            <w:bottom w:val="none" w:sz="0" w:space="0" w:color="auto"/>
            <w:right w:val="none" w:sz="0" w:space="0" w:color="auto"/>
          </w:divBdr>
          <w:divsChild>
            <w:div w:id="270404308">
              <w:marLeft w:val="0"/>
              <w:marRight w:val="0"/>
              <w:marTop w:val="0"/>
              <w:marBottom w:val="0"/>
              <w:divBdr>
                <w:top w:val="none" w:sz="0" w:space="0" w:color="auto"/>
                <w:left w:val="none" w:sz="0" w:space="0" w:color="auto"/>
                <w:bottom w:val="none" w:sz="0" w:space="0" w:color="auto"/>
                <w:right w:val="none" w:sz="0" w:space="0" w:color="auto"/>
              </w:divBdr>
            </w:div>
            <w:div w:id="1893927753">
              <w:marLeft w:val="0"/>
              <w:marRight w:val="0"/>
              <w:marTop w:val="0"/>
              <w:marBottom w:val="0"/>
              <w:divBdr>
                <w:top w:val="none" w:sz="0" w:space="0" w:color="auto"/>
                <w:left w:val="none" w:sz="0" w:space="0" w:color="auto"/>
                <w:bottom w:val="none" w:sz="0" w:space="0" w:color="auto"/>
                <w:right w:val="none" w:sz="0" w:space="0" w:color="auto"/>
              </w:divBdr>
            </w:div>
            <w:div w:id="81604328">
              <w:marLeft w:val="0"/>
              <w:marRight w:val="0"/>
              <w:marTop w:val="0"/>
              <w:marBottom w:val="0"/>
              <w:divBdr>
                <w:top w:val="none" w:sz="0" w:space="0" w:color="auto"/>
                <w:left w:val="none" w:sz="0" w:space="0" w:color="auto"/>
                <w:bottom w:val="none" w:sz="0" w:space="0" w:color="auto"/>
                <w:right w:val="none" w:sz="0" w:space="0" w:color="auto"/>
              </w:divBdr>
            </w:div>
            <w:div w:id="1579752362">
              <w:marLeft w:val="0"/>
              <w:marRight w:val="0"/>
              <w:marTop w:val="0"/>
              <w:marBottom w:val="0"/>
              <w:divBdr>
                <w:top w:val="none" w:sz="0" w:space="0" w:color="auto"/>
                <w:left w:val="none" w:sz="0" w:space="0" w:color="auto"/>
                <w:bottom w:val="none" w:sz="0" w:space="0" w:color="auto"/>
                <w:right w:val="none" w:sz="0" w:space="0" w:color="auto"/>
              </w:divBdr>
            </w:div>
            <w:div w:id="1521814003">
              <w:marLeft w:val="0"/>
              <w:marRight w:val="0"/>
              <w:marTop w:val="0"/>
              <w:marBottom w:val="0"/>
              <w:divBdr>
                <w:top w:val="none" w:sz="0" w:space="0" w:color="auto"/>
                <w:left w:val="none" w:sz="0" w:space="0" w:color="auto"/>
                <w:bottom w:val="none" w:sz="0" w:space="0" w:color="auto"/>
                <w:right w:val="none" w:sz="0" w:space="0" w:color="auto"/>
              </w:divBdr>
            </w:div>
            <w:div w:id="1002898016">
              <w:marLeft w:val="0"/>
              <w:marRight w:val="0"/>
              <w:marTop w:val="0"/>
              <w:marBottom w:val="0"/>
              <w:divBdr>
                <w:top w:val="none" w:sz="0" w:space="0" w:color="auto"/>
                <w:left w:val="none" w:sz="0" w:space="0" w:color="auto"/>
                <w:bottom w:val="none" w:sz="0" w:space="0" w:color="auto"/>
                <w:right w:val="none" w:sz="0" w:space="0" w:color="auto"/>
              </w:divBdr>
            </w:div>
            <w:div w:id="767312665">
              <w:marLeft w:val="0"/>
              <w:marRight w:val="0"/>
              <w:marTop w:val="0"/>
              <w:marBottom w:val="0"/>
              <w:divBdr>
                <w:top w:val="none" w:sz="0" w:space="0" w:color="auto"/>
                <w:left w:val="none" w:sz="0" w:space="0" w:color="auto"/>
                <w:bottom w:val="none" w:sz="0" w:space="0" w:color="auto"/>
                <w:right w:val="none" w:sz="0" w:space="0" w:color="auto"/>
              </w:divBdr>
            </w:div>
            <w:div w:id="1095327269">
              <w:marLeft w:val="0"/>
              <w:marRight w:val="0"/>
              <w:marTop w:val="0"/>
              <w:marBottom w:val="0"/>
              <w:divBdr>
                <w:top w:val="none" w:sz="0" w:space="0" w:color="auto"/>
                <w:left w:val="none" w:sz="0" w:space="0" w:color="auto"/>
                <w:bottom w:val="none" w:sz="0" w:space="0" w:color="auto"/>
                <w:right w:val="none" w:sz="0" w:space="0" w:color="auto"/>
              </w:divBdr>
            </w:div>
            <w:div w:id="1178345108">
              <w:marLeft w:val="0"/>
              <w:marRight w:val="0"/>
              <w:marTop w:val="0"/>
              <w:marBottom w:val="0"/>
              <w:divBdr>
                <w:top w:val="none" w:sz="0" w:space="0" w:color="auto"/>
                <w:left w:val="none" w:sz="0" w:space="0" w:color="auto"/>
                <w:bottom w:val="none" w:sz="0" w:space="0" w:color="auto"/>
                <w:right w:val="none" w:sz="0" w:space="0" w:color="auto"/>
              </w:divBdr>
            </w:div>
            <w:div w:id="762724294">
              <w:marLeft w:val="0"/>
              <w:marRight w:val="0"/>
              <w:marTop w:val="0"/>
              <w:marBottom w:val="0"/>
              <w:divBdr>
                <w:top w:val="none" w:sz="0" w:space="0" w:color="auto"/>
                <w:left w:val="none" w:sz="0" w:space="0" w:color="auto"/>
                <w:bottom w:val="none" w:sz="0" w:space="0" w:color="auto"/>
                <w:right w:val="none" w:sz="0" w:space="0" w:color="auto"/>
              </w:divBdr>
            </w:div>
            <w:div w:id="935946108">
              <w:marLeft w:val="0"/>
              <w:marRight w:val="0"/>
              <w:marTop w:val="0"/>
              <w:marBottom w:val="0"/>
              <w:divBdr>
                <w:top w:val="none" w:sz="0" w:space="0" w:color="auto"/>
                <w:left w:val="none" w:sz="0" w:space="0" w:color="auto"/>
                <w:bottom w:val="none" w:sz="0" w:space="0" w:color="auto"/>
                <w:right w:val="none" w:sz="0" w:space="0" w:color="auto"/>
              </w:divBdr>
            </w:div>
            <w:div w:id="809980886">
              <w:marLeft w:val="0"/>
              <w:marRight w:val="0"/>
              <w:marTop w:val="0"/>
              <w:marBottom w:val="0"/>
              <w:divBdr>
                <w:top w:val="none" w:sz="0" w:space="0" w:color="auto"/>
                <w:left w:val="none" w:sz="0" w:space="0" w:color="auto"/>
                <w:bottom w:val="none" w:sz="0" w:space="0" w:color="auto"/>
                <w:right w:val="none" w:sz="0" w:space="0" w:color="auto"/>
              </w:divBdr>
            </w:div>
            <w:div w:id="15518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619918">
      <w:bodyDiv w:val="1"/>
      <w:marLeft w:val="0"/>
      <w:marRight w:val="0"/>
      <w:marTop w:val="0"/>
      <w:marBottom w:val="0"/>
      <w:divBdr>
        <w:top w:val="none" w:sz="0" w:space="0" w:color="auto"/>
        <w:left w:val="none" w:sz="0" w:space="0" w:color="auto"/>
        <w:bottom w:val="none" w:sz="0" w:space="0" w:color="auto"/>
        <w:right w:val="none" w:sz="0" w:space="0" w:color="auto"/>
      </w:divBdr>
    </w:div>
    <w:div w:id="1220556118">
      <w:bodyDiv w:val="1"/>
      <w:marLeft w:val="0"/>
      <w:marRight w:val="0"/>
      <w:marTop w:val="0"/>
      <w:marBottom w:val="0"/>
      <w:divBdr>
        <w:top w:val="none" w:sz="0" w:space="0" w:color="auto"/>
        <w:left w:val="none" w:sz="0" w:space="0" w:color="auto"/>
        <w:bottom w:val="none" w:sz="0" w:space="0" w:color="auto"/>
        <w:right w:val="none" w:sz="0" w:space="0" w:color="auto"/>
      </w:divBdr>
      <w:divsChild>
        <w:div w:id="695154409">
          <w:marLeft w:val="-180"/>
          <w:marRight w:val="-180"/>
          <w:marTop w:val="180"/>
          <w:marBottom w:val="0"/>
          <w:divBdr>
            <w:top w:val="none" w:sz="0" w:space="0" w:color="auto"/>
            <w:left w:val="none" w:sz="0" w:space="0" w:color="auto"/>
            <w:bottom w:val="none" w:sz="0" w:space="0" w:color="auto"/>
            <w:right w:val="none" w:sz="0" w:space="0" w:color="auto"/>
          </w:divBdr>
          <w:divsChild>
            <w:div w:id="6473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303731">
      <w:bodyDiv w:val="1"/>
      <w:marLeft w:val="0"/>
      <w:marRight w:val="0"/>
      <w:marTop w:val="0"/>
      <w:marBottom w:val="0"/>
      <w:divBdr>
        <w:top w:val="none" w:sz="0" w:space="0" w:color="auto"/>
        <w:left w:val="none" w:sz="0" w:space="0" w:color="auto"/>
        <w:bottom w:val="none" w:sz="0" w:space="0" w:color="auto"/>
        <w:right w:val="none" w:sz="0" w:space="0" w:color="auto"/>
      </w:divBdr>
      <w:divsChild>
        <w:div w:id="15353019">
          <w:marLeft w:val="0"/>
          <w:marRight w:val="0"/>
          <w:marTop w:val="0"/>
          <w:marBottom w:val="0"/>
          <w:divBdr>
            <w:top w:val="none" w:sz="0" w:space="0" w:color="auto"/>
            <w:left w:val="none" w:sz="0" w:space="0" w:color="auto"/>
            <w:bottom w:val="none" w:sz="0" w:space="0" w:color="auto"/>
            <w:right w:val="none" w:sz="0" w:space="0" w:color="auto"/>
          </w:divBdr>
        </w:div>
        <w:div w:id="25716281">
          <w:marLeft w:val="0"/>
          <w:marRight w:val="0"/>
          <w:marTop w:val="0"/>
          <w:marBottom w:val="0"/>
          <w:divBdr>
            <w:top w:val="none" w:sz="0" w:space="0" w:color="auto"/>
            <w:left w:val="none" w:sz="0" w:space="0" w:color="auto"/>
            <w:bottom w:val="none" w:sz="0" w:space="0" w:color="auto"/>
            <w:right w:val="none" w:sz="0" w:space="0" w:color="auto"/>
          </w:divBdr>
        </w:div>
        <w:div w:id="191117465">
          <w:marLeft w:val="0"/>
          <w:marRight w:val="0"/>
          <w:marTop w:val="0"/>
          <w:marBottom w:val="0"/>
          <w:divBdr>
            <w:top w:val="none" w:sz="0" w:space="0" w:color="auto"/>
            <w:left w:val="none" w:sz="0" w:space="0" w:color="auto"/>
            <w:bottom w:val="none" w:sz="0" w:space="0" w:color="auto"/>
            <w:right w:val="none" w:sz="0" w:space="0" w:color="auto"/>
          </w:divBdr>
        </w:div>
        <w:div w:id="258174483">
          <w:marLeft w:val="0"/>
          <w:marRight w:val="0"/>
          <w:marTop w:val="0"/>
          <w:marBottom w:val="0"/>
          <w:divBdr>
            <w:top w:val="none" w:sz="0" w:space="0" w:color="auto"/>
            <w:left w:val="none" w:sz="0" w:space="0" w:color="auto"/>
            <w:bottom w:val="none" w:sz="0" w:space="0" w:color="auto"/>
            <w:right w:val="none" w:sz="0" w:space="0" w:color="auto"/>
          </w:divBdr>
        </w:div>
        <w:div w:id="399139531">
          <w:marLeft w:val="0"/>
          <w:marRight w:val="0"/>
          <w:marTop w:val="0"/>
          <w:marBottom w:val="0"/>
          <w:divBdr>
            <w:top w:val="none" w:sz="0" w:space="0" w:color="auto"/>
            <w:left w:val="none" w:sz="0" w:space="0" w:color="auto"/>
            <w:bottom w:val="none" w:sz="0" w:space="0" w:color="auto"/>
            <w:right w:val="none" w:sz="0" w:space="0" w:color="auto"/>
          </w:divBdr>
        </w:div>
        <w:div w:id="405760685">
          <w:marLeft w:val="0"/>
          <w:marRight w:val="0"/>
          <w:marTop w:val="0"/>
          <w:marBottom w:val="0"/>
          <w:divBdr>
            <w:top w:val="none" w:sz="0" w:space="0" w:color="auto"/>
            <w:left w:val="none" w:sz="0" w:space="0" w:color="auto"/>
            <w:bottom w:val="none" w:sz="0" w:space="0" w:color="auto"/>
            <w:right w:val="none" w:sz="0" w:space="0" w:color="auto"/>
          </w:divBdr>
        </w:div>
        <w:div w:id="431364599">
          <w:marLeft w:val="0"/>
          <w:marRight w:val="0"/>
          <w:marTop w:val="0"/>
          <w:marBottom w:val="0"/>
          <w:divBdr>
            <w:top w:val="none" w:sz="0" w:space="0" w:color="auto"/>
            <w:left w:val="none" w:sz="0" w:space="0" w:color="auto"/>
            <w:bottom w:val="none" w:sz="0" w:space="0" w:color="auto"/>
            <w:right w:val="none" w:sz="0" w:space="0" w:color="auto"/>
          </w:divBdr>
        </w:div>
        <w:div w:id="469326021">
          <w:marLeft w:val="0"/>
          <w:marRight w:val="0"/>
          <w:marTop w:val="0"/>
          <w:marBottom w:val="0"/>
          <w:divBdr>
            <w:top w:val="none" w:sz="0" w:space="0" w:color="auto"/>
            <w:left w:val="none" w:sz="0" w:space="0" w:color="auto"/>
            <w:bottom w:val="none" w:sz="0" w:space="0" w:color="auto"/>
            <w:right w:val="none" w:sz="0" w:space="0" w:color="auto"/>
          </w:divBdr>
        </w:div>
        <w:div w:id="629436773">
          <w:marLeft w:val="0"/>
          <w:marRight w:val="0"/>
          <w:marTop w:val="0"/>
          <w:marBottom w:val="0"/>
          <w:divBdr>
            <w:top w:val="none" w:sz="0" w:space="0" w:color="auto"/>
            <w:left w:val="none" w:sz="0" w:space="0" w:color="auto"/>
            <w:bottom w:val="none" w:sz="0" w:space="0" w:color="auto"/>
            <w:right w:val="none" w:sz="0" w:space="0" w:color="auto"/>
          </w:divBdr>
        </w:div>
        <w:div w:id="880049030">
          <w:marLeft w:val="0"/>
          <w:marRight w:val="0"/>
          <w:marTop w:val="0"/>
          <w:marBottom w:val="0"/>
          <w:divBdr>
            <w:top w:val="none" w:sz="0" w:space="0" w:color="auto"/>
            <w:left w:val="none" w:sz="0" w:space="0" w:color="auto"/>
            <w:bottom w:val="none" w:sz="0" w:space="0" w:color="auto"/>
            <w:right w:val="none" w:sz="0" w:space="0" w:color="auto"/>
          </w:divBdr>
        </w:div>
        <w:div w:id="998771881">
          <w:marLeft w:val="0"/>
          <w:marRight w:val="0"/>
          <w:marTop w:val="0"/>
          <w:marBottom w:val="0"/>
          <w:divBdr>
            <w:top w:val="none" w:sz="0" w:space="0" w:color="auto"/>
            <w:left w:val="none" w:sz="0" w:space="0" w:color="auto"/>
            <w:bottom w:val="none" w:sz="0" w:space="0" w:color="auto"/>
            <w:right w:val="none" w:sz="0" w:space="0" w:color="auto"/>
          </w:divBdr>
        </w:div>
        <w:div w:id="1035694760">
          <w:marLeft w:val="0"/>
          <w:marRight w:val="0"/>
          <w:marTop w:val="0"/>
          <w:marBottom w:val="0"/>
          <w:divBdr>
            <w:top w:val="none" w:sz="0" w:space="0" w:color="auto"/>
            <w:left w:val="none" w:sz="0" w:space="0" w:color="auto"/>
            <w:bottom w:val="none" w:sz="0" w:space="0" w:color="auto"/>
            <w:right w:val="none" w:sz="0" w:space="0" w:color="auto"/>
          </w:divBdr>
        </w:div>
        <w:div w:id="1091125152">
          <w:marLeft w:val="0"/>
          <w:marRight w:val="0"/>
          <w:marTop w:val="0"/>
          <w:marBottom w:val="0"/>
          <w:divBdr>
            <w:top w:val="none" w:sz="0" w:space="0" w:color="auto"/>
            <w:left w:val="none" w:sz="0" w:space="0" w:color="auto"/>
            <w:bottom w:val="none" w:sz="0" w:space="0" w:color="auto"/>
            <w:right w:val="none" w:sz="0" w:space="0" w:color="auto"/>
          </w:divBdr>
        </w:div>
        <w:div w:id="1190294680">
          <w:marLeft w:val="0"/>
          <w:marRight w:val="0"/>
          <w:marTop w:val="0"/>
          <w:marBottom w:val="0"/>
          <w:divBdr>
            <w:top w:val="none" w:sz="0" w:space="0" w:color="auto"/>
            <w:left w:val="none" w:sz="0" w:space="0" w:color="auto"/>
            <w:bottom w:val="none" w:sz="0" w:space="0" w:color="auto"/>
            <w:right w:val="none" w:sz="0" w:space="0" w:color="auto"/>
          </w:divBdr>
        </w:div>
        <w:div w:id="1315451751">
          <w:marLeft w:val="0"/>
          <w:marRight w:val="0"/>
          <w:marTop w:val="0"/>
          <w:marBottom w:val="0"/>
          <w:divBdr>
            <w:top w:val="none" w:sz="0" w:space="0" w:color="auto"/>
            <w:left w:val="none" w:sz="0" w:space="0" w:color="auto"/>
            <w:bottom w:val="none" w:sz="0" w:space="0" w:color="auto"/>
            <w:right w:val="none" w:sz="0" w:space="0" w:color="auto"/>
          </w:divBdr>
        </w:div>
        <w:div w:id="1330643242">
          <w:marLeft w:val="0"/>
          <w:marRight w:val="0"/>
          <w:marTop w:val="0"/>
          <w:marBottom w:val="0"/>
          <w:divBdr>
            <w:top w:val="none" w:sz="0" w:space="0" w:color="auto"/>
            <w:left w:val="none" w:sz="0" w:space="0" w:color="auto"/>
            <w:bottom w:val="none" w:sz="0" w:space="0" w:color="auto"/>
            <w:right w:val="none" w:sz="0" w:space="0" w:color="auto"/>
          </w:divBdr>
        </w:div>
        <w:div w:id="1415321442">
          <w:marLeft w:val="0"/>
          <w:marRight w:val="0"/>
          <w:marTop w:val="0"/>
          <w:marBottom w:val="0"/>
          <w:divBdr>
            <w:top w:val="none" w:sz="0" w:space="0" w:color="auto"/>
            <w:left w:val="none" w:sz="0" w:space="0" w:color="auto"/>
            <w:bottom w:val="none" w:sz="0" w:space="0" w:color="auto"/>
            <w:right w:val="none" w:sz="0" w:space="0" w:color="auto"/>
          </w:divBdr>
        </w:div>
        <w:div w:id="1473788369">
          <w:marLeft w:val="0"/>
          <w:marRight w:val="0"/>
          <w:marTop w:val="0"/>
          <w:marBottom w:val="0"/>
          <w:divBdr>
            <w:top w:val="none" w:sz="0" w:space="0" w:color="auto"/>
            <w:left w:val="none" w:sz="0" w:space="0" w:color="auto"/>
            <w:bottom w:val="none" w:sz="0" w:space="0" w:color="auto"/>
            <w:right w:val="none" w:sz="0" w:space="0" w:color="auto"/>
          </w:divBdr>
        </w:div>
        <w:div w:id="1517646515">
          <w:marLeft w:val="0"/>
          <w:marRight w:val="0"/>
          <w:marTop w:val="0"/>
          <w:marBottom w:val="0"/>
          <w:divBdr>
            <w:top w:val="none" w:sz="0" w:space="0" w:color="auto"/>
            <w:left w:val="none" w:sz="0" w:space="0" w:color="auto"/>
            <w:bottom w:val="none" w:sz="0" w:space="0" w:color="auto"/>
            <w:right w:val="none" w:sz="0" w:space="0" w:color="auto"/>
          </w:divBdr>
        </w:div>
        <w:div w:id="1614167668">
          <w:marLeft w:val="0"/>
          <w:marRight w:val="0"/>
          <w:marTop w:val="0"/>
          <w:marBottom w:val="0"/>
          <w:divBdr>
            <w:top w:val="none" w:sz="0" w:space="0" w:color="auto"/>
            <w:left w:val="none" w:sz="0" w:space="0" w:color="auto"/>
            <w:bottom w:val="none" w:sz="0" w:space="0" w:color="auto"/>
            <w:right w:val="none" w:sz="0" w:space="0" w:color="auto"/>
          </w:divBdr>
        </w:div>
        <w:div w:id="1628510130">
          <w:marLeft w:val="0"/>
          <w:marRight w:val="0"/>
          <w:marTop w:val="0"/>
          <w:marBottom w:val="0"/>
          <w:divBdr>
            <w:top w:val="none" w:sz="0" w:space="0" w:color="auto"/>
            <w:left w:val="none" w:sz="0" w:space="0" w:color="auto"/>
            <w:bottom w:val="none" w:sz="0" w:space="0" w:color="auto"/>
            <w:right w:val="none" w:sz="0" w:space="0" w:color="auto"/>
          </w:divBdr>
        </w:div>
        <w:div w:id="1712456572">
          <w:marLeft w:val="0"/>
          <w:marRight w:val="0"/>
          <w:marTop w:val="0"/>
          <w:marBottom w:val="0"/>
          <w:divBdr>
            <w:top w:val="none" w:sz="0" w:space="0" w:color="auto"/>
            <w:left w:val="none" w:sz="0" w:space="0" w:color="auto"/>
            <w:bottom w:val="none" w:sz="0" w:space="0" w:color="auto"/>
            <w:right w:val="none" w:sz="0" w:space="0" w:color="auto"/>
          </w:divBdr>
        </w:div>
        <w:div w:id="1714229910">
          <w:marLeft w:val="0"/>
          <w:marRight w:val="0"/>
          <w:marTop w:val="0"/>
          <w:marBottom w:val="0"/>
          <w:divBdr>
            <w:top w:val="none" w:sz="0" w:space="0" w:color="auto"/>
            <w:left w:val="none" w:sz="0" w:space="0" w:color="auto"/>
            <w:bottom w:val="none" w:sz="0" w:space="0" w:color="auto"/>
            <w:right w:val="none" w:sz="0" w:space="0" w:color="auto"/>
          </w:divBdr>
        </w:div>
        <w:div w:id="1824006334">
          <w:marLeft w:val="0"/>
          <w:marRight w:val="0"/>
          <w:marTop w:val="0"/>
          <w:marBottom w:val="0"/>
          <w:divBdr>
            <w:top w:val="none" w:sz="0" w:space="0" w:color="auto"/>
            <w:left w:val="none" w:sz="0" w:space="0" w:color="auto"/>
            <w:bottom w:val="none" w:sz="0" w:space="0" w:color="auto"/>
            <w:right w:val="none" w:sz="0" w:space="0" w:color="auto"/>
          </w:divBdr>
        </w:div>
        <w:div w:id="1842114030">
          <w:marLeft w:val="0"/>
          <w:marRight w:val="0"/>
          <w:marTop w:val="0"/>
          <w:marBottom w:val="0"/>
          <w:divBdr>
            <w:top w:val="none" w:sz="0" w:space="0" w:color="auto"/>
            <w:left w:val="none" w:sz="0" w:space="0" w:color="auto"/>
            <w:bottom w:val="none" w:sz="0" w:space="0" w:color="auto"/>
            <w:right w:val="none" w:sz="0" w:space="0" w:color="auto"/>
          </w:divBdr>
        </w:div>
        <w:div w:id="1895240067">
          <w:marLeft w:val="0"/>
          <w:marRight w:val="0"/>
          <w:marTop w:val="0"/>
          <w:marBottom w:val="0"/>
          <w:divBdr>
            <w:top w:val="none" w:sz="0" w:space="0" w:color="auto"/>
            <w:left w:val="none" w:sz="0" w:space="0" w:color="auto"/>
            <w:bottom w:val="none" w:sz="0" w:space="0" w:color="auto"/>
            <w:right w:val="none" w:sz="0" w:space="0" w:color="auto"/>
          </w:divBdr>
        </w:div>
        <w:div w:id="1898348042">
          <w:marLeft w:val="0"/>
          <w:marRight w:val="0"/>
          <w:marTop w:val="0"/>
          <w:marBottom w:val="0"/>
          <w:divBdr>
            <w:top w:val="none" w:sz="0" w:space="0" w:color="auto"/>
            <w:left w:val="none" w:sz="0" w:space="0" w:color="auto"/>
            <w:bottom w:val="none" w:sz="0" w:space="0" w:color="auto"/>
            <w:right w:val="none" w:sz="0" w:space="0" w:color="auto"/>
          </w:divBdr>
        </w:div>
        <w:div w:id="1908224933">
          <w:marLeft w:val="0"/>
          <w:marRight w:val="0"/>
          <w:marTop w:val="0"/>
          <w:marBottom w:val="0"/>
          <w:divBdr>
            <w:top w:val="none" w:sz="0" w:space="0" w:color="auto"/>
            <w:left w:val="none" w:sz="0" w:space="0" w:color="auto"/>
            <w:bottom w:val="none" w:sz="0" w:space="0" w:color="auto"/>
            <w:right w:val="none" w:sz="0" w:space="0" w:color="auto"/>
          </w:divBdr>
        </w:div>
        <w:div w:id="1987318848">
          <w:marLeft w:val="0"/>
          <w:marRight w:val="0"/>
          <w:marTop w:val="0"/>
          <w:marBottom w:val="0"/>
          <w:divBdr>
            <w:top w:val="none" w:sz="0" w:space="0" w:color="auto"/>
            <w:left w:val="none" w:sz="0" w:space="0" w:color="auto"/>
            <w:bottom w:val="none" w:sz="0" w:space="0" w:color="auto"/>
            <w:right w:val="none" w:sz="0" w:space="0" w:color="auto"/>
          </w:divBdr>
        </w:div>
        <w:div w:id="1989822568">
          <w:marLeft w:val="0"/>
          <w:marRight w:val="0"/>
          <w:marTop w:val="0"/>
          <w:marBottom w:val="0"/>
          <w:divBdr>
            <w:top w:val="none" w:sz="0" w:space="0" w:color="auto"/>
            <w:left w:val="none" w:sz="0" w:space="0" w:color="auto"/>
            <w:bottom w:val="none" w:sz="0" w:space="0" w:color="auto"/>
            <w:right w:val="none" w:sz="0" w:space="0" w:color="auto"/>
          </w:divBdr>
        </w:div>
        <w:div w:id="2102797078">
          <w:marLeft w:val="0"/>
          <w:marRight w:val="0"/>
          <w:marTop w:val="0"/>
          <w:marBottom w:val="0"/>
          <w:divBdr>
            <w:top w:val="none" w:sz="0" w:space="0" w:color="auto"/>
            <w:left w:val="none" w:sz="0" w:space="0" w:color="auto"/>
            <w:bottom w:val="none" w:sz="0" w:space="0" w:color="auto"/>
            <w:right w:val="none" w:sz="0" w:space="0" w:color="auto"/>
          </w:divBdr>
        </w:div>
        <w:div w:id="2109890510">
          <w:marLeft w:val="0"/>
          <w:marRight w:val="0"/>
          <w:marTop w:val="0"/>
          <w:marBottom w:val="0"/>
          <w:divBdr>
            <w:top w:val="none" w:sz="0" w:space="0" w:color="auto"/>
            <w:left w:val="none" w:sz="0" w:space="0" w:color="auto"/>
            <w:bottom w:val="none" w:sz="0" w:space="0" w:color="auto"/>
            <w:right w:val="none" w:sz="0" w:space="0" w:color="auto"/>
          </w:divBdr>
        </w:div>
      </w:divsChild>
    </w:div>
    <w:div w:id="1236477134">
      <w:bodyDiv w:val="1"/>
      <w:marLeft w:val="0"/>
      <w:marRight w:val="0"/>
      <w:marTop w:val="0"/>
      <w:marBottom w:val="0"/>
      <w:divBdr>
        <w:top w:val="none" w:sz="0" w:space="0" w:color="auto"/>
        <w:left w:val="none" w:sz="0" w:space="0" w:color="auto"/>
        <w:bottom w:val="none" w:sz="0" w:space="0" w:color="auto"/>
        <w:right w:val="none" w:sz="0" w:space="0" w:color="auto"/>
      </w:divBdr>
      <w:divsChild>
        <w:div w:id="306983836">
          <w:marLeft w:val="0"/>
          <w:marRight w:val="0"/>
          <w:marTop w:val="0"/>
          <w:marBottom w:val="0"/>
          <w:divBdr>
            <w:top w:val="none" w:sz="0" w:space="0" w:color="auto"/>
            <w:left w:val="none" w:sz="0" w:space="0" w:color="auto"/>
            <w:bottom w:val="none" w:sz="0" w:space="0" w:color="auto"/>
            <w:right w:val="none" w:sz="0" w:space="0" w:color="auto"/>
          </w:divBdr>
        </w:div>
        <w:div w:id="698548639">
          <w:marLeft w:val="0"/>
          <w:marRight w:val="0"/>
          <w:marTop w:val="0"/>
          <w:marBottom w:val="0"/>
          <w:divBdr>
            <w:top w:val="none" w:sz="0" w:space="0" w:color="auto"/>
            <w:left w:val="none" w:sz="0" w:space="0" w:color="auto"/>
            <w:bottom w:val="none" w:sz="0" w:space="0" w:color="auto"/>
            <w:right w:val="none" w:sz="0" w:space="0" w:color="auto"/>
          </w:divBdr>
        </w:div>
        <w:div w:id="998919657">
          <w:marLeft w:val="0"/>
          <w:marRight w:val="0"/>
          <w:marTop w:val="0"/>
          <w:marBottom w:val="0"/>
          <w:divBdr>
            <w:top w:val="none" w:sz="0" w:space="0" w:color="auto"/>
            <w:left w:val="none" w:sz="0" w:space="0" w:color="auto"/>
            <w:bottom w:val="none" w:sz="0" w:space="0" w:color="auto"/>
            <w:right w:val="none" w:sz="0" w:space="0" w:color="auto"/>
          </w:divBdr>
        </w:div>
        <w:div w:id="1081949746">
          <w:marLeft w:val="0"/>
          <w:marRight w:val="0"/>
          <w:marTop w:val="0"/>
          <w:marBottom w:val="0"/>
          <w:divBdr>
            <w:top w:val="none" w:sz="0" w:space="0" w:color="auto"/>
            <w:left w:val="none" w:sz="0" w:space="0" w:color="auto"/>
            <w:bottom w:val="none" w:sz="0" w:space="0" w:color="auto"/>
            <w:right w:val="none" w:sz="0" w:space="0" w:color="auto"/>
          </w:divBdr>
        </w:div>
        <w:div w:id="1208644502">
          <w:marLeft w:val="0"/>
          <w:marRight w:val="0"/>
          <w:marTop w:val="0"/>
          <w:marBottom w:val="0"/>
          <w:divBdr>
            <w:top w:val="none" w:sz="0" w:space="0" w:color="auto"/>
            <w:left w:val="none" w:sz="0" w:space="0" w:color="auto"/>
            <w:bottom w:val="none" w:sz="0" w:space="0" w:color="auto"/>
            <w:right w:val="none" w:sz="0" w:space="0" w:color="auto"/>
          </w:divBdr>
        </w:div>
        <w:div w:id="2122188384">
          <w:marLeft w:val="0"/>
          <w:marRight w:val="0"/>
          <w:marTop w:val="0"/>
          <w:marBottom w:val="0"/>
          <w:divBdr>
            <w:top w:val="none" w:sz="0" w:space="0" w:color="auto"/>
            <w:left w:val="none" w:sz="0" w:space="0" w:color="auto"/>
            <w:bottom w:val="none" w:sz="0" w:space="0" w:color="auto"/>
            <w:right w:val="none" w:sz="0" w:space="0" w:color="auto"/>
          </w:divBdr>
        </w:div>
      </w:divsChild>
    </w:div>
    <w:div w:id="1242636268">
      <w:bodyDiv w:val="1"/>
      <w:marLeft w:val="0"/>
      <w:marRight w:val="0"/>
      <w:marTop w:val="0"/>
      <w:marBottom w:val="0"/>
      <w:divBdr>
        <w:top w:val="none" w:sz="0" w:space="0" w:color="auto"/>
        <w:left w:val="none" w:sz="0" w:space="0" w:color="auto"/>
        <w:bottom w:val="none" w:sz="0" w:space="0" w:color="auto"/>
        <w:right w:val="none" w:sz="0" w:space="0" w:color="auto"/>
      </w:divBdr>
      <w:divsChild>
        <w:div w:id="348675583">
          <w:marLeft w:val="0"/>
          <w:marRight w:val="0"/>
          <w:marTop w:val="0"/>
          <w:marBottom w:val="0"/>
          <w:divBdr>
            <w:top w:val="none" w:sz="0" w:space="0" w:color="auto"/>
            <w:left w:val="none" w:sz="0" w:space="0" w:color="auto"/>
            <w:bottom w:val="none" w:sz="0" w:space="0" w:color="auto"/>
            <w:right w:val="none" w:sz="0" w:space="0" w:color="auto"/>
          </w:divBdr>
          <w:divsChild>
            <w:div w:id="1479609936">
              <w:marLeft w:val="0"/>
              <w:marRight w:val="0"/>
              <w:marTop w:val="0"/>
              <w:marBottom w:val="0"/>
              <w:divBdr>
                <w:top w:val="none" w:sz="0" w:space="0" w:color="auto"/>
                <w:left w:val="none" w:sz="0" w:space="0" w:color="auto"/>
                <w:bottom w:val="none" w:sz="0" w:space="0" w:color="auto"/>
                <w:right w:val="none" w:sz="0" w:space="0" w:color="auto"/>
              </w:divBdr>
            </w:div>
            <w:div w:id="430129575">
              <w:marLeft w:val="0"/>
              <w:marRight w:val="0"/>
              <w:marTop w:val="0"/>
              <w:marBottom w:val="0"/>
              <w:divBdr>
                <w:top w:val="none" w:sz="0" w:space="0" w:color="auto"/>
                <w:left w:val="none" w:sz="0" w:space="0" w:color="auto"/>
                <w:bottom w:val="none" w:sz="0" w:space="0" w:color="auto"/>
                <w:right w:val="none" w:sz="0" w:space="0" w:color="auto"/>
              </w:divBdr>
            </w:div>
            <w:div w:id="1224832641">
              <w:marLeft w:val="0"/>
              <w:marRight w:val="0"/>
              <w:marTop w:val="0"/>
              <w:marBottom w:val="0"/>
              <w:divBdr>
                <w:top w:val="none" w:sz="0" w:space="0" w:color="auto"/>
                <w:left w:val="none" w:sz="0" w:space="0" w:color="auto"/>
                <w:bottom w:val="none" w:sz="0" w:space="0" w:color="auto"/>
                <w:right w:val="none" w:sz="0" w:space="0" w:color="auto"/>
              </w:divBdr>
            </w:div>
            <w:div w:id="1486431054">
              <w:marLeft w:val="0"/>
              <w:marRight w:val="0"/>
              <w:marTop w:val="0"/>
              <w:marBottom w:val="0"/>
              <w:divBdr>
                <w:top w:val="none" w:sz="0" w:space="0" w:color="auto"/>
                <w:left w:val="none" w:sz="0" w:space="0" w:color="auto"/>
                <w:bottom w:val="none" w:sz="0" w:space="0" w:color="auto"/>
                <w:right w:val="none" w:sz="0" w:space="0" w:color="auto"/>
              </w:divBdr>
            </w:div>
            <w:div w:id="1918053106">
              <w:marLeft w:val="0"/>
              <w:marRight w:val="0"/>
              <w:marTop w:val="0"/>
              <w:marBottom w:val="0"/>
              <w:divBdr>
                <w:top w:val="none" w:sz="0" w:space="0" w:color="auto"/>
                <w:left w:val="none" w:sz="0" w:space="0" w:color="auto"/>
                <w:bottom w:val="none" w:sz="0" w:space="0" w:color="auto"/>
                <w:right w:val="none" w:sz="0" w:space="0" w:color="auto"/>
              </w:divBdr>
            </w:div>
            <w:div w:id="625549328">
              <w:marLeft w:val="0"/>
              <w:marRight w:val="0"/>
              <w:marTop w:val="0"/>
              <w:marBottom w:val="0"/>
              <w:divBdr>
                <w:top w:val="none" w:sz="0" w:space="0" w:color="auto"/>
                <w:left w:val="none" w:sz="0" w:space="0" w:color="auto"/>
                <w:bottom w:val="none" w:sz="0" w:space="0" w:color="auto"/>
                <w:right w:val="none" w:sz="0" w:space="0" w:color="auto"/>
              </w:divBdr>
            </w:div>
            <w:div w:id="595021441">
              <w:marLeft w:val="0"/>
              <w:marRight w:val="0"/>
              <w:marTop w:val="0"/>
              <w:marBottom w:val="0"/>
              <w:divBdr>
                <w:top w:val="none" w:sz="0" w:space="0" w:color="auto"/>
                <w:left w:val="none" w:sz="0" w:space="0" w:color="auto"/>
                <w:bottom w:val="none" w:sz="0" w:space="0" w:color="auto"/>
                <w:right w:val="none" w:sz="0" w:space="0" w:color="auto"/>
              </w:divBdr>
            </w:div>
            <w:div w:id="1707749563">
              <w:marLeft w:val="0"/>
              <w:marRight w:val="0"/>
              <w:marTop w:val="0"/>
              <w:marBottom w:val="0"/>
              <w:divBdr>
                <w:top w:val="none" w:sz="0" w:space="0" w:color="auto"/>
                <w:left w:val="none" w:sz="0" w:space="0" w:color="auto"/>
                <w:bottom w:val="none" w:sz="0" w:space="0" w:color="auto"/>
                <w:right w:val="none" w:sz="0" w:space="0" w:color="auto"/>
              </w:divBdr>
            </w:div>
            <w:div w:id="394935208">
              <w:marLeft w:val="0"/>
              <w:marRight w:val="0"/>
              <w:marTop w:val="0"/>
              <w:marBottom w:val="0"/>
              <w:divBdr>
                <w:top w:val="none" w:sz="0" w:space="0" w:color="auto"/>
                <w:left w:val="none" w:sz="0" w:space="0" w:color="auto"/>
                <w:bottom w:val="none" w:sz="0" w:space="0" w:color="auto"/>
                <w:right w:val="none" w:sz="0" w:space="0" w:color="auto"/>
              </w:divBdr>
            </w:div>
            <w:div w:id="1302030133">
              <w:marLeft w:val="0"/>
              <w:marRight w:val="0"/>
              <w:marTop w:val="0"/>
              <w:marBottom w:val="0"/>
              <w:divBdr>
                <w:top w:val="none" w:sz="0" w:space="0" w:color="auto"/>
                <w:left w:val="none" w:sz="0" w:space="0" w:color="auto"/>
                <w:bottom w:val="none" w:sz="0" w:space="0" w:color="auto"/>
                <w:right w:val="none" w:sz="0" w:space="0" w:color="auto"/>
              </w:divBdr>
            </w:div>
            <w:div w:id="2079476545">
              <w:marLeft w:val="0"/>
              <w:marRight w:val="0"/>
              <w:marTop w:val="0"/>
              <w:marBottom w:val="0"/>
              <w:divBdr>
                <w:top w:val="none" w:sz="0" w:space="0" w:color="auto"/>
                <w:left w:val="none" w:sz="0" w:space="0" w:color="auto"/>
                <w:bottom w:val="none" w:sz="0" w:space="0" w:color="auto"/>
                <w:right w:val="none" w:sz="0" w:space="0" w:color="auto"/>
              </w:divBdr>
            </w:div>
            <w:div w:id="556622495">
              <w:marLeft w:val="0"/>
              <w:marRight w:val="0"/>
              <w:marTop w:val="0"/>
              <w:marBottom w:val="0"/>
              <w:divBdr>
                <w:top w:val="none" w:sz="0" w:space="0" w:color="auto"/>
                <w:left w:val="none" w:sz="0" w:space="0" w:color="auto"/>
                <w:bottom w:val="none" w:sz="0" w:space="0" w:color="auto"/>
                <w:right w:val="none" w:sz="0" w:space="0" w:color="auto"/>
              </w:divBdr>
            </w:div>
            <w:div w:id="526793489">
              <w:marLeft w:val="0"/>
              <w:marRight w:val="0"/>
              <w:marTop w:val="0"/>
              <w:marBottom w:val="0"/>
              <w:divBdr>
                <w:top w:val="none" w:sz="0" w:space="0" w:color="auto"/>
                <w:left w:val="none" w:sz="0" w:space="0" w:color="auto"/>
                <w:bottom w:val="none" w:sz="0" w:space="0" w:color="auto"/>
                <w:right w:val="none" w:sz="0" w:space="0" w:color="auto"/>
              </w:divBdr>
            </w:div>
            <w:div w:id="123743071">
              <w:marLeft w:val="0"/>
              <w:marRight w:val="0"/>
              <w:marTop w:val="0"/>
              <w:marBottom w:val="0"/>
              <w:divBdr>
                <w:top w:val="none" w:sz="0" w:space="0" w:color="auto"/>
                <w:left w:val="none" w:sz="0" w:space="0" w:color="auto"/>
                <w:bottom w:val="none" w:sz="0" w:space="0" w:color="auto"/>
                <w:right w:val="none" w:sz="0" w:space="0" w:color="auto"/>
              </w:divBdr>
            </w:div>
            <w:div w:id="241185468">
              <w:marLeft w:val="0"/>
              <w:marRight w:val="0"/>
              <w:marTop w:val="0"/>
              <w:marBottom w:val="0"/>
              <w:divBdr>
                <w:top w:val="none" w:sz="0" w:space="0" w:color="auto"/>
                <w:left w:val="none" w:sz="0" w:space="0" w:color="auto"/>
                <w:bottom w:val="none" w:sz="0" w:space="0" w:color="auto"/>
                <w:right w:val="none" w:sz="0" w:space="0" w:color="auto"/>
              </w:divBdr>
            </w:div>
            <w:div w:id="1909487304">
              <w:marLeft w:val="0"/>
              <w:marRight w:val="0"/>
              <w:marTop w:val="0"/>
              <w:marBottom w:val="0"/>
              <w:divBdr>
                <w:top w:val="none" w:sz="0" w:space="0" w:color="auto"/>
                <w:left w:val="none" w:sz="0" w:space="0" w:color="auto"/>
                <w:bottom w:val="none" w:sz="0" w:space="0" w:color="auto"/>
                <w:right w:val="none" w:sz="0" w:space="0" w:color="auto"/>
              </w:divBdr>
            </w:div>
            <w:div w:id="89816963">
              <w:marLeft w:val="0"/>
              <w:marRight w:val="0"/>
              <w:marTop w:val="0"/>
              <w:marBottom w:val="0"/>
              <w:divBdr>
                <w:top w:val="none" w:sz="0" w:space="0" w:color="auto"/>
                <w:left w:val="none" w:sz="0" w:space="0" w:color="auto"/>
                <w:bottom w:val="none" w:sz="0" w:space="0" w:color="auto"/>
                <w:right w:val="none" w:sz="0" w:space="0" w:color="auto"/>
              </w:divBdr>
            </w:div>
            <w:div w:id="1642153454">
              <w:marLeft w:val="0"/>
              <w:marRight w:val="0"/>
              <w:marTop w:val="0"/>
              <w:marBottom w:val="0"/>
              <w:divBdr>
                <w:top w:val="none" w:sz="0" w:space="0" w:color="auto"/>
                <w:left w:val="none" w:sz="0" w:space="0" w:color="auto"/>
                <w:bottom w:val="none" w:sz="0" w:space="0" w:color="auto"/>
                <w:right w:val="none" w:sz="0" w:space="0" w:color="auto"/>
              </w:divBdr>
            </w:div>
            <w:div w:id="1327397140">
              <w:marLeft w:val="0"/>
              <w:marRight w:val="0"/>
              <w:marTop w:val="0"/>
              <w:marBottom w:val="0"/>
              <w:divBdr>
                <w:top w:val="none" w:sz="0" w:space="0" w:color="auto"/>
                <w:left w:val="none" w:sz="0" w:space="0" w:color="auto"/>
                <w:bottom w:val="none" w:sz="0" w:space="0" w:color="auto"/>
                <w:right w:val="none" w:sz="0" w:space="0" w:color="auto"/>
              </w:divBdr>
            </w:div>
            <w:div w:id="296641140">
              <w:marLeft w:val="0"/>
              <w:marRight w:val="0"/>
              <w:marTop w:val="0"/>
              <w:marBottom w:val="0"/>
              <w:divBdr>
                <w:top w:val="none" w:sz="0" w:space="0" w:color="auto"/>
                <w:left w:val="none" w:sz="0" w:space="0" w:color="auto"/>
                <w:bottom w:val="none" w:sz="0" w:space="0" w:color="auto"/>
                <w:right w:val="none" w:sz="0" w:space="0" w:color="auto"/>
              </w:divBdr>
            </w:div>
          </w:divsChild>
        </w:div>
        <w:div w:id="379520873">
          <w:marLeft w:val="0"/>
          <w:marRight w:val="0"/>
          <w:marTop w:val="0"/>
          <w:marBottom w:val="0"/>
          <w:divBdr>
            <w:top w:val="none" w:sz="0" w:space="0" w:color="auto"/>
            <w:left w:val="none" w:sz="0" w:space="0" w:color="auto"/>
            <w:bottom w:val="none" w:sz="0" w:space="0" w:color="auto"/>
            <w:right w:val="none" w:sz="0" w:space="0" w:color="auto"/>
          </w:divBdr>
        </w:div>
        <w:div w:id="1359283356">
          <w:marLeft w:val="0"/>
          <w:marRight w:val="0"/>
          <w:marTop w:val="0"/>
          <w:marBottom w:val="0"/>
          <w:divBdr>
            <w:top w:val="none" w:sz="0" w:space="0" w:color="auto"/>
            <w:left w:val="none" w:sz="0" w:space="0" w:color="auto"/>
            <w:bottom w:val="none" w:sz="0" w:space="0" w:color="auto"/>
            <w:right w:val="none" w:sz="0" w:space="0" w:color="auto"/>
          </w:divBdr>
        </w:div>
        <w:div w:id="1363704004">
          <w:marLeft w:val="0"/>
          <w:marRight w:val="0"/>
          <w:marTop w:val="0"/>
          <w:marBottom w:val="0"/>
          <w:divBdr>
            <w:top w:val="none" w:sz="0" w:space="0" w:color="auto"/>
            <w:left w:val="none" w:sz="0" w:space="0" w:color="auto"/>
            <w:bottom w:val="none" w:sz="0" w:space="0" w:color="auto"/>
            <w:right w:val="none" w:sz="0" w:space="0" w:color="auto"/>
          </w:divBdr>
        </w:div>
        <w:div w:id="585918563">
          <w:marLeft w:val="0"/>
          <w:marRight w:val="0"/>
          <w:marTop w:val="0"/>
          <w:marBottom w:val="0"/>
          <w:divBdr>
            <w:top w:val="none" w:sz="0" w:space="0" w:color="auto"/>
            <w:left w:val="none" w:sz="0" w:space="0" w:color="auto"/>
            <w:bottom w:val="none" w:sz="0" w:space="0" w:color="auto"/>
            <w:right w:val="none" w:sz="0" w:space="0" w:color="auto"/>
          </w:divBdr>
        </w:div>
      </w:divsChild>
    </w:div>
    <w:div w:id="1285379854">
      <w:bodyDiv w:val="1"/>
      <w:marLeft w:val="0"/>
      <w:marRight w:val="0"/>
      <w:marTop w:val="0"/>
      <w:marBottom w:val="0"/>
      <w:divBdr>
        <w:top w:val="none" w:sz="0" w:space="0" w:color="auto"/>
        <w:left w:val="none" w:sz="0" w:space="0" w:color="auto"/>
        <w:bottom w:val="none" w:sz="0" w:space="0" w:color="auto"/>
        <w:right w:val="none" w:sz="0" w:space="0" w:color="auto"/>
      </w:divBdr>
      <w:divsChild>
        <w:div w:id="398285077">
          <w:marLeft w:val="0"/>
          <w:marRight w:val="0"/>
          <w:marTop w:val="0"/>
          <w:marBottom w:val="0"/>
          <w:divBdr>
            <w:top w:val="none" w:sz="0" w:space="0" w:color="auto"/>
            <w:left w:val="none" w:sz="0" w:space="0" w:color="auto"/>
            <w:bottom w:val="none" w:sz="0" w:space="0" w:color="auto"/>
            <w:right w:val="none" w:sz="0" w:space="0" w:color="auto"/>
          </w:divBdr>
          <w:divsChild>
            <w:div w:id="172190507">
              <w:marLeft w:val="0"/>
              <w:marRight w:val="0"/>
              <w:marTop w:val="0"/>
              <w:marBottom w:val="0"/>
              <w:divBdr>
                <w:top w:val="none" w:sz="0" w:space="0" w:color="auto"/>
                <w:left w:val="none" w:sz="0" w:space="0" w:color="auto"/>
                <w:bottom w:val="none" w:sz="0" w:space="0" w:color="auto"/>
                <w:right w:val="none" w:sz="0" w:space="0" w:color="auto"/>
              </w:divBdr>
            </w:div>
            <w:div w:id="2087610802">
              <w:marLeft w:val="0"/>
              <w:marRight w:val="0"/>
              <w:marTop w:val="0"/>
              <w:marBottom w:val="0"/>
              <w:divBdr>
                <w:top w:val="none" w:sz="0" w:space="0" w:color="auto"/>
                <w:left w:val="none" w:sz="0" w:space="0" w:color="auto"/>
                <w:bottom w:val="none" w:sz="0" w:space="0" w:color="auto"/>
                <w:right w:val="none" w:sz="0" w:space="0" w:color="auto"/>
              </w:divBdr>
            </w:div>
            <w:div w:id="2089761776">
              <w:marLeft w:val="0"/>
              <w:marRight w:val="0"/>
              <w:marTop w:val="0"/>
              <w:marBottom w:val="0"/>
              <w:divBdr>
                <w:top w:val="none" w:sz="0" w:space="0" w:color="auto"/>
                <w:left w:val="none" w:sz="0" w:space="0" w:color="auto"/>
                <w:bottom w:val="none" w:sz="0" w:space="0" w:color="auto"/>
                <w:right w:val="none" w:sz="0" w:space="0" w:color="auto"/>
              </w:divBdr>
            </w:div>
            <w:div w:id="1990595238">
              <w:marLeft w:val="0"/>
              <w:marRight w:val="0"/>
              <w:marTop w:val="0"/>
              <w:marBottom w:val="0"/>
              <w:divBdr>
                <w:top w:val="none" w:sz="0" w:space="0" w:color="auto"/>
                <w:left w:val="none" w:sz="0" w:space="0" w:color="auto"/>
                <w:bottom w:val="none" w:sz="0" w:space="0" w:color="auto"/>
                <w:right w:val="none" w:sz="0" w:space="0" w:color="auto"/>
              </w:divBdr>
            </w:div>
            <w:div w:id="1727950904">
              <w:marLeft w:val="0"/>
              <w:marRight w:val="0"/>
              <w:marTop w:val="0"/>
              <w:marBottom w:val="0"/>
              <w:divBdr>
                <w:top w:val="none" w:sz="0" w:space="0" w:color="auto"/>
                <w:left w:val="none" w:sz="0" w:space="0" w:color="auto"/>
                <w:bottom w:val="none" w:sz="0" w:space="0" w:color="auto"/>
                <w:right w:val="none" w:sz="0" w:space="0" w:color="auto"/>
              </w:divBdr>
            </w:div>
            <w:div w:id="12340088">
              <w:marLeft w:val="0"/>
              <w:marRight w:val="0"/>
              <w:marTop w:val="0"/>
              <w:marBottom w:val="0"/>
              <w:divBdr>
                <w:top w:val="none" w:sz="0" w:space="0" w:color="auto"/>
                <w:left w:val="none" w:sz="0" w:space="0" w:color="auto"/>
                <w:bottom w:val="none" w:sz="0" w:space="0" w:color="auto"/>
                <w:right w:val="none" w:sz="0" w:space="0" w:color="auto"/>
              </w:divBdr>
            </w:div>
            <w:div w:id="2088577885">
              <w:marLeft w:val="0"/>
              <w:marRight w:val="0"/>
              <w:marTop w:val="0"/>
              <w:marBottom w:val="0"/>
              <w:divBdr>
                <w:top w:val="none" w:sz="0" w:space="0" w:color="auto"/>
                <w:left w:val="none" w:sz="0" w:space="0" w:color="auto"/>
                <w:bottom w:val="none" w:sz="0" w:space="0" w:color="auto"/>
                <w:right w:val="none" w:sz="0" w:space="0" w:color="auto"/>
              </w:divBdr>
            </w:div>
          </w:divsChild>
        </w:div>
        <w:div w:id="1544706380">
          <w:marLeft w:val="0"/>
          <w:marRight w:val="0"/>
          <w:marTop w:val="0"/>
          <w:marBottom w:val="0"/>
          <w:divBdr>
            <w:top w:val="none" w:sz="0" w:space="0" w:color="auto"/>
            <w:left w:val="none" w:sz="0" w:space="0" w:color="auto"/>
            <w:bottom w:val="none" w:sz="0" w:space="0" w:color="auto"/>
            <w:right w:val="none" w:sz="0" w:space="0" w:color="auto"/>
          </w:divBdr>
          <w:divsChild>
            <w:div w:id="1376587919">
              <w:marLeft w:val="0"/>
              <w:marRight w:val="0"/>
              <w:marTop w:val="0"/>
              <w:marBottom w:val="0"/>
              <w:divBdr>
                <w:top w:val="none" w:sz="0" w:space="0" w:color="auto"/>
                <w:left w:val="none" w:sz="0" w:space="0" w:color="auto"/>
                <w:bottom w:val="none" w:sz="0" w:space="0" w:color="auto"/>
                <w:right w:val="none" w:sz="0" w:space="0" w:color="auto"/>
              </w:divBdr>
            </w:div>
            <w:div w:id="166528667">
              <w:marLeft w:val="0"/>
              <w:marRight w:val="0"/>
              <w:marTop w:val="0"/>
              <w:marBottom w:val="0"/>
              <w:divBdr>
                <w:top w:val="none" w:sz="0" w:space="0" w:color="auto"/>
                <w:left w:val="none" w:sz="0" w:space="0" w:color="auto"/>
                <w:bottom w:val="none" w:sz="0" w:space="0" w:color="auto"/>
                <w:right w:val="none" w:sz="0" w:space="0" w:color="auto"/>
              </w:divBdr>
            </w:div>
            <w:div w:id="1682509762">
              <w:marLeft w:val="0"/>
              <w:marRight w:val="0"/>
              <w:marTop w:val="0"/>
              <w:marBottom w:val="0"/>
              <w:divBdr>
                <w:top w:val="none" w:sz="0" w:space="0" w:color="auto"/>
                <w:left w:val="none" w:sz="0" w:space="0" w:color="auto"/>
                <w:bottom w:val="none" w:sz="0" w:space="0" w:color="auto"/>
                <w:right w:val="none" w:sz="0" w:space="0" w:color="auto"/>
              </w:divBdr>
            </w:div>
            <w:div w:id="296449955">
              <w:marLeft w:val="0"/>
              <w:marRight w:val="0"/>
              <w:marTop w:val="0"/>
              <w:marBottom w:val="0"/>
              <w:divBdr>
                <w:top w:val="none" w:sz="0" w:space="0" w:color="auto"/>
                <w:left w:val="none" w:sz="0" w:space="0" w:color="auto"/>
                <w:bottom w:val="none" w:sz="0" w:space="0" w:color="auto"/>
                <w:right w:val="none" w:sz="0" w:space="0" w:color="auto"/>
              </w:divBdr>
            </w:div>
            <w:div w:id="1838226616">
              <w:marLeft w:val="0"/>
              <w:marRight w:val="0"/>
              <w:marTop w:val="0"/>
              <w:marBottom w:val="0"/>
              <w:divBdr>
                <w:top w:val="none" w:sz="0" w:space="0" w:color="auto"/>
                <w:left w:val="none" w:sz="0" w:space="0" w:color="auto"/>
                <w:bottom w:val="none" w:sz="0" w:space="0" w:color="auto"/>
                <w:right w:val="none" w:sz="0" w:space="0" w:color="auto"/>
              </w:divBdr>
            </w:div>
            <w:div w:id="1149787487">
              <w:marLeft w:val="0"/>
              <w:marRight w:val="0"/>
              <w:marTop w:val="0"/>
              <w:marBottom w:val="0"/>
              <w:divBdr>
                <w:top w:val="none" w:sz="0" w:space="0" w:color="auto"/>
                <w:left w:val="none" w:sz="0" w:space="0" w:color="auto"/>
                <w:bottom w:val="none" w:sz="0" w:space="0" w:color="auto"/>
                <w:right w:val="none" w:sz="0" w:space="0" w:color="auto"/>
              </w:divBdr>
            </w:div>
            <w:div w:id="980884526">
              <w:marLeft w:val="0"/>
              <w:marRight w:val="0"/>
              <w:marTop w:val="0"/>
              <w:marBottom w:val="0"/>
              <w:divBdr>
                <w:top w:val="none" w:sz="0" w:space="0" w:color="auto"/>
                <w:left w:val="none" w:sz="0" w:space="0" w:color="auto"/>
                <w:bottom w:val="none" w:sz="0" w:space="0" w:color="auto"/>
                <w:right w:val="none" w:sz="0" w:space="0" w:color="auto"/>
              </w:divBdr>
            </w:div>
            <w:div w:id="1008948224">
              <w:marLeft w:val="0"/>
              <w:marRight w:val="0"/>
              <w:marTop w:val="0"/>
              <w:marBottom w:val="0"/>
              <w:divBdr>
                <w:top w:val="none" w:sz="0" w:space="0" w:color="auto"/>
                <w:left w:val="none" w:sz="0" w:space="0" w:color="auto"/>
                <w:bottom w:val="none" w:sz="0" w:space="0" w:color="auto"/>
                <w:right w:val="none" w:sz="0" w:space="0" w:color="auto"/>
              </w:divBdr>
            </w:div>
            <w:div w:id="753480019">
              <w:marLeft w:val="0"/>
              <w:marRight w:val="0"/>
              <w:marTop w:val="0"/>
              <w:marBottom w:val="0"/>
              <w:divBdr>
                <w:top w:val="none" w:sz="0" w:space="0" w:color="auto"/>
                <w:left w:val="none" w:sz="0" w:space="0" w:color="auto"/>
                <w:bottom w:val="none" w:sz="0" w:space="0" w:color="auto"/>
                <w:right w:val="none" w:sz="0" w:space="0" w:color="auto"/>
              </w:divBdr>
            </w:div>
            <w:div w:id="1279216945">
              <w:marLeft w:val="0"/>
              <w:marRight w:val="0"/>
              <w:marTop w:val="0"/>
              <w:marBottom w:val="0"/>
              <w:divBdr>
                <w:top w:val="none" w:sz="0" w:space="0" w:color="auto"/>
                <w:left w:val="none" w:sz="0" w:space="0" w:color="auto"/>
                <w:bottom w:val="none" w:sz="0" w:space="0" w:color="auto"/>
                <w:right w:val="none" w:sz="0" w:space="0" w:color="auto"/>
              </w:divBdr>
            </w:div>
            <w:div w:id="2111387722">
              <w:marLeft w:val="0"/>
              <w:marRight w:val="0"/>
              <w:marTop w:val="0"/>
              <w:marBottom w:val="0"/>
              <w:divBdr>
                <w:top w:val="none" w:sz="0" w:space="0" w:color="auto"/>
                <w:left w:val="none" w:sz="0" w:space="0" w:color="auto"/>
                <w:bottom w:val="none" w:sz="0" w:space="0" w:color="auto"/>
                <w:right w:val="none" w:sz="0" w:space="0" w:color="auto"/>
              </w:divBdr>
            </w:div>
            <w:div w:id="2117555988">
              <w:marLeft w:val="0"/>
              <w:marRight w:val="0"/>
              <w:marTop w:val="0"/>
              <w:marBottom w:val="0"/>
              <w:divBdr>
                <w:top w:val="none" w:sz="0" w:space="0" w:color="auto"/>
                <w:left w:val="none" w:sz="0" w:space="0" w:color="auto"/>
                <w:bottom w:val="none" w:sz="0" w:space="0" w:color="auto"/>
                <w:right w:val="none" w:sz="0" w:space="0" w:color="auto"/>
              </w:divBdr>
            </w:div>
            <w:div w:id="1265920192">
              <w:marLeft w:val="0"/>
              <w:marRight w:val="0"/>
              <w:marTop w:val="0"/>
              <w:marBottom w:val="0"/>
              <w:divBdr>
                <w:top w:val="none" w:sz="0" w:space="0" w:color="auto"/>
                <w:left w:val="none" w:sz="0" w:space="0" w:color="auto"/>
                <w:bottom w:val="none" w:sz="0" w:space="0" w:color="auto"/>
                <w:right w:val="none" w:sz="0" w:space="0" w:color="auto"/>
              </w:divBdr>
            </w:div>
            <w:div w:id="937179491">
              <w:marLeft w:val="0"/>
              <w:marRight w:val="0"/>
              <w:marTop w:val="0"/>
              <w:marBottom w:val="0"/>
              <w:divBdr>
                <w:top w:val="none" w:sz="0" w:space="0" w:color="auto"/>
                <w:left w:val="none" w:sz="0" w:space="0" w:color="auto"/>
                <w:bottom w:val="none" w:sz="0" w:space="0" w:color="auto"/>
                <w:right w:val="none" w:sz="0" w:space="0" w:color="auto"/>
              </w:divBdr>
            </w:div>
            <w:div w:id="443233413">
              <w:marLeft w:val="0"/>
              <w:marRight w:val="0"/>
              <w:marTop w:val="0"/>
              <w:marBottom w:val="0"/>
              <w:divBdr>
                <w:top w:val="none" w:sz="0" w:space="0" w:color="auto"/>
                <w:left w:val="none" w:sz="0" w:space="0" w:color="auto"/>
                <w:bottom w:val="none" w:sz="0" w:space="0" w:color="auto"/>
                <w:right w:val="none" w:sz="0" w:space="0" w:color="auto"/>
              </w:divBdr>
            </w:div>
            <w:div w:id="197402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21442">
      <w:bodyDiv w:val="1"/>
      <w:marLeft w:val="0"/>
      <w:marRight w:val="0"/>
      <w:marTop w:val="0"/>
      <w:marBottom w:val="0"/>
      <w:divBdr>
        <w:top w:val="none" w:sz="0" w:space="0" w:color="auto"/>
        <w:left w:val="none" w:sz="0" w:space="0" w:color="auto"/>
        <w:bottom w:val="none" w:sz="0" w:space="0" w:color="auto"/>
        <w:right w:val="none" w:sz="0" w:space="0" w:color="auto"/>
      </w:divBdr>
    </w:div>
    <w:div w:id="1306544083">
      <w:bodyDiv w:val="1"/>
      <w:marLeft w:val="0"/>
      <w:marRight w:val="0"/>
      <w:marTop w:val="0"/>
      <w:marBottom w:val="0"/>
      <w:divBdr>
        <w:top w:val="none" w:sz="0" w:space="0" w:color="auto"/>
        <w:left w:val="none" w:sz="0" w:space="0" w:color="auto"/>
        <w:bottom w:val="none" w:sz="0" w:space="0" w:color="auto"/>
        <w:right w:val="none" w:sz="0" w:space="0" w:color="auto"/>
      </w:divBdr>
      <w:divsChild>
        <w:div w:id="633799923">
          <w:marLeft w:val="0"/>
          <w:marRight w:val="0"/>
          <w:marTop w:val="0"/>
          <w:marBottom w:val="0"/>
          <w:divBdr>
            <w:top w:val="none" w:sz="0" w:space="0" w:color="auto"/>
            <w:left w:val="none" w:sz="0" w:space="0" w:color="auto"/>
            <w:bottom w:val="none" w:sz="0" w:space="0" w:color="auto"/>
            <w:right w:val="none" w:sz="0" w:space="0" w:color="auto"/>
          </w:divBdr>
        </w:div>
        <w:div w:id="1996949303">
          <w:marLeft w:val="0"/>
          <w:marRight w:val="0"/>
          <w:marTop w:val="0"/>
          <w:marBottom w:val="0"/>
          <w:divBdr>
            <w:top w:val="none" w:sz="0" w:space="0" w:color="auto"/>
            <w:left w:val="none" w:sz="0" w:space="0" w:color="auto"/>
            <w:bottom w:val="none" w:sz="0" w:space="0" w:color="auto"/>
            <w:right w:val="none" w:sz="0" w:space="0" w:color="auto"/>
          </w:divBdr>
        </w:div>
        <w:div w:id="1325207268">
          <w:marLeft w:val="0"/>
          <w:marRight w:val="0"/>
          <w:marTop w:val="0"/>
          <w:marBottom w:val="0"/>
          <w:divBdr>
            <w:top w:val="none" w:sz="0" w:space="0" w:color="auto"/>
            <w:left w:val="none" w:sz="0" w:space="0" w:color="auto"/>
            <w:bottom w:val="none" w:sz="0" w:space="0" w:color="auto"/>
            <w:right w:val="none" w:sz="0" w:space="0" w:color="auto"/>
          </w:divBdr>
        </w:div>
        <w:div w:id="398481449">
          <w:marLeft w:val="0"/>
          <w:marRight w:val="0"/>
          <w:marTop w:val="0"/>
          <w:marBottom w:val="0"/>
          <w:divBdr>
            <w:top w:val="none" w:sz="0" w:space="0" w:color="auto"/>
            <w:left w:val="none" w:sz="0" w:space="0" w:color="auto"/>
            <w:bottom w:val="none" w:sz="0" w:space="0" w:color="auto"/>
            <w:right w:val="none" w:sz="0" w:space="0" w:color="auto"/>
          </w:divBdr>
          <w:divsChild>
            <w:div w:id="1356923759">
              <w:marLeft w:val="0"/>
              <w:marRight w:val="0"/>
              <w:marTop w:val="0"/>
              <w:marBottom w:val="0"/>
              <w:divBdr>
                <w:top w:val="none" w:sz="0" w:space="0" w:color="auto"/>
                <w:left w:val="none" w:sz="0" w:space="0" w:color="auto"/>
                <w:bottom w:val="none" w:sz="0" w:space="0" w:color="auto"/>
                <w:right w:val="none" w:sz="0" w:space="0" w:color="auto"/>
              </w:divBdr>
            </w:div>
            <w:div w:id="1284918328">
              <w:marLeft w:val="0"/>
              <w:marRight w:val="0"/>
              <w:marTop w:val="0"/>
              <w:marBottom w:val="0"/>
              <w:divBdr>
                <w:top w:val="none" w:sz="0" w:space="0" w:color="auto"/>
                <w:left w:val="none" w:sz="0" w:space="0" w:color="auto"/>
                <w:bottom w:val="none" w:sz="0" w:space="0" w:color="auto"/>
                <w:right w:val="none" w:sz="0" w:space="0" w:color="auto"/>
              </w:divBdr>
            </w:div>
            <w:div w:id="490096764">
              <w:marLeft w:val="0"/>
              <w:marRight w:val="0"/>
              <w:marTop w:val="0"/>
              <w:marBottom w:val="0"/>
              <w:divBdr>
                <w:top w:val="none" w:sz="0" w:space="0" w:color="auto"/>
                <w:left w:val="none" w:sz="0" w:space="0" w:color="auto"/>
                <w:bottom w:val="none" w:sz="0" w:space="0" w:color="auto"/>
                <w:right w:val="none" w:sz="0" w:space="0" w:color="auto"/>
              </w:divBdr>
            </w:div>
            <w:div w:id="281302036">
              <w:marLeft w:val="0"/>
              <w:marRight w:val="0"/>
              <w:marTop w:val="0"/>
              <w:marBottom w:val="0"/>
              <w:divBdr>
                <w:top w:val="none" w:sz="0" w:space="0" w:color="auto"/>
                <w:left w:val="none" w:sz="0" w:space="0" w:color="auto"/>
                <w:bottom w:val="none" w:sz="0" w:space="0" w:color="auto"/>
                <w:right w:val="none" w:sz="0" w:space="0" w:color="auto"/>
              </w:divBdr>
            </w:div>
            <w:div w:id="1626083076">
              <w:marLeft w:val="0"/>
              <w:marRight w:val="0"/>
              <w:marTop w:val="0"/>
              <w:marBottom w:val="0"/>
              <w:divBdr>
                <w:top w:val="none" w:sz="0" w:space="0" w:color="auto"/>
                <w:left w:val="none" w:sz="0" w:space="0" w:color="auto"/>
                <w:bottom w:val="none" w:sz="0" w:space="0" w:color="auto"/>
                <w:right w:val="none" w:sz="0" w:space="0" w:color="auto"/>
              </w:divBdr>
            </w:div>
            <w:div w:id="1723097787">
              <w:marLeft w:val="0"/>
              <w:marRight w:val="0"/>
              <w:marTop w:val="0"/>
              <w:marBottom w:val="0"/>
              <w:divBdr>
                <w:top w:val="none" w:sz="0" w:space="0" w:color="auto"/>
                <w:left w:val="none" w:sz="0" w:space="0" w:color="auto"/>
                <w:bottom w:val="none" w:sz="0" w:space="0" w:color="auto"/>
                <w:right w:val="none" w:sz="0" w:space="0" w:color="auto"/>
              </w:divBdr>
            </w:div>
            <w:div w:id="1130125915">
              <w:marLeft w:val="0"/>
              <w:marRight w:val="0"/>
              <w:marTop w:val="0"/>
              <w:marBottom w:val="0"/>
              <w:divBdr>
                <w:top w:val="none" w:sz="0" w:space="0" w:color="auto"/>
                <w:left w:val="none" w:sz="0" w:space="0" w:color="auto"/>
                <w:bottom w:val="none" w:sz="0" w:space="0" w:color="auto"/>
                <w:right w:val="none" w:sz="0" w:space="0" w:color="auto"/>
              </w:divBdr>
            </w:div>
            <w:div w:id="2083209963">
              <w:marLeft w:val="0"/>
              <w:marRight w:val="0"/>
              <w:marTop w:val="0"/>
              <w:marBottom w:val="0"/>
              <w:divBdr>
                <w:top w:val="none" w:sz="0" w:space="0" w:color="auto"/>
                <w:left w:val="none" w:sz="0" w:space="0" w:color="auto"/>
                <w:bottom w:val="none" w:sz="0" w:space="0" w:color="auto"/>
                <w:right w:val="none" w:sz="0" w:space="0" w:color="auto"/>
              </w:divBdr>
            </w:div>
            <w:div w:id="876701230">
              <w:marLeft w:val="0"/>
              <w:marRight w:val="0"/>
              <w:marTop w:val="0"/>
              <w:marBottom w:val="0"/>
              <w:divBdr>
                <w:top w:val="none" w:sz="0" w:space="0" w:color="auto"/>
                <w:left w:val="none" w:sz="0" w:space="0" w:color="auto"/>
                <w:bottom w:val="none" w:sz="0" w:space="0" w:color="auto"/>
                <w:right w:val="none" w:sz="0" w:space="0" w:color="auto"/>
              </w:divBdr>
            </w:div>
            <w:div w:id="437145258">
              <w:marLeft w:val="0"/>
              <w:marRight w:val="0"/>
              <w:marTop w:val="0"/>
              <w:marBottom w:val="0"/>
              <w:divBdr>
                <w:top w:val="none" w:sz="0" w:space="0" w:color="auto"/>
                <w:left w:val="none" w:sz="0" w:space="0" w:color="auto"/>
                <w:bottom w:val="none" w:sz="0" w:space="0" w:color="auto"/>
                <w:right w:val="none" w:sz="0" w:space="0" w:color="auto"/>
              </w:divBdr>
            </w:div>
            <w:div w:id="1844851644">
              <w:marLeft w:val="0"/>
              <w:marRight w:val="0"/>
              <w:marTop w:val="0"/>
              <w:marBottom w:val="0"/>
              <w:divBdr>
                <w:top w:val="none" w:sz="0" w:space="0" w:color="auto"/>
                <w:left w:val="none" w:sz="0" w:space="0" w:color="auto"/>
                <w:bottom w:val="none" w:sz="0" w:space="0" w:color="auto"/>
                <w:right w:val="none" w:sz="0" w:space="0" w:color="auto"/>
              </w:divBdr>
            </w:div>
            <w:div w:id="1006130829">
              <w:marLeft w:val="0"/>
              <w:marRight w:val="0"/>
              <w:marTop w:val="0"/>
              <w:marBottom w:val="0"/>
              <w:divBdr>
                <w:top w:val="none" w:sz="0" w:space="0" w:color="auto"/>
                <w:left w:val="none" w:sz="0" w:space="0" w:color="auto"/>
                <w:bottom w:val="none" w:sz="0" w:space="0" w:color="auto"/>
                <w:right w:val="none" w:sz="0" w:space="0" w:color="auto"/>
              </w:divBdr>
            </w:div>
            <w:div w:id="2000230333">
              <w:marLeft w:val="0"/>
              <w:marRight w:val="0"/>
              <w:marTop w:val="0"/>
              <w:marBottom w:val="0"/>
              <w:divBdr>
                <w:top w:val="none" w:sz="0" w:space="0" w:color="auto"/>
                <w:left w:val="none" w:sz="0" w:space="0" w:color="auto"/>
                <w:bottom w:val="none" w:sz="0" w:space="0" w:color="auto"/>
                <w:right w:val="none" w:sz="0" w:space="0" w:color="auto"/>
              </w:divBdr>
            </w:div>
            <w:div w:id="1230536210">
              <w:marLeft w:val="0"/>
              <w:marRight w:val="0"/>
              <w:marTop w:val="0"/>
              <w:marBottom w:val="0"/>
              <w:divBdr>
                <w:top w:val="none" w:sz="0" w:space="0" w:color="auto"/>
                <w:left w:val="none" w:sz="0" w:space="0" w:color="auto"/>
                <w:bottom w:val="none" w:sz="0" w:space="0" w:color="auto"/>
                <w:right w:val="none" w:sz="0" w:space="0" w:color="auto"/>
              </w:divBdr>
            </w:div>
            <w:div w:id="561792571">
              <w:marLeft w:val="0"/>
              <w:marRight w:val="0"/>
              <w:marTop w:val="0"/>
              <w:marBottom w:val="0"/>
              <w:divBdr>
                <w:top w:val="none" w:sz="0" w:space="0" w:color="auto"/>
                <w:left w:val="none" w:sz="0" w:space="0" w:color="auto"/>
                <w:bottom w:val="none" w:sz="0" w:space="0" w:color="auto"/>
                <w:right w:val="none" w:sz="0" w:space="0" w:color="auto"/>
              </w:divBdr>
            </w:div>
            <w:div w:id="370230176">
              <w:marLeft w:val="0"/>
              <w:marRight w:val="0"/>
              <w:marTop w:val="0"/>
              <w:marBottom w:val="0"/>
              <w:divBdr>
                <w:top w:val="none" w:sz="0" w:space="0" w:color="auto"/>
                <w:left w:val="none" w:sz="0" w:space="0" w:color="auto"/>
                <w:bottom w:val="none" w:sz="0" w:space="0" w:color="auto"/>
                <w:right w:val="none" w:sz="0" w:space="0" w:color="auto"/>
              </w:divBdr>
            </w:div>
            <w:div w:id="2080638191">
              <w:marLeft w:val="0"/>
              <w:marRight w:val="0"/>
              <w:marTop w:val="0"/>
              <w:marBottom w:val="0"/>
              <w:divBdr>
                <w:top w:val="none" w:sz="0" w:space="0" w:color="auto"/>
                <w:left w:val="none" w:sz="0" w:space="0" w:color="auto"/>
                <w:bottom w:val="none" w:sz="0" w:space="0" w:color="auto"/>
                <w:right w:val="none" w:sz="0" w:space="0" w:color="auto"/>
              </w:divBdr>
            </w:div>
            <w:div w:id="1845852645">
              <w:marLeft w:val="0"/>
              <w:marRight w:val="0"/>
              <w:marTop w:val="0"/>
              <w:marBottom w:val="0"/>
              <w:divBdr>
                <w:top w:val="none" w:sz="0" w:space="0" w:color="auto"/>
                <w:left w:val="none" w:sz="0" w:space="0" w:color="auto"/>
                <w:bottom w:val="none" w:sz="0" w:space="0" w:color="auto"/>
                <w:right w:val="none" w:sz="0" w:space="0" w:color="auto"/>
              </w:divBdr>
            </w:div>
            <w:div w:id="937565211">
              <w:marLeft w:val="0"/>
              <w:marRight w:val="0"/>
              <w:marTop w:val="0"/>
              <w:marBottom w:val="0"/>
              <w:divBdr>
                <w:top w:val="none" w:sz="0" w:space="0" w:color="auto"/>
                <w:left w:val="none" w:sz="0" w:space="0" w:color="auto"/>
                <w:bottom w:val="none" w:sz="0" w:space="0" w:color="auto"/>
                <w:right w:val="none" w:sz="0" w:space="0" w:color="auto"/>
              </w:divBdr>
            </w:div>
            <w:div w:id="401172818">
              <w:marLeft w:val="0"/>
              <w:marRight w:val="0"/>
              <w:marTop w:val="0"/>
              <w:marBottom w:val="0"/>
              <w:divBdr>
                <w:top w:val="none" w:sz="0" w:space="0" w:color="auto"/>
                <w:left w:val="none" w:sz="0" w:space="0" w:color="auto"/>
                <w:bottom w:val="none" w:sz="0" w:space="0" w:color="auto"/>
                <w:right w:val="none" w:sz="0" w:space="0" w:color="auto"/>
              </w:divBdr>
            </w:div>
          </w:divsChild>
        </w:div>
        <w:div w:id="1223440560">
          <w:marLeft w:val="0"/>
          <w:marRight w:val="0"/>
          <w:marTop w:val="0"/>
          <w:marBottom w:val="0"/>
          <w:divBdr>
            <w:top w:val="none" w:sz="0" w:space="0" w:color="auto"/>
            <w:left w:val="none" w:sz="0" w:space="0" w:color="auto"/>
            <w:bottom w:val="none" w:sz="0" w:space="0" w:color="auto"/>
            <w:right w:val="none" w:sz="0" w:space="0" w:color="auto"/>
          </w:divBdr>
        </w:div>
        <w:div w:id="1062026517">
          <w:marLeft w:val="0"/>
          <w:marRight w:val="0"/>
          <w:marTop w:val="0"/>
          <w:marBottom w:val="0"/>
          <w:divBdr>
            <w:top w:val="none" w:sz="0" w:space="0" w:color="auto"/>
            <w:left w:val="none" w:sz="0" w:space="0" w:color="auto"/>
            <w:bottom w:val="none" w:sz="0" w:space="0" w:color="auto"/>
            <w:right w:val="none" w:sz="0" w:space="0" w:color="auto"/>
          </w:divBdr>
        </w:div>
        <w:div w:id="1848324438">
          <w:marLeft w:val="0"/>
          <w:marRight w:val="0"/>
          <w:marTop w:val="0"/>
          <w:marBottom w:val="0"/>
          <w:divBdr>
            <w:top w:val="none" w:sz="0" w:space="0" w:color="auto"/>
            <w:left w:val="none" w:sz="0" w:space="0" w:color="auto"/>
            <w:bottom w:val="none" w:sz="0" w:space="0" w:color="auto"/>
            <w:right w:val="none" w:sz="0" w:space="0" w:color="auto"/>
          </w:divBdr>
        </w:div>
        <w:div w:id="1243754318">
          <w:marLeft w:val="0"/>
          <w:marRight w:val="0"/>
          <w:marTop w:val="0"/>
          <w:marBottom w:val="0"/>
          <w:divBdr>
            <w:top w:val="none" w:sz="0" w:space="0" w:color="auto"/>
            <w:left w:val="none" w:sz="0" w:space="0" w:color="auto"/>
            <w:bottom w:val="none" w:sz="0" w:space="0" w:color="auto"/>
            <w:right w:val="none" w:sz="0" w:space="0" w:color="auto"/>
          </w:divBdr>
        </w:div>
        <w:div w:id="1788229808">
          <w:marLeft w:val="0"/>
          <w:marRight w:val="0"/>
          <w:marTop w:val="0"/>
          <w:marBottom w:val="0"/>
          <w:divBdr>
            <w:top w:val="none" w:sz="0" w:space="0" w:color="auto"/>
            <w:left w:val="none" w:sz="0" w:space="0" w:color="auto"/>
            <w:bottom w:val="none" w:sz="0" w:space="0" w:color="auto"/>
            <w:right w:val="none" w:sz="0" w:space="0" w:color="auto"/>
          </w:divBdr>
        </w:div>
        <w:div w:id="1288202036">
          <w:marLeft w:val="0"/>
          <w:marRight w:val="0"/>
          <w:marTop w:val="0"/>
          <w:marBottom w:val="0"/>
          <w:divBdr>
            <w:top w:val="none" w:sz="0" w:space="0" w:color="auto"/>
            <w:left w:val="none" w:sz="0" w:space="0" w:color="auto"/>
            <w:bottom w:val="none" w:sz="0" w:space="0" w:color="auto"/>
            <w:right w:val="none" w:sz="0" w:space="0" w:color="auto"/>
          </w:divBdr>
        </w:div>
        <w:div w:id="1662075631">
          <w:marLeft w:val="0"/>
          <w:marRight w:val="0"/>
          <w:marTop w:val="0"/>
          <w:marBottom w:val="0"/>
          <w:divBdr>
            <w:top w:val="none" w:sz="0" w:space="0" w:color="auto"/>
            <w:left w:val="none" w:sz="0" w:space="0" w:color="auto"/>
            <w:bottom w:val="none" w:sz="0" w:space="0" w:color="auto"/>
            <w:right w:val="none" w:sz="0" w:space="0" w:color="auto"/>
          </w:divBdr>
        </w:div>
        <w:div w:id="1608191866">
          <w:marLeft w:val="0"/>
          <w:marRight w:val="0"/>
          <w:marTop w:val="0"/>
          <w:marBottom w:val="0"/>
          <w:divBdr>
            <w:top w:val="none" w:sz="0" w:space="0" w:color="auto"/>
            <w:left w:val="none" w:sz="0" w:space="0" w:color="auto"/>
            <w:bottom w:val="none" w:sz="0" w:space="0" w:color="auto"/>
            <w:right w:val="none" w:sz="0" w:space="0" w:color="auto"/>
          </w:divBdr>
        </w:div>
        <w:div w:id="926427437">
          <w:marLeft w:val="0"/>
          <w:marRight w:val="0"/>
          <w:marTop w:val="0"/>
          <w:marBottom w:val="0"/>
          <w:divBdr>
            <w:top w:val="none" w:sz="0" w:space="0" w:color="auto"/>
            <w:left w:val="none" w:sz="0" w:space="0" w:color="auto"/>
            <w:bottom w:val="none" w:sz="0" w:space="0" w:color="auto"/>
            <w:right w:val="none" w:sz="0" w:space="0" w:color="auto"/>
          </w:divBdr>
        </w:div>
        <w:div w:id="1253276863">
          <w:marLeft w:val="0"/>
          <w:marRight w:val="0"/>
          <w:marTop w:val="0"/>
          <w:marBottom w:val="0"/>
          <w:divBdr>
            <w:top w:val="none" w:sz="0" w:space="0" w:color="auto"/>
            <w:left w:val="none" w:sz="0" w:space="0" w:color="auto"/>
            <w:bottom w:val="none" w:sz="0" w:space="0" w:color="auto"/>
            <w:right w:val="none" w:sz="0" w:space="0" w:color="auto"/>
          </w:divBdr>
        </w:div>
      </w:divsChild>
    </w:div>
    <w:div w:id="1310134725">
      <w:bodyDiv w:val="1"/>
      <w:marLeft w:val="0"/>
      <w:marRight w:val="0"/>
      <w:marTop w:val="0"/>
      <w:marBottom w:val="0"/>
      <w:divBdr>
        <w:top w:val="none" w:sz="0" w:space="0" w:color="auto"/>
        <w:left w:val="none" w:sz="0" w:space="0" w:color="auto"/>
        <w:bottom w:val="none" w:sz="0" w:space="0" w:color="auto"/>
        <w:right w:val="none" w:sz="0" w:space="0" w:color="auto"/>
      </w:divBdr>
      <w:divsChild>
        <w:div w:id="1680229156">
          <w:marLeft w:val="0"/>
          <w:marRight w:val="0"/>
          <w:marTop w:val="0"/>
          <w:marBottom w:val="0"/>
          <w:divBdr>
            <w:top w:val="none" w:sz="0" w:space="0" w:color="auto"/>
            <w:left w:val="none" w:sz="0" w:space="0" w:color="auto"/>
            <w:bottom w:val="none" w:sz="0" w:space="0" w:color="auto"/>
            <w:right w:val="none" w:sz="0" w:space="0" w:color="auto"/>
          </w:divBdr>
          <w:divsChild>
            <w:div w:id="1601453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407382">
      <w:bodyDiv w:val="1"/>
      <w:marLeft w:val="0"/>
      <w:marRight w:val="0"/>
      <w:marTop w:val="0"/>
      <w:marBottom w:val="0"/>
      <w:divBdr>
        <w:top w:val="none" w:sz="0" w:space="0" w:color="auto"/>
        <w:left w:val="none" w:sz="0" w:space="0" w:color="auto"/>
        <w:bottom w:val="none" w:sz="0" w:space="0" w:color="auto"/>
        <w:right w:val="none" w:sz="0" w:space="0" w:color="auto"/>
      </w:divBdr>
      <w:divsChild>
        <w:div w:id="172034738">
          <w:marLeft w:val="0"/>
          <w:marRight w:val="0"/>
          <w:marTop w:val="0"/>
          <w:marBottom w:val="0"/>
          <w:divBdr>
            <w:top w:val="none" w:sz="0" w:space="0" w:color="auto"/>
            <w:left w:val="none" w:sz="0" w:space="0" w:color="auto"/>
            <w:bottom w:val="none" w:sz="0" w:space="0" w:color="auto"/>
            <w:right w:val="none" w:sz="0" w:space="0" w:color="auto"/>
          </w:divBdr>
        </w:div>
        <w:div w:id="193688242">
          <w:marLeft w:val="0"/>
          <w:marRight w:val="0"/>
          <w:marTop w:val="0"/>
          <w:marBottom w:val="0"/>
          <w:divBdr>
            <w:top w:val="none" w:sz="0" w:space="0" w:color="auto"/>
            <w:left w:val="none" w:sz="0" w:space="0" w:color="auto"/>
            <w:bottom w:val="none" w:sz="0" w:space="0" w:color="auto"/>
            <w:right w:val="none" w:sz="0" w:space="0" w:color="auto"/>
          </w:divBdr>
        </w:div>
        <w:div w:id="323050346">
          <w:marLeft w:val="0"/>
          <w:marRight w:val="0"/>
          <w:marTop w:val="0"/>
          <w:marBottom w:val="0"/>
          <w:divBdr>
            <w:top w:val="none" w:sz="0" w:space="0" w:color="auto"/>
            <w:left w:val="none" w:sz="0" w:space="0" w:color="auto"/>
            <w:bottom w:val="none" w:sz="0" w:space="0" w:color="auto"/>
            <w:right w:val="none" w:sz="0" w:space="0" w:color="auto"/>
          </w:divBdr>
        </w:div>
        <w:div w:id="334577324">
          <w:marLeft w:val="0"/>
          <w:marRight w:val="0"/>
          <w:marTop w:val="0"/>
          <w:marBottom w:val="0"/>
          <w:divBdr>
            <w:top w:val="none" w:sz="0" w:space="0" w:color="auto"/>
            <w:left w:val="none" w:sz="0" w:space="0" w:color="auto"/>
            <w:bottom w:val="none" w:sz="0" w:space="0" w:color="auto"/>
            <w:right w:val="none" w:sz="0" w:space="0" w:color="auto"/>
          </w:divBdr>
        </w:div>
        <w:div w:id="453257896">
          <w:marLeft w:val="0"/>
          <w:marRight w:val="0"/>
          <w:marTop w:val="0"/>
          <w:marBottom w:val="0"/>
          <w:divBdr>
            <w:top w:val="none" w:sz="0" w:space="0" w:color="auto"/>
            <w:left w:val="none" w:sz="0" w:space="0" w:color="auto"/>
            <w:bottom w:val="none" w:sz="0" w:space="0" w:color="auto"/>
            <w:right w:val="none" w:sz="0" w:space="0" w:color="auto"/>
          </w:divBdr>
        </w:div>
        <w:div w:id="746923920">
          <w:marLeft w:val="0"/>
          <w:marRight w:val="0"/>
          <w:marTop w:val="0"/>
          <w:marBottom w:val="0"/>
          <w:divBdr>
            <w:top w:val="none" w:sz="0" w:space="0" w:color="auto"/>
            <w:left w:val="none" w:sz="0" w:space="0" w:color="auto"/>
            <w:bottom w:val="none" w:sz="0" w:space="0" w:color="auto"/>
            <w:right w:val="none" w:sz="0" w:space="0" w:color="auto"/>
          </w:divBdr>
        </w:div>
        <w:div w:id="780029984">
          <w:marLeft w:val="0"/>
          <w:marRight w:val="0"/>
          <w:marTop w:val="0"/>
          <w:marBottom w:val="0"/>
          <w:divBdr>
            <w:top w:val="none" w:sz="0" w:space="0" w:color="auto"/>
            <w:left w:val="none" w:sz="0" w:space="0" w:color="auto"/>
            <w:bottom w:val="none" w:sz="0" w:space="0" w:color="auto"/>
            <w:right w:val="none" w:sz="0" w:space="0" w:color="auto"/>
          </w:divBdr>
        </w:div>
        <w:div w:id="813764665">
          <w:marLeft w:val="0"/>
          <w:marRight w:val="0"/>
          <w:marTop w:val="0"/>
          <w:marBottom w:val="0"/>
          <w:divBdr>
            <w:top w:val="none" w:sz="0" w:space="0" w:color="auto"/>
            <w:left w:val="none" w:sz="0" w:space="0" w:color="auto"/>
            <w:bottom w:val="none" w:sz="0" w:space="0" w:color="auto"/>
            <w:right w:val="none" w:sz="0" w:space="0" w:color="auto"/>
          </w:divBdr>
        </w:div>
        <w:div w:id="1072390926">
          <w:marLeft w:val="0"/>
          <w:marRight w:val="0"/>
          <w:marTop w:val="0"/>
          <w:marBottom w:val="0"/>
          <w:divBdr>
            <w:top w:val="none" w:sz="0" w:space="0" w:color="auto"/>
            <w:left w:val="none" w:sz="0" w:space="0" w:color="auto"/>
            <w:bottom w:val="none" w:sz="0" w:space="0" w:color="auto"/>
            <w:right w:val="none" w:sz="0" w:space="0" w:color="auto"/>
          </w:divBdr>
        </w:div>
        <w:div w:id="1436364370">
          <w:marLeft w:val="0"/>
          <w:marRight w:val="0"/>
          <w:marTop w:val="0"/>
          <w:marBottom w:val="0"/>
          <w:divBdr>
            <w:top w:val="none" w:sz="0" w:space="0" w:color="auto"/>
            <w:left w:val="none" w:sz="0" w:space="0" w:color="auto"/>
            <w:bottom w:val="none" w:sz="0" w:space="0" w:color="auto"/>
            <w:right w:val="none" w:sz="0" w:space="0" w:color="auto"/>
          </w:divBdr>
        </w:div>
        <w:div w:id="1450780312">
          <w:marLeft w:val="0"/>
          <w:marRight w:val="0"/>
          <w:marTop w:val="0"/>
          <w:marBottom w:val="0"/>
          <w:divBdr>
            <w:top w:val="none" w:sz="0" w:space="0" w:color="auto"/>
            <w:left w:val="none" w:sz="0" w:space="0" w:color="auto"/>
            <w:bottom w:val="none" w:sz="0" w:space="0" w:color="auto"/>
            <w:right w:val="none" w:sz="0" w:space="0" w:color="auto"/>
          </w:divBdr>
        </w:div>
        <w:div w:id="1461148271">
          <w:marLeft w:val="0"/>
          <w:marRight w:val="0"/>
          <w:marTop w:val="0"/>
          <w:marBottom w:val="0"/>
          <w:divBdr>
            <w:top w:val="none" w:sz="0" w:space="0" w:color="auto"/>
            <w:left w:val="none" w:sz="0" w:space="0" w:color="auto"/>
            <w:bottom w:val="none" w:sz="0" w:space="0" w:color="auto"/>
            <w:right w:val="none" w:sz="0" w:space="0" w:color="auto"/>
          </w:divBdr>
        </w:div>
        <w:div w:id="1475873492">
          <w:marLeft w:val="0"/>
          <w:marRight w:val="0"/>
          <w:marTop w:val="0"/>
          <w:marBottom w:val="0"/>
          <w:divBdr>
            <w:top w:val="none" w:sz="0" w:space="0" w:color="auto"/>
            <w:left w:val="none" w:sz="0" w:space="0" w:color="auto"/>
            <w:bottom w:val="none" w:sz="0" w:space="0" w:color="auto"/>
            <w:right w:val="none" w:sz="0" w:space="0" w:color="auto"/>
          </w:divBdr>
        </w:div>
        <w:div w:id="1544709206">
          <w:marLeft w:val="0"/>
          <w:marRight w:val="0"/>
          <w:marTop w:val="0"/>
          <w:marBottom w:val="0"/>
          <w:divBdr>
            <w:top w:val="none" w:sz="0" w:space="0" w:color="auto"/>
            <w:left w:val="none" w:sz="0" w:space="0" w:color="auto"/>
            <w:bottom w:val="none" w:sz="0" w:space="0" w:color="auto"/>
            <w:right w:val="none" w:sz="0" w:space="0" w:color="auto"/>
          </w:divBdr>
        </w:div>
        <w:div w:id="1837383452">
          <w:marLeft w:val="0"/>
          <w:marRight w:val="0"/>
          <w:marTop w:val="0"/>
          <w:marBottom w:val="0"/>
          <w:divBdr>
            <w:top w:val="none" w:sz="0" w:space="0" w:color="auto"/>
            <w:left w:val="none" w:sz="0" w:space="0" w:color="auto"/>
            <w:bottom w:val="none" w:sz="0" w:space="0" w:color="auto"/>
            <w:right w:val="none" w:sz="0" w:space="0" w:color="auto"/>
          </w:divBdr>
        </w:div>
        <w:div w:id="1866092351">
          <w:marLeft w:val="0"/>
          <w:marRight w:val="0"/>
          <w:marTop w:val="0"/>
          <w:marBottom w:val="0"/>
          <w:divBdr>
            <w:top w:val="none" w:sz="0" w:space="0" w:color="auto"/>
            <w:left w:val="none" w:sz="0" w:space="0" w:color="auto"/>
            <w:bottom w:val="none" w:sz="0" w:space="0" w:color="auto"/>
            <w:right w:val="none" w:sz="0" w:space="0" w:color="auto"/>
          </w:divBdr>
        </w:div>
        <w:div w:id="1934126558">
          <w:marLeft w:val="0"/>
          <w:marRight w:val="0"/>
          <w:marTop w:val="0"/>
          <w:marBottom w:val="0"/>
          <w:divBdr>
            <w:top w:val="none" w:sz="0" w:space="0" w:color="auto"/>
            <w:left w:val="none" w:sz="0" w:space="0" w:color="auto"/>
            <w:bottom w:val="none" w:sz="0" w:space="0" w:color="auto"/>
            <w:right w:val="none" w:sz="0" w:space="0" w:color="auto"/>
          </w:divBdr>
        </w:div>
        <w:div w:id="1984891599">
          <w:marLeft w:val="0"/>
          <w:marRight w:val="0"/>
          <w:marTop w:val="0"/>
          <w:marBottom w:val="0"/>
          <w:divBdr>
            <w:top w:val="none" w:sz="0" w:space="0" w:color="auto"/>
            <w:left w:val="none" w:sz="0" w:space="0" w:color="auto"/>
            <w:bottom w:val="none" w:sz="0" w:space="0" w:color="auto"/>
            <w:right w:val="none" w:sz="0" w:space="0" w:color="auto"/>
          </w:divBdr>
        </w:div>
        <w:div w:id="1996181263">
          <w:marLeft w:val="0"/>
          <w:marRight w:val="0"/>
          <w:marTop w:val="0"/>
          <w:marBottom w:val="0"/>
          <w:divBdr>
            <w:top w:val="none" w:sz="0" w:space="0" w:color="auto"/>
            <w:left w:val="none" w:sz="0" w:space="0" w:color="auto"/>
            <w:bottom w:val="none" w:sz="0" w:space="0" w:color="auto"/>
            <w:right w:val="none" w:sz="0" w:space="0" w:color="auto"/>
          </w:divBdr>
        </w:div>
        <w:div w:id="2003699786">
          <w:marLeft w:val="0"/>
          <w:marRight w:val="0"/>
          <w:marTop w:val="0"/>
          <w:marBottom w:val="0"/>
          <w:divBdr>
            <w:top w:val="none" w:sz="0" w:space="0" w:color="auto"/>
            <w:left w:val="none" w:sz="0" w:space="0" w:color="auto"/>
            <w:bottom w:val="none" w:sz="0" w:space="0" w:color="auto"/>
            <w:right w:val="none" w:sz="0" w:space="0" w:color="auto"/>
          </w:divBdr>
        </w:div>
        <w:div w:id="2044357915">
          <w:marLeft w:val="0"/>
          <w:marRight w:val="0"/>
          <w:marTop w:val="0"/>
          <w:marBottom w:val="0"/>
          <w:divBdr>
            <w:top w:val="none" w:sz="0" w:space="0" w:color="auto"/>
            <w:left w:val="none" w:sz="0" w:space="0" w:color="auto"/>
            <w:bottom w:val="none" w:sz="0" w:space="0" w:color="auto"/>
            <w:right w:val="none" w:sz="0" w:space="0" w:color="auto"/>
          </w:divBdr>
        </w:div>
        <w:div w:id="2097047582">
          <w:marLeft w:val="0"/>
          <w:marRight w:val="0"/>
          <w:marTop w:val="0"/>
          <w:marBottom w:val="0"/>
          <w:divBdr>
            <w:top w:val="none" w:sz="0" w:space="0" w:color="auto"/>
            <w:left w:val="none" w:sz="0" w:space="0" w:color="auto"/>
            <w:bottom w:val="none" w:sz="0" w:space="0" w:color="auto"/>
            <w:right w:val="none" w:sz="0" w:space="0" w:color="auto"/>
          </w:divBdr>
        </w:div>
      </w:divsChild>
    </w:div>
    <w:div w:id="1318268750">
      <w:bodyDiv w:val="1"/>
      <w:marLeft w:val="0"/>
      <w:marRight w:val="0"/>
      <w:marTop w:val="0"/>
      <w:marBottom w:val="0"/>
      <w:divBdr>
        <w:top w:val="none" w:sz="0" w:space="0" w:color="auto"/>
        <w:left w:val="none" w:sz="0" w:space="0" w:color="auto"/>
        <w:bottom w:val="none" w:sz="0" w:space="0" w:color="auto"/>
        <w:right w:val="none" w:sz="0" w:space="0" w:color="auto"/>
      </w:divBdr>
      <w:divsChild>
        <w:div w:id="96952358">
          <w:marLeft w:val="0"/>
          <w:marRight w:val="0"/>
          <w:marTop w:val="0"/>
          <w:marBottom w:val="0"/>
          <w:divBdr>
            <w:top w:val="none" w:sz="0" w:space="0" w:color="auto"/>
            <w:left w:val="none" w:sz="0" w:space="0" w:color="auto"/>
            <w:bottom w:val="none" w:sz="0" w:space="0" w:color="auto"/>
            <w:right w:val="none" w:sz="0" w:space="0" w:color="auto"/>
          </w:divBdr>
        </w:div>
        <w:div w:id="434516577">
          <w:marLeft w:val="0"/>
          <w:marRight w:val="0"/>
          <w:marTop w:val="0"/>
          <w:marBottom w:val="0"/>
          <w:divBdr>
            <w:top w:val="none" w:sz="0" w:space="0" w:color="auto"/>
            <w:left w:val="none" w:sz="0" w:space="0" w:color="auto"/>
            <w:bottom w:val="none" w:sz="0" w:space="0" w:color="auto"/>
            <w:right w:val="none" w:sz="0" w:space="0" w:color="auto"/>
          </w:divBdr>
        </w:div>
        <w:div w:id="831139776">
          <w:marLeft w:val="0"/>
          <w:marRight w:val="0"/>
          <w:marTop w:val="0"/>
          <w:marBottom w:val="0"/>
          <w:divBdr>
            <w:top w:val="none" w:sz="0" w:space="0" w:color="auto"/>
            <w:left w:val="none" w:sz="0" w:space="0" w:color="auto"/>
            <w:bottom w:val="none" w:sz="0" w:space="0" w:color="auto"/>
            <w:right w:val="none" w:sz="0" w:space="0" w:color="auto"/>
          </w:divBdr>
        </w:div>
        <w:div w:id="936137688">
          <w:marLeft w:val="0"/>
          <w:marRight w:val="0"/>
          <w:marTop w:val="0"/>
          <w:marBottom w:val="0"/>
          <w:divBdr>
            <w:top w:val="none" w:sz="0" w:space="0" w:color="auto"/>
            <w:left w:val="none" w:sz="0" w:space="0" w:color="auto"/>
            <w:bottom w:val="none" w:sz="0" w:space="0" w:color="auto"/>
            <w:right w:val="none" w:sz="0" w:space="0" w:color="auto"/>
          </w:divBdr>
        </w:div>
        <w:div w:id="1040206439">
          <w:marLeft w:val="0"/>
          <w:marRight w:val="0"/>
          <w:marTop w:val="0"/>
          <w:marBottom w:val="0"/>
          <w:divBdr>
            <w:top w:val="none" w:sz="0" w:space="0" w:color="auto"/>
            <w:left w:val="none" w:sz="0" w:space="0" w:color="auto"/>
            <w:bottom w:val="none" w:sz="0" w:space="0" w:color="auto"/>
            <w:right w:val="none" w:sz="0" w:space="0" w:color="auto"/>
          </w:divBdr>
        </w:div>
        <w:div w:id="1157501632">
          <w:marLeft w:val="0"/>
          <w:marRight w:val="0"/>
          <w:marTop w:val="0"/>
          <w:marBottom w:val="0"/>
          <w:divBdr>
            <w:top w:val="none" w:sz="0" w:space="0" w:color="auto"/>
            <w:left w:val="none" w:sz="0" w:space="0" w:color="auto"/>
            <w:bottom w:val="none" w:sz="0" w:space="0" w:color="auto"/>
            <w:right w:val="none" w:sz="0" w:space="0" w:color="auto"/>
          </w:divBdr>
        </w:div>
        <w:div w:id="1269775183">
          <w:marLeft w:val="0"/>
          <w:marRight w:val="0"/>
          <w:marTop w:val="0"/>
          <w:marBottom w:val="0"/>
          <w:divBdr>
            <w:top w:val="none" w:sz="0" w:space="0" w:color="auto"/>
            <w:left w:val="none" w:sz="0" w:space="0" w:color="auto"/>
            <w:bottom w:val="none" w:sz="0" w:space="0" w:color="auto"/>
            <w:right w:val="none" w:sz="0" w:space="0" w:color="auto"/>
          </w:divBdr>
        </w:div>
        <w:div w:id="1289311164">
          <w:marLeft w:val="0"/>
          <w:marRight w:val="0"/>
          <w:marTop w:val="0"/>
          <w:marBottom w:val="0"/>
          <w:divBdr>
            <w:top w:val="none" w:sz="0" w:space="0" w:color="auto"/>
            <w:left w:val="none" w:sz="0" w:space="0" w:color="auto"/>
            <w:bottom w:val="none" w:sz="0" w:space="0" w:color="auto"/>
            <w:right w:val="none" w:sz="0" w:space="0" w:color="auto"/>
          </w:divBdr>
        </w:div>
        <w:div w:id="1809468356">
          <w:marLeft w:val="0"/>
          <w:marRight w:val="0"/>
          <w:marTop w:val="0"/>
          <w:marBottom w:val="0"/>
          <w:divBdr>
            <w:top w:val="none" w:sz="0" w:space="0" w:color="auto"/>
            <w:left w:val="none" w:sz="0" w:space="0" w:color="auto"/>
            <w:bottom w:val="none" w:sz="0" w:space="0" w:color="auto"/>
            <w:right w:val="none" w:sz="0" w:space="0" w:color="auto"/>
          </w:divBdr>
        </w:div>
      </w:divsChild>
    </w:div>
    <w:div w:id="1335496229">
      <w:bodyDiv w:val="1"/>
      <w:marLeft w:val="0"/>
      <w:marRight w:val="0"/>
      <w:marTop w:val="0"/>
      <w:marBottom w:val="0"/>
      <w:divBdr>
        <w:top w:val="none" w:sz="0" w:space="0" w:color="auto"/>
        <w:left w:val="none" w:sz="0" w:space="0" w:color="auto"/>
        <w:bottom w:val="none" w:sz="0" w:space="0" w:color="auto"/>
        <w:right w:val="none" w:sz="0" w:space="0" w:color="auto"/>
      </w:divBdr>
    </w:div>
    <w:div w:id="1347319858">
      <w:bodyDiv w:val="1"/>
      <w:marLeft w:val="0"/>
      <w:marRight w:val="0"/>
      <w:marTop w:val="0"/>
      <w:marBottom w:val="0"/>
      <w:divBdr>
        <w:top w:val="none" w:sz="0" w:space="0" w:color="auto"/>
        <w:left w:val="none" w:sz="0" w:space="0" w:color="auto"/>
        <w:bottom w:val="none" w:sz="0" w:space="0" w:color="auto"/>
        <w:right w:val="none" w:sz="0" w:space="0" w:color="auto"/>
      </w:divBdr>
      <w:divsChild>
        <w:div w:id="33818273">
          <w:marLeft w:val="0"/>
          <w:marRight w:val="0"/>
          <w:marTop w:val="0"/>
          <w:marBottom w:val="0"/>
          <w:divBdr>
            <w:top w:val="none" w:sz="0" w:space="0" w:color="auto"/>
            <w:left w:val="none" w:sz="0" w:space="0" w:color="auto"/>
            <w:bottom w:val="none" w:sz="0" w:space="0" w:color="auto"/>
            <w:right w:val="none" w:sz="0" w:space="0" w:color="auto"/>
          </w:divBdr>
        </w:div>
        <w:div w:id="1962764122">
          <w:marLeft w:val="0"/>
          <w:marRight w:val="0"/>
          <w:marTop w:val="0"/>
          <w:marBottom w:val="0"/>
          <w:divBdr>
            <w:top w:val="none" w:sz="0" w:space="0" w:color="auto"/>
            <w:left w:val="none" w:sz="0" w:space="0" w:color="auto"/>
            <w:bottom w:val="none" w:sz="0" w:space="0" w:color="auto"/>
            <w:right w:val="none" w:sz="0" w:space="0" w:color="auto"/>
          </w:divBdr>
        </w:div>
      </w:divsChild>
    </w:div>
    <w:div w:id="1355227778">
      <w:bodyDiv w:val="1"/>
      <w:marLeft w:val="0"/>
      <w:marRight w:val="0"/>
      <w:marTop w:val="0"/>
      <w:marBottom w:val="0"/>
      <w:divBdr>
        <w:top w:val="none" w:sz="0" w:space="0" w:color="auto"/>
        <w:left w:val="none" w:sz="0" w:space="0" w:color="auto"/>
        <w:bottom w:val="none" w:sz="0" w:space="0" w:color="auto"/>
        <w:right w:val="none" w:sz="0" w:space="0" w:color="auto"/>
      </w:divBdr>
      <w:divsChild>
        <w:div w:id="33042097">
          <w:marLeft w:val="0"/>
          <w:marRight w:val="0"/>
          <w:marTop w:val="0"/>
          <w:marBottom w:val="0"/>
          <w:divBdr>
            <w:top w:val="none" w:sz="0" w:space="0" w:color="auto"/>
            <w:left w:val="none" w:sz="0" w:space="0" w:color="auto"/>
            <w:bottom w:val="none" w:sz="0" w:space="0" w:color="auto"/>
            <w:right w:val="none" w:sz="0" w:space="0" w:color="auto"/>
          </w:divBdr>
        </w:div>
        <w:div w:id="53552023">
          <w:marLeft w:val="0"/>
          <w:marRight w:val="0"/>
          <w:marTop w:val="0"/>
          <w:marBottom w:val="0"/>
          <w:divBdr>
            <w:top w:val="none" w:sz="0" w:space="0" w:color="auto"/>
            <w:left w:val="none" w:sz="0" w:space="0" w:color="auto"/>
            <w:bottom w:val="none" w:sz="0" w:space="0" w:color="auto"/>
            <w:right w:val="none" w:sz="0" w:space="0" w:color="auto"/>
          </w:divBdr>
        </w:div>
        <w:div w:id="76944885">
          <w:marLeft w:val="0"/>
          <w:marRight w:val="0"/>
          <w:marTop w:val="0"/>
          <w:marBottom w:val="0"/>
          <w:divBdr>
            <w:top w:val="none" w:sz="0" w:space="0" w:color="auto"/>
            <w:left w:val="none" w:sz="0" w:space="0" w:color="auto"/>
            <w:bottom w:val="none" w:sz="0" w:space="0" w:color="auto"/>
            <w:right w:val="none" w:sz="0" w:space="0" w:color="auto"/>
          </w:divBdr>
        </w:div>
        <w:div w:id="149105115">
          <w:marLeft w:val="0"/>
          <w:marRight w:val="0"/>
          <w:marTop w:val="0"/>
          <w:marBottom w:val="0"/>
          <w:divBdr>
            <w:top w:val="none" w:sz="0" w:space="0" w:color="auto"/>
            <w:left w:val="none" w:sz="0" w:space="0" w:color="auto"/>
            <w:bottom w:val="none" w:sz="0" w:space="0" w:color="auto"/>
            <w:right w:val="none" w:sz="0" w:space="0" w:color="auto"/>
          </w:divBdr>
        </w:div>
        <w:div w:id="185366431">
          <w:marLeft w:val="0"/>
          <w:marRight w:val="0"/>
          <w:marTop w:val="0"/>
          <w:marBottom w:val="0"/>
          <w:divBdr>
            <w:top w:val="none" w:sz="0" w:space="0" w:color="auto"/>
            <w:left w:val="none" w:sz="0" w:space="0" w:color="auto"/>
            <w:bottom w:val="none" w:sz="0" w:space="0" w:color="auto"/>
            <w:right w:val="none" w:sz="0" w:space="0" w:color="auto"/>
          </w:divBdr>
        </w:div>
        <w:div w:id="255987550">
          <w:marLeft w:val="0"/>
          <w:marRight w:val="0"/>
          <w:marTop w:val="0"/>
          <w:marBottom w:val="0"/>
          <w:divBdr>
            <w:top w:val="none" w:sz="0" w:space="0" w:color="auto"/>
            <w:left w:val="none" w:sz="0" w:space="0" w:color="auto"/>
            <w:bottom w:val="none" w:sz="0" w:space="0" w:color="auto"/>
            <w:right w:val="none" w:sz="0" w:space="0" w:color="auto"/>
          </w:divBdr>
        </w:div>
        <w:div w:id="258488801">
          <w:marLeft w:val="0"/>
          <w:marRight w:val="0"/>
          <w:marTop w:val="0"/>
          <w:marBottom w:val="0"/>
          <w:divBdr>
            <w:top w:val="none" w:sz="0" w:space="0" w:color="auto"/>
            <w:left w:val="none" w:sz="0" w:space="0" w:color="auto"/>
            <w:bottom w:val="none" w:sz="0" w:space="0" w:color="auto"/>
            <w:right w:val="none" w:sz="0" w:space="0" w:color="auto"/>
          </w:divBdr>
        </w:div>
        <w:div w:id="283855801">
          <w:marLeft w:val="0"/>
          <w:marRight w:val="0"/>
          <w:marTop w:val="0"/>
          <w:marBottom w:val="0"/>
          <w:divBdr>
            <w:top w:val="none" w:sz="0" w:space="0" w:color="auto"/>
            <w:left w:val="none" w:sz="0" w:space="0" w:color="auto"/>
            <w:bottom w:val="none" w:sz="0" w:space="0" w:color="auto"/>
            <w:right w:val="none" w:sz="0" w:space="0" w:color="auto"/>
          </w:divBdr>
        </w:div>
        <w:div w:id="383254823">
          <w:marLeft w:val="0"/>
          <w:marRight w:val="0"/>
          <w:marTop w:val="0"/>
          <w:marBottom w:val="0"/>
          <w:divBdr>
            <w:top w:val="none" w:sz="0" w:space="0" w:color="auto"/>
            <w:left w:val="none" w:sz="0" w:space="0" w:color="auto"/>
            <w:bottom w:val="none" w:sz="0" w:space="0" w:color="auto"/>
            <w:right w:val="none" w:sz="0" w:space="0" w:color="auto"/>
          </w:divBdr>
        </w:div>
        <w:div w:id="506946575">
          <w:marLeft w:val="0"/>
          <w:marRight w:val="0"/>
          <w:marTop w:val="0"/>
          <w:marBottom w:val="0"/>
          <w:divBdr>
            <w:top w:val="none" w:sz="0" w:space="0" w:color="auto"/>
            <w:left w:val="none" w:sz="0" w:space="0" w:color="auto"/>
            <w:bottom w:val="none" w:sz="0" w:space="0" w:color="auto"/>
            <w:right w:val="none" w:sz="0" w:space="0" w:color="auto"/>
          </w:divBdr>
        </w:div>
        <w:div w:id="509416977">
          <w:marLeft w:val="0"/>
          <w:marRight w:val="0"/>
          <w:marTop w:val="0"/>
          <w:marBottom w:val="0"/>
          <w:divBdr>
            <w:top w:val="none" w:sz="0" w:space="0" w:color="auto"/>
            <w:left w:val="none" w:sz="0" w:space="0" w:color="auto"/>
            <w:bottom w:val="none" w:sz="0" w:space="0" w:color="auto"/>
            <w:right w:val="none" w:sz="0" w:space="0" w:color="auto"/>
          </w:divBdr>
        </w:div>
        <w:div w:id="687021320">
          <w:marLeft w:val="0"/>
          <w:marRight w:val="0"/>
          <w:marTop w:val="0"/>
          <w:marBottom w:val="0"/>
          <w:divBdr>
            <w:top w:val="none" w:sz="0" w:space="0" w:color="auto"/>
            <w:left w:val="none" w:sz="0" w:space="0" w:color="auto"/>
            <w:bottom w:val="none" w:sz="0" w:space="0" w:color="auto"/>
            <w:right w:val="none" w:sz="0" w:space="0" w:color="auto"/>
          </w:divBdr>
        </w:div>
        <w:div w:id="731974916">
          <w:marLeft w:val="0"/>
          <w:marRight w:val="0"/>
          <w:marTop w:val="0"/>
          <w:marBottom w:val="0"/>
          <w:divBdr>
            <w:top w:val="none" w:sz="0" w:space="0" w:color="auto"/>
            <w:left w:val="none" w:sz="0" w:space="0" w:color="auto"/>
            <w:bottom w:val="none" w:sz="0" w:space="0" w:color="auto"/>
            <w:right w:val="none" w:sz="0" w:space="0" w:color="auto"/>
          </w:divBdr>
        </w:div>
        <w:div w:id="754866169">
          <w:marLeft w:val="0"/>
          <w:marRight w:val="0"/>
          <w:marTop w:val="0"/>
          <w:marBottom w:val="0"/>
          <w:divBdr>
            <w:top w:val="none" w:sz="0" w:space="0" w:color="auto"/>
            <w:left w:val="none" w:sz="0" w:space="0" w:color="auto"/>
            <w:bottom w:val="none" w:sz="0" w:space="0" w:color="auto"/>
            <w:right w:val="none" w:sz="0" w:space="0" w:color="auto"/>
          </w:divBdr>
        </w:div>
        <w:div w:id="761023910">
          <w:marLeft w:val="0"/>
          <w:marRight w:val="0"/>
          <w:marTop w:val="0"/>
          <w:marBottom w:val="0"/>
          <w:divBdr>
            <w:top w:val="none" w:sz="0" w:space="0" w:color="auto"/>
            <w:left w:val="none" w:sz="0" w:space="0" w:color="auto"/>
            <w:bottom w:val="none" w:sz="0" w:space="0" w:color="auto"/>
            <w:right w:val="none" w:sz="0" w:space="0" w:color="auto"/>
          </w:divBdr>
        </w:div>
        <w:div w:id="844513913">
          <w:marLeft w:val="0"/>
          <w:marRight w:val="0"/>
          <w:marTop w:val="0"/>
          <w:marBottom w:val="0"/>
          <w:divBdr>
            <w:top w:val="none" w:sz="0" w:space="0" w:color="auto"/>
            <w:left w:val="none" w:sz="0" w:space="0" w:color="auto"/>
            <w:bottom w:val="none" w:sz="0" w:space="0" w:color="auto"/>
            <w:right w:val="none" w:sz="0" w:space="0" w:color="auto"/>
          </w:divBdr>
        </w:div>
        <w:div w:id="858467908">
          <w:marLeft w:val="0"/>
          <w:marRight w:val="0"/>
          <w:marTop w:val="0"/>
          <w:marBottom w:val="0"/>
          <w:divBdr>
            <w:top w:val="none" w:sz="0" w:space="0" w:color="auto"/>
            <w:left w:val="none" w:sz="0" w:space="0" w:color="auto"/>
            <w:bottom w:val="none" w:sz="0" w:space="0" w:color="auto"/>
            <w:right w:val="none" w:sz="0" w:space="0" w:color="auto"/>
          </w:divBdr>
        </w:div>
        <w:div w:id="886143964">
          <w:marLeft w:val="0"/>
          <w:marRight w:val="0"/>
          <w:marTop w:val="0"/>
          <w:marBottom w:val="0"/>
          <w:divBdr>
            <w:top w:val="none" w:sz="0" w:space="0" w:color="auto"/>
            <w:left w:val="none" w:sz="0" w:space="0" w:color="auto"/>
            <w:bottom w:val="none" w:sz="0" w:space="0" w:color="auto"/>
            <w:right w:val="none" w:sz="0" w:space="0" w:color="auto"/>
          </w:divBdr>
        </w:div>
        <w:div w:id="930164354">
          <w:marLeft w:val="0"/>
          <w:marRight w:val="0"/>
          <w:marTop w:val="0"/>
          <w:marBottom w:val="0"/>
          <w:divBdr>
            <w:top w:val="none" w:sz="0" w:space="0" w:color="auto"/>
            <w:left w:val="none" w:sz="0" w:space="0" w:color="auto"/>
            <w:bottom w:val="none" w:sz="0" w:space="0" w:color="auto"/>
            <w:right w:val="none" w:sz="0" w:space="0" w:color="auto"/>
          </w:divBdr>
        </w:div>
        <w:div w:id="1004863733">
          <w:marLeft w:val="0"/>
          <w:marRight w:val="0"/>
          <w:marTop w:val="0"/>
          <w:marBottom w:val="0"/>
          <w:divBdr>
            <w:top w:val="none" w:sz="0" w:space="0" w:color="auto"/>
            <w:left w:val="none" w:sz="0" w:space="0" w:color="auto"/>
            <w:bottom w:val="none" w:sz="0" w:space="0" w:color="auto"/>
            <w:right w:val="none" w:sz="0" w:space="0" w:color="auto"/>
          </w:divBdr>
        </w:div>
        <w:div w:id="1012536668">
          <w:marLeft w:val="0"/>
          <w:marRight w:val="0"/>
          <w:marTop w:val="0"/>
          <w:marBottom w:val="0"/>
          <w:divBdr>
            <w:top w:val="none" w:sz="0" w:space="0" w:color="auto"/>
            <w:left w:val="none" w:sz="0" w:space="0" w:color="auto"/>
            <w:bottom w:val="none" w:sz="0" w:space="0" w:color="auto"/>
            <w:right w:val="none" w:sz="0" w:space="0" w:color="auto"/>
          </w:divBdr>
        </w:div>
        <w:div w:id="1048719514">
          <w:marLeft w:val="0"/>
          <w:marRight w:val="0"/>
          <w:marTop w:val="0"/>
          <w:marBottom w:val="0"/>
          <w:divBdr>
            <w:top w:val="none" w:sz="0" w:space="0" w:color="auto"/>
            <w:left w:val="none" w:sz="0" w:space="0" w:color="auto"/>
            <w:bottom w:val="none" w:sz="0" w:space="0" w:color="auto"/>
            <w:right w:val="none" w:sz="0" w:space="0" w:color="auto"/>
          </w:divBdr>
        </w:div>
        <w:div w:id="1251235052">
          <w:marLeft w:val="0"/>
          <w:marRight w:val="0"/>
          <w:marTop w:val="0"/>
          <w:marBottom w:val="0"/>
          <w:divBdr>
            <w:top w:val="none" w:sz="0" w:space="0" w:color="auto"/>
            <w:left w:val="none" w:sz="0" w:space="0" w:color="auto"/>
            <w:bottom w:val="none" w:sz="0" w:space="0" w:color="auto"/>
            <w:right w:val="none" w:sz="0" w:space="0" w:color="auto"/>
          </w:divBdr>
        </w:div>
        <w:div w:id="1301692776">
          <w:marLeft w:val="0"/>
          <w:marRight w:val="0"/>
          <w:marTop w:val="0"/>
          <w:marBottom w:val="0"/>
          <w:divBdr>
            <w:top w:val="none" w:sz="0" w:space="0" w:color="auto"/>
            <w:left w:val="none" w:sz="0" w:space="0" w:color="auto"/>
            <w:bottom w:val="none" w:sz="0" w:space="0" w:color="auto"/>
            <w:right w:val="none" w:sz="0" w:space="0" w:color="auto"/>
          </w:divBdr>
        </w:div>
        <w:div w:id="1361205359">
          <w:marLeft w:val="0"/>
          <w:marRight w:val="0"/>
          <w:marTop w:val="0"/>
          <w:marBottom w:val="0"/>
          <w:divBdr>
            <w:top w:val="none" w:sz="0" w:space="0" w:color="auto"/>
            <w:left w:val="none" w:sz="0" w:space="0" w:color="auto"/>
            <w:bottom w:val="none" w:sz="0" w:space="0" w:color="auto"/>
            <w:right w:val="none" w:sz="0" w:space="0" w:color="auto"/>
          </w:divBdr>
        </w:div>
        <w:div w:id="1378626654">
          <w:marLeft w:val="0"/>
          <w:marRight w:val="0"/>
          <w:marTop w:val="0"/>
          <w:marBottom w:val="0"/>
          <w:divBdr>
            <w:top w:val="none" w:sz="0" w:space="0" w:color="auto"/>
            <w:left w:val="none" w:sz="0" w:space="0" w:color="auto"/>
            <w:bottom w:val="none" w:sz="0" w:space="0" w:color="auto"/>
            <w:right w:val="none" w:sz="0" w:space="0" w:color="auto"/>
          </w:divBdr>
        </w:div>
        <w:div w:id="1385714030">
          <w:marLeft w:val="0"/>
          <w:marRight w:val="0"/>
          <w:marTop w:val="0"/>
          <w:marBottom w:val="0"/>
          <w:divBdr>
            <w:top w:val="none" w:sz="0" w:space="0" w:color="auto"/>
            <w:left w:val="none" w:sz="0" w:space="0" w:color="auto"/>
            <w:bottom w:val="none" w:sz="0" w:space="0" w:color="auto"/>
            <w:right w:val="none" w:sz="0" w:space="0" w:color="auto"/>
          </w:divBdr>
        </w:div>
        <w:div w:id="1415081858">
          <w:marLeft w:val="0"/>
          <w:marRight w:val="0"/>
          <w:marTop w:val="0"/>
          <w:marBottom w:val="0"/>
          <w:divBdr>
            <w:top w:val="none" w:sz="0" w:space="0" w:color="auto"/>
            <w:left w:val="none" w:sz="0" w:space="0" w:color="auto"/>
            <w:bottom w:val="none" w:sz="0" w:space="0" w:color="auto"/>
            <w:right w:val="none" w:sz="0" w:space="0" w:color="auto"/>
          </w:divBdr>
        </w:div>
        <w:div w:id="1594896103">
          <w:marLeft w:val="0"/>
          <w:marRight w:val="0"/>
          <w:marTop w:val="0"/>
          <w:marBottom w:val="0"/>
          <w:divBdr>
            <w:top w:val="none" w:sz="0" w:space="0" w:color="auto"/>
            <w:left w:val="none" w:sz="0" w:space="0" w:color="auto"/>
            <w:bottom w:val="none" w:sz="0" w:space="0" w:color="auto"/>
            <w:right w:val="none" w:sz="0" w:space="0" w:color="auto"/>
          </w:divBdr>
        </w:div>
        <w:div w:id="1690254831">
          <w:marLeft w:val="0"/>
          <w:marRight w:val="0"/>
          <w:marTop w:val="0"/>
          <w:marBottom w:val="0"/>
          <w:divBdr>
            <w:top w:val="none" w:sz="0" w:space="0" w:color="auto"/>
            <w:left w:val="none" w:sz="0" w:space="0" w:color="auto"/>
            <w:bottom w:val="none" w:sz="0" w:space="0" w:color="auto"/>
            <w:right w:val="none" w:sz="0" w:space="0" w:color="auto"/>
          </w:divBdr>
        </w:div>
        <w:div w:id="1822916578">
          <w:marLeft w:val="0"/>
          <w:marRight w:val="0"/>
          <w:marTop w:val="0"/>
          <w:marBottom w:val="0"/>
          <w:divBdr>
            <w:top w:val="none" w:sz="0" w:space="0" w:color="auto"/>
            <w:left w:val="none" w:sz="0" w:space="0" w:color="auto"/>
            <w:bottom w:val="none" w:sz="0" w:space="0" w:color="auto"/>
            <w:right w:val="none" w:sz="0" w:space="0" w:color="auto"/>
          </w:divBdr>
        </w:div>
        <w:div w:id="1840272587">
          <w:marLeft w:val="0"/>
          <w:marRight w:val="0"/>
          <w:marTop w:val="0"/>
          <w:marBottom w:val="0"/>
          <w:divBdr>
            <w:top w:val="none" w:sz="0" w:space="0" w:color="auto"/>
            <w:left w:val="none" w:sz="0" w:space="0" w:color="auto"/>
            <w:bottom w:val="none" w:sz="0" w:space="0" w:color="auto"/>
            <w:right w:val="none" w:sz="0" w:space="0" w:color="auto"/>
          </w:divBdr>
        </w:div>
        <w:div w:id="1931154178">
          <w:marLeft w:val="0"/>
          <w:marRight w:val="0"/>
          <w:marTop w:val="0"/>
          <w:marBottom w:val="0"/>
          <w:divBdr>
            <w:top w:val="none" w:sz="0" w:space="0" w:color="auto"/>
            <w:left w:val="none" w:sz="0" w:space="0" w:color="auto"/>
            <w:bottom w:val="none" w:sz="0" w:space="0" w:color="auto"/>
            <w:right w:val="none" w:sz="0" w:space="0" w:color="auto"/>
          </w:divBdr>
        </w:div>
        <w:div w:id="2034571470">
          <w:marLeft w:val="0"/>
          <w:marRight w:val="0"/>
          <w:marTop w:val="0"/>
          <w:marBottom w:val="0"/>
          <w:divBdr>
            <w:top w:val="none" w:sz="0" w:space="0" w:color="auto"/>
            <w:left w:val="none" w:sz="0" w:space="0" w:color="auto"/>
            <w:bottom w:val="none" w:sz="0" w:space="0" w:color="auto"/>
            <w:right w:val="none" w:sz="0" w:space="0" w:color="auto"/>
          </w:divBdr>
        </w:div>
        <w:div w:id="2047556365">
          <w:marLeft w:val="0"/>
          <w:marRight w:val="0"/>
          <w:marTop w:val="0"/>
          <w:marBottom w:val="0"/>
          <w:divBdr>
            <w:top w:val="none" w:sz="0" w:space="0" w:color="auto"/>
            <w:left w:val="none" w:sz="0" w:space="0" w:color="auto"/>
            <w:bottom w:val="none" w:sz="0" w:space="0" w:color="auto"/>
            <w:right w:val="none" w:sz="0" w:space="0" w:color="auto"/>
          </w:divBdr>
        </w:div>
        <w:div w:id="2080398131">
          <w:marLeft w:val="0"/>
          <w:marRight w:val="0"/>
          <w:marTop w:val="0"/>
          <w:marBottom w:val="0"/>
          <w:divBdr>
            <w:top w:val="none" w:sz="0" w:space="0" w:color="auto"/>
            <w:left w:val="none" w:sz="0" w:space="0" w:color="auto"/>
            <w:bottom w:val="none" w:sz="0" w:space="0" w:color="auto"/>
            <w:right w:val="none" w:sz="0" w:space="0" w:color="auto"/>
          </w:divBdr>
        </w:div>
        <w:div w:id="2127430198">
          <w:marLeft w:val="0"/>
          <w:marRight w:val="0"/>
          <w:marTop w:val="0"/>
          <w:marBottom w:val="0"/>
          <w:divBdr>
            <w:top w:val="none" w:sz="0" w:space="0" w:color="auto"/>
            <w:left w:val="none" w:sz="0" w:space="0" w:color="auto"/>
            <w:bottom w:val="none" w:sz="0" w:space="0" w:color="auto"/>
            <w:right w:val="none" w:sz="0" w:space="0" w:color="auto"/>
          </w:divBdr>
        </w:div>
      </w:divsChild>
    </w:div>
    <w:div w:id="1355959798">
      <w:bodyDiv w:val="1"/>
      <w:marLeft w:val="0"/>
      <w:marRight w:val="0"/>
      <w:marTop w:val="0"/>
      <w:marBottom w:val="0"/>
      <w:divBdr>
        <w:top w:val="none" w:sz="0" w:space="0" w:color="auto"/>
        <w:left w:val="none" w:sz="0" w:space="0" w:color="auto"/>
        <w:bottom w:val="none" w:sz="0" w:space="0" w:color="auto"/>
        <w:right w:val="none" w:sz="0" w:space="0" w:color="auto"/>
      </w:divBdr>
    </w:div>
    <w:div w:id="1363289295">
      <w:bodyDiv w:val="1"/>
      <w:marLeft w:val="0"/>
      <w:marRight w:val="0"/>
      <w:marTop w:val="0"/>
      <w:marBottom w:val="0"/>
      <w:divBdr>
        <w:top w:val="none" w:sz="0" w:space="0" w:color="auto"/>
        <w:left w:val="none" w:sz="0" w:space="0" w:color="auto"/>
        <w:bottom w:val="none" w:sz="0" w:space="0" w:color="auto"/>
        <w:right w:val="none" w:sz="0" w:space="0" w:color="auto"/>
      </w:divBdr>
      <w:divsChild>
        <w:div w:id="74716224">
          <w:marLeft w:val="0"/>
          <w:marRight w:val="0"/>
          <w:marTop w:val="0"/>
          <w:marBottom w:val="0"/>
          <w:divBdr>
            <w:top w:val="none" w:sz="0" w:space="0" w:color="auto"/>
            <w:left w:val="none" w:sz="0" w:space="0" w:color="auto"/>
            <w:bottom w:val="none" w:sz="0" w:space="0" w:color="auto"/>
            <w:right w:val="none" w:sz="0" w:space="0" w:color="auto"/>
          </w:divBdr>
        </w:div>
        <w:div w:id="309291129">
          <w:marLeft w:val="0"/>
          <w:marRight w:val="0"/>
          <w:marTop w:val="0"/>
          <w:marBottom w:val="0"/>
          <w:divBdr>
            <w:top w:val="none" w:sz="0" w:space="0" w:color="auto"/>
            <w:left w:val="none" w:sz="0" w:space="0" w:color="auto"/>
            <w:bottom w:val="none" w:sz="0" w:space="0" w:color="auto"/>
            <w:right w:val="none" w:sz="0" w:space="0" w:color="auto"/>
          </w:divBdr>
        </w:div>
        <w:div w:id="341706858">
          <w:marLeft w:val="0"/>
          <w:marRight w:val="0"/>
          <w:marTop w:val="0"/>
          <w:marBottom w:val="0"/>
          <w:divBdr>
            <w:top w:val="none" w:sz="0" w:space="0" w:color="auto"/>
            <w:left w:val="none" w:sz="0" w:space="0" w:color="auto"/>
            <w:bottom w:val="none" w:sz="0" w:space="0" w:color="auto"/>
            <w:right w:val="none" w:sz="0" w:space="0" w:color="auto"/>
          </w:divBdr>
        </w:div>
        <w:div w:id="346293661">
          <w:marLeft w:val="0"/>
          <w:marRight w:val="0"/>
          <w:marTop w:val="0"/>
          <w:marBottom w:val="0"/>
          <w:divBdr>
            <w:top w:val="none" w:sz="0" w:space="0" w:color="auto"/>
            <w:left w:val="none" w:sz="0" w:space="0" w:color="auto"/>
            <w:bottom w:val="none" w:sz="0" w:space="0" w:color="auto"/>
            <w:right w:val="none" w:sz="0" w:space="0" w:color="auto"/>
          </w:divBdr>
        </w:div>
        <w:div w:id="726027075">
          <w:marLeft w:val="0"/>
          <w:marRight w:val="0"/>
          <w:marTop w:val="0"/>
          <w:marBottom w:val="0"/>
          <w:divBdr>
            <w:top w:val="none" w:sz="0" w:space="0" w:color="auto"/>
            <w:left w:val="none" w:sz="0" w:space="0" w:color="auto"/>
            <w:bottom w:val="none" w:sz="0" w:space="0" w:color="auto"/>
            <w:right w:val="none" w:sz="0" w:space="0" w:color="auto"/>
          </w:divBdr>
        </w:div>
        <w:div w:id="840856253">
          <w:marLeft w:val="0"/>
          <w:marRight w:val="0"/>
          <w:marTop w:val="0"/>
          <w:marBottom w:val="0"/>
          <w:divBdr>
            <w:top w:val="none" w:sz="0" w:space="0" w:color="auto"/>
            <w:left w:val="none" w:sz="0" w:space="0" w:color="auto"/>
            <w:bottom w:val="none" w:sz="0" w:space="0" w:color="auto"/>
            <w:right w:val="none" w:sz="0" w:space="0" w:color="auto"/>
          </w:divBdr>
        </w:div>
        <w:div w:id="1026563538">
          <w:marLeft w:val="0"/>
          <w:marRight w:val="0"/>
          <w:marTop w:val="0"/>
          <w:marBottom w:val="0"/>
          <w:divBdr>
            <w:top w:val="none" w:sz="0" w:space="0" w:color="auto"/>
            <w:left w:val="none" w:sz="0" w:space="0" w:color="auto"/>
            <w:bottom w:val="none" w:sz="0" w:space="0" w:color="auto"/>
            <w:right w:val="none" w:sz="0" w:space="0" w:color="auto"/>
          </w:divBdr>
        </w:div>
        <w:div w:id="1105618498">
          <w:marLeft w:val="0"/>
          <w:marRight w:val="0"/>
          <w:marTop w:val="0"/>
          <w:marBottom w:val="0"/>
          <w:divBdr>
            <w:top w:val="none" w:sz="0" w:space="0" w:color="auto"/>
            <w:left w:val="none" w:sz="0" w:space="0" w:color="auto"/>
            <w:bottom w:val="none" w:sz="0" w:space="0" w:color="auto"/>
            <w:right w:val="none" w:sz="0" w:space="0" w:color="auto"/>
          </w:divBdr>
        </w:div>
        <w:div w:id="1262027988">
          <w:marLeft w:val="0"/>
          <w:marRight w:val="0"/>
          <w:marTop w:val="0"/>
          <w:marBottom w:val="0"/>
          <w:divBdr>
            <w:top w:val="none" w:sz="0" w:space="0" w:color="auto"/>
            <w:left w:val="none" w:sz="0" w:space="0" w:color="auto"/>
            <w:bottom w:val="none" w:sz="0" w:space="0" w:color="auto"/>
            <w:right w:val="none" w:sz="0" w:space="0" w:color="auto"/>
          </w:divBdr>
        </w:div>
        <w:div w:id="1347436965">
          <w:marLeft w:val="0"/>
          <w:marRight w:val="0"/>
          <w:marTop w:val="0"/>
          <w:marBottom w:val="0"/>
          <w:divBdr>
            <w:top w:val="none" w:sz="0" w:space="0" w:color="auto"/>
            <w:left w:val="none" w:sz="0" w:space="0" w:color="auto"/>
            <w:bottom w:val="none" w:sz="0" w:space="0" w:color="auto"/>
            <w:right w:val="none" w:sz="0" w:space="0" w:color="auto"/>
          </w:divBdr>
        </w:div>
        <w:div w:id="1373845933">
          <w:marLeft w:val="0"/>
          <w:marRight w:val="0"/>
          <w:marTop w:val="0"/>
          <w:marBottom w:val="0"/>
          <w:divBdr>
            <w:top w:val="none" w:sz="0" w:space="0" w:color="auto"/>
            <w:left w:val="none" w:sz="0" w:space="0" w:color="auto"/>
            <w:bottom w:val="none" w:sz="0" w:space="0" w:color="auto"/>
            <w:right w:val="none" w:sz="0" w:space="0" w:color="auto"/>
          </w:divBdr>
        </w:div>
        <w:div w:id="1637222836">
          <w:marLeft w:val="0"/>
          <w:marRight w:val="0"/>
          <w:marTop w:val="0"/>
          <w:marBottom w:val="0"/>
          <w:divBdr>
            <w:top w:val="none" w:sz="0" w:space="0" w:color="auto"/>
            <w:left w:val="none" w:sz="0" w:space="0" w:color="auto"/>
            <w:bottom w:val="none" w:sz="0" w:space="0" w:color="auto"/>
            <w:right w:val="none" w:sz="0" w:space="0" w:color="auto"/>
          </w:divBdr>
        </w:div>
        <w:div w:id="1655834836">
          <w:marLeft w:val="0"/>
          <w:marRight w:val="0"/>
          <w:marTop w:val="0"/>
          <w:marBottom w:val="0"/>
          <w:divBdr>
            <w:top w:val="none" w:sz="0" w:space="0" w:color="auto"/>
            <w:left w:val="none" w:sz="0" w:space="0" w:color="auto"/>
            <w:bottom w:val="none" w:sz="0" w:space="0" w:color="auto"/>
            <w:right w:val="none" w:sz="0" w:space="0" w:color="auto"/>
          </w:divBdr>
        </w:div>
        <w:div w:id="1726639882">
          <w:marLeft w:val="0"/>
          <w:marRight w:val="0"/>
          <w:marTop w:val="0"/>
          <w:marBottom w:val="0"/>
          <w:divBdr>
            <w:top w:val="none" w:sz="0" w:space="0" w:color="auto"/>
            <w:left w:val="none" w:sz="0" w:space="0" w:color="auto"/>
            <w:bottom w:val="none" w:sz="0" w:space="0" w:color="auto"/>
            <w:right w:val="none" w:sz="0" w:space="0" w:color="auto"/>
          </w:divBdr>
        </w:div>
        <w:div w:id="1730106633">
          <w:marLeft w:val="0"/>
          <w:marRight w:val="0"/>
          <w:marTop w:val="0"/>
          <w:marBottom w:val="0"/>
          <w:divBdr>
            <w:top w:val="none" w:sz="0" w:space="0" w:color="auto"/>
            <w:left w:val="none" w:sz="0" w:space="0" w:color="auto"/>
            <w:bottom w:val="none" w:sz="0" w:space="0" w:color="auto"/>
            <w:right w:val="none" w:sz="0" w:space="0" w:color="auto"/>
          </w:divBdr>
        </w:div>
        <w:div w:id="1786071718">
          <w:marLeft w:val="0"/>
          <w:marRight w:val="0"/>
          <w:marTop w:val="0"/>
          <w:marBottom w:val="0"/>
          <w:divBdr>
            <w:top w:val="none" w:sz="0" w:space="0" w:color="auto"/>
            <w:left w:val="none" w:sz="0" w:space="0" w:color="auto"/>
            <w:bottom w:val="none" w:sz="0" w:space="0" w:color="auto"/>
            <w:right w:val="none" w:sz="0" w:space="0" w:color="auto"/>
          </w:divBdr>
        </w:div>
        <w:div w:id="1794515162">
          <w:marLeft w:val="0"/>
          <w:marRight w:val="0"/>
          <w:marTop w:val="0"/>
          <w:marBottom w:val="0"/>
          <w:divBdr>
            <w:top w:val="none" w:sz="0" w:space="0" w:color="auto"/>
            <w:left w:val="none" w:sz="0" w:space="0" w:color="auto"/>
            <w:bottom w:val="none" w:sz="0" w:space="0" w:color="auto"/>
            <w:right w:val="none" w:sz="0" w:space="0" w:color="auto"/>
          </w:divBdr>
        </w:div>
        <w:div w:id="1979607253">
          <w:marLeft w:val="0"/>
          <w:marRight w:val="0"/>
          <w:marTop w:val="0"/>
          <w:marBottom w:val="0"/>
          <w:divBdr>
            <w:top w:val="none" w:sz="0" w:space="0" w:color="auto"/>
            <w:left w:val="none" w:sz="0" w:space="0" w:color="auto"/>
            <w:bottom w:val="none" w:sz="0" w:space="0" w:color="auto"/>
            <w:right w:val="none" w:sz="0" w:space="0" w:color="auto"/>
          </w:divBdr>
        </w:div>
        <w:div w:id="2030333261">
          <w:marLeft w:val="0"/>
          <w:marRight w:val="0"/>
          <w:marTop w:val="0"/>
          <w:marBottom w:val="0"/>
          <w:divBdr>
            <w:top w:val="none" w:sz="0" w:space="0" w:color="auto"/>
            <w:left w:val="none" w:sz="0" w:space="0" w:color="auto"/>
            <w:bottom w:val="none" w:sz="0" w:space="0" w:color="auto"/>
            <w:right w:val="none" w:sz="0" w:space="0" w:color="auto"/>
          </w:divBdr>
        </w:div>
        <w:div w:id="2045445014">
          <w:marLeft w:val="0"/>
          <w:marRight w:val="0"/>
          <w:marTop w:val="0"/>
          <w:marBottom w:val="0"/>
          <w:divBdr>
            <w:top w:val="none" w:sz="0" w:space="0" w:color="auto"/>
            <w:left w:val="none" w:sz="0" w:space="0" w:color="auto"/>
            <w:bottom w:val="none" w:sz="0" w:space="0" w:color="auto"/>
            <w:right w:val="none" w:sz="0" w:space="0" w:color="auto"/>
          </w:divBdr>
        </w:div>
        <w:div w:id="2063214616">
          <w:marLeft w:val="0"/>
          <w:marRight w:val="0"/>
          <w:marTop w:val="0"/>
          <w:marBottom w:val="0"/>
          <w:divBdr>
            <w:top w:val="none" w:sz="0" w:space="0" w:color="auto"/>
            <w:left w:val="none" w:sz="0" w:space="0" w:color="auto"/>
            <w:bottom w:val="none" w:sz="0" w:space="0" w:color="auto"/>
            <w:right w:val="none" w:sz="0" w:space="0" w:color="auto"/>
          </w:divBdr>
        </w:div>
      </w:divsChild>
    </w:div>
    <w:div w:id="1370646144">
      <w:bodyDiv w:val="1"/>
      <w:marLeft w:val="0"/>
      <w:marRight w:val="0"/>
      <w:marTop w:val="0"/>
      <w:marBottom w:val="0"/>
      <w:divBdr>
        <w:top w:val="none" w:sz="0" w:space="0" w:color="auto"/>
        <w:left w:val="none" w:sz="0" w:space="0" w:color="auto"/>
        <w:bottom w:val="none" w:sz="0" w:space="0" w:color="auto"/>
        <w:right w:val="none" w:sz="0" w:space="0" w:color="auto"/>
      </w:divBdr>
    </w:div>
    <w:div w:id="1370717185">
      <w:bodyDiv w:val="1"/>
      <w:marLeft w:val="0"/>
      <w:marRight w:val="0"/>
      <w:marTop w:val="0"/>
      <w:marBottom w:val="0"/>
      <w:divBdr>
        <w:top w:val="none" w:sz="0" w:space="0" w:color="auto"/>
        <w:left w:val="none" w:sz="0" w:space="0" w:color="auto"/>
        <w:bottom w:val="none" w:sz="0" w:space="0" w:color="auto"/>
        <w:right w:val="none" w:sz="0" w:space="0" w:color="auto"/>
      </w:divBdr>
    </w:div>
    <w:div w:id="1371884125">
      <w:bodyDiv w:val="1"/>
      <w:marLeft w:val="0"/>
      <w:marRight w:val="0"/>
      <w:marTop w:val="0"/>
      <w:marBottom w:val="0"/>
      <w:divBdr>
        <w:top w:val="none" w:sz="0" w:space="0" w:color="auto"/>
        <w:left w:val="none" w:sz="0" w:space="0" w:color="auto"/>
        <w:bottom w:val="none" w:sz="0" w:space="0" w:color="auto"/>
        <w:right w:val="none" w:sz="0" w:space="0" w:color="auto"/>
      </w:divBdr>
      <w:divsChild>
        <w:div w:id="147213180">
          <w:marLeft w:val="0"/>
          <w:marRight w:val="0"/>
          <w:marTop w:val="0"/>
          <w:marBottom w:val="0"/>
          <w:divBdr>
            <w:top w:val="none" w:sz="0" w:space="0" w:color="auto"/>
            <w:left w:val="none" w:sz="0" w:space="0" w:color="auto"/>
            <w:bottom w:val="none" w:sz="0" w:space="0" w:color="auto"/>
            <w:right w:val="none" w:sz="0" w:space="0" w:color="auto"/>
          </w:divBdr>
        </w:div>
        <w:div w:id="433793532">
          <w:marLeft w:val="0"/>
          <w:marRight w:val="0"/>
          <w:marTop w:val="0"/>
          <w:marBottom w:val="0"/>
          <w:divBdr>
            <w:top w:val="none" w:sz="0" w:space="0" w:color="auto"/>
            <w:left w:val="none" w:sz="0" w:space="0" w:color="auto"/>
            <w:bottom w:val="none" w:sz="0" w:space="0" w:color="auto"/>
            <w:right w:val="none" w:sz="0" w:space="0" w:color="auto"/>
          </w:divBdr>
        </w:div>
        <w:div w:id="743262370">
          <w:marLeft w:val="0"/>
          <w:marRight w:val="0"/>
          <w:marTop w:val="0"/>
          <w:marBottom w:val="0"/>
          <w:divBdr>
            <w:top w:val="none" w:sz="0" w:space="0" w:color="auto"/>
            <w:left w:val="none" w:sz="0" w:space="0" w:color="auto"/>
            <w:bottom w:val="none" w:sz="0" w:space="0" w:color="auto"/>
            <w:right w:val="none" w:sz="0" w:space="0" w:color="auto"/>
          </w:divBdr>
        </w:div>
        <w:div w:id="1266959191">
          <w:marLeft w:val="0"/>
          <w:marRight w:val="0"/>
          <w:marTop w:val="0"/>
          <w:marBottom w:val="0"/>
          <w:divBdr>
            <w:top w:val="none" w:sz="0" w:space="0" w:color="auto"/>
            <w:left w:val="none" w:sz="0" w:space="0" w:color="auto"/>
            <w:bottom w:val="none" w:sz="0" w:space="0" w:color="auto"/>
            <w:right w:val="none" w:sz="0" w:space="0" w:color="auto"/>
          </w:divBdr>
        </w:div>
        <w:div w:id="1404984512">
          <w:marLeft w:val="0"/>
          <w:marRight w:val="0"/>
          <w:marTop w:val="0"/>
          <w:marBottom w:val="0"/>
          <w:divBdr>
            <w:top w:val="none" w:sz="0" w:space="0" w:color="auto"/>
            <w:left w:val="none" w:sz="0" w:space="0" w:color="auto"/>
            <w:bottom w:val="none" w:sz="0" w:space="0" w:color="auto"/>
            <w:right w:val="none" w:sz="0" w:space="0" w:color="auto"/>
          </w:divBdr>
        </w:div>
        <w:div w:id="1788888246">
          <w:marLeft w:val="0"/>
          <w:marRight w:val="0"/>
          <w:marTop w:val="0"/>
          <w:marBottom w:val="0"/>
          <w:divBdr>
            <w:top w:val="none" w:sz="0" w:space="0" w:color="auto"/>
            <w:left w:val="none" w:sz="0" w:space="0" w:color="auto"/>
            <w:bottom w:val="none" w:sz="0" w:space="0" w:color="auto"/>
            <w:right w:val="none" w:sz="0" w:space="0" w:color="auto"/>
          </w:divBdr>
        </w:div>
      </w:divsChild>
    </w:div>
    <w:div w:id="1374386625">
      <w:bodyDiv w:val="1"/>
      <w:marLeft w:val="0"/>
      <w:marRight w:val="0"/>
      <w:marTop w:val="0"/>
      <w:marBottom w:val="0"/>
      <w:divBdr>
        <w:top w:val="none" w:sz="0" w:space="0" w:color="auto"/>
        <w:left w:val="none" w:sz="0" w:space="0" w:color="auto"/>
        <w:bottom w:val="none" w:sz="0" w:space="0" w:color="auto"/>
        <w:right w:val="none" w:sz="0" w:space="0" w:color="auto"/>
      </w:divBdr>
      <w:divsChild>
        <w:div w:id="1631783019">
          <w:marLeft w:val="0"/>
          <w:marRight w:val="0"/>
          <w:marTop w:val="0"/>
          <w:marBottom w:val="0"/>
          <w:divBdr>
            <w:top w:val="none" w:sz="0" w:space="0" w:color="auto"/>
            <w:left w:val="none" w:sz="0" w:space="0" w:color="auto"/>
            <w:bottom w:val="none" w:sz="0" w:space="0" w:color="auto"/>
            <w:right w:val="none" w:sz="0" w:space="0" w:color="auto"/>
          </w:divBdr>
        </w:div>
        <w:div w:id="1859002163">
          <w:marLeft w:val="0"/>
          <w:marRight w:val="0"/>
          <w:marTop w:val="0"/>
          <w:marBottom w:val="0"/>
          <w:divBdr>
            <w:top w:val="none" w:sz="0" w:space="0" w:color="auto"/>
            <w:left w:val="none" w:sz="0" w:space="0" w:color="auto"/>
            <w:bottom w:val="none" w:sz="0" w:space="0" w:color="auto"/>
            <w:right w:val="none" w:sz="0" w:space="0" w:color="auto"/>
          </w:divBdr>
        </w:div>
        <w:div w:id="77530368">
          <w:marLeft w:val="0"/>
          <w:marRight w:val="0"/>
          <w:marTop w:val="0"/>
          <w:marBottom w:val="0"/>
          <w:divBdr>
            <w:top w:val="none" w:sz="0" w:space="0" w:color="auto"/>
            <w:left w:val="none" w:sz="0" w:space="0" w:color="auto"/>
            <w:bottom w:val="none" w:sz="0" w:space="0" w:color="auto"/>
            <w:right w:val="none" w:sz="0" w:space="0" w:color="auto"/>
          </w:divBdr>
        </w:div>
        <w:div w:id="993215931">
          <w:marLeft w:val="0"/>
          <w:marRight w:val="0"/>
          <w:marTop w:val="0"/>
          <w:marBottom w:val="0"/>
          <w:divBdr>
            <w:top w:val="none" w:sz="0" w:space="0" w:color="auto"/>
            <w:left w:val="none" w:sz="0" w:space="0" w:color="auto"/>
            <w:bottom w:val="none" w:sz="0" w:space="0" w:color="auto"/>
            <w:right w:val="none" w:sz="0" w:space="0" w:color="auto"/>
          </w:divBdr>
          <w:divsChild>
            <w:div w:id="1735004231">
              <w:marLeft w:val="0"/>
              <w:marRight w:val="0"/>
              <w:marTop w:val="0"/>
              <w:marBottom w:val="0"/>
              <w:divBdr>
                <w:top w:val="none" w:sz="0" w:space="0" w:color="auto"/>
                <w:left w:val="none" w:sz="0" w:space="0" w:color="auto"/>
                <w:bottom w:val="none" w:sz="0" w:space="0" w:color="auto"/>
                <w:right w:val="none" w:sz="0" w:space="0" w:color="auto"/>
              </w:divBdr>
            </w:div>
            <w:div w:id="141123601">
              <w:marLeft w:val="0"/>
              <w:marRight w:val="0"/>
              <w:marTop w:val="0"/>
              <w:marBottom w:val="0"/>
              <w:divBdr>
                <w:top w:val="none" w:sz="0" w:space="0" w:color="auto"/>
                <w:left w:val="none" w:sz="0" w:space="0" w:color="auto"/>
                <w:bottom w:val="none" w:sz="0" w:space="0" w:color="auto"/>
                <w:right w:val="none" w:sz="0" w:space="0" w:color="auto"/>
              </w:divBdr>
            </w:div>
            <w:div w:id="23598948">
              <w:marLeft w:val="0"/>
              <w:marRight w:val="0"/>
              <w:marTop w:val="0"/>
              <w:marBottom w:val="0"/>
              <w:divBdr>
                <w:top w:val="none" w:sz="0" w:space="0" w:color="auto"/>
                <w:left w:val="none" w:sz="0" w:space="0" w:color="auto"/>
                <w:bottom w:val="none" w:sz="0" w:space="0" w:color="auto"/>
                <w:right w:val="none" w:sz="0" w:space="0" w:color="auto"/>
              </w:divBdr>
            </w:div>
            <w:div w:id="1822770941">
              <w:marLeft w:val="0"/>
              <w:marRight w:val="0"/>
              <w:marTop w:val="0"/>
              <w:marBottom w:val="0"/>
              <w:divBdr>
                <w:top w:val="none" w:sz="0" w:space="0" w:color="auto"/>
                <w:left w:val="none" w:sz="0" w:space="0" w:color="auto"/>
                <w:bottom w:val="none" w:sz="0" w:space="0" w:color="auto"/>
                <w:right w:val="none" w:sz="0" w:space="0" w:color="auto"/>
              </w:divBdr>
            </w:div>
            <w:div w:id="1249004877">
              <w:marLeft w:val="0"/>
              <w:marRight w:val="0"/>
              <w:marTop w:val="0"/>
              <w:marBottom w:val="0"/>
              <w:divBdr>
                <w:top w:val="none" w:sz="0" w:space="0" w:color="auto"/>
                <w:left w:val="none" w:sz="0" w:space="0" w:color="auto"/>
                <w:bottom w:val="none" w:sz="0" w:space="0" w:color="auto"/>
                <w:right w:val="none" w:sz="0" w:space="0" w:color="auto"/>
              </w:divBdr>
            </w:div>
            <w:div w:id="1178160638">
              <w:marLeft w:val="0"/>
              <w:marRight w:val="0"/>
              <w:marTop w:val="0"/>
              <w:marBottom w:val="0"/>
              <w:divBdr>
                <w:top w:val="none" w:sz="0" w:space="0" w:color="auto"/>
                <w:left w:val="none" w:sz="0" w:space="0" w:color="auto"/>
                <w:bottom w:val="none" w:sz="0" w:space="0" w:color="auto"/>
                <w:right w:val="none" w:sz="0" w:space="0" w:color="auto"/>
              </w:divBdr>
            </w:div>
            <w:div w:id="867986513">
              <w:marLeft w:val="0"/>
              <w:marRight w:val="0"/>
              <w:marTop w:val="0"/>
              <w:marBottom w:val="0"/>
              <w:divBdr>
                <w:top w:val="none" w:sz="0" w:space="0" w:color="auto"/>
                <w:left w:val="none" w:sz="0" w:space="0" w:color="auto"/>
                <w:bottom w:val="none" w:sz="0" w:space="0" w:color="auto"/>
                <w:right w:val="none" w:sz="0" w:space="0" w:color="auto"/>
              </w:divBdr>
            </w:div>
            <w:div w:id="446587879">
              <w:marLeft w:val="0"/>
              <w:marRight w:val="0"/>
              <w:marTop w:val="0"/>
              <w:marBottom w:val="0"/>
              <w:divBdr>
                <w:top w:val="none" w:sz="0" w:space="0" w:color="auto"/>
                <w:left w:val="none" w:sz="0" w:space="0" w:color="auto"/>
                <w:bottom w:val="none" w:sz="0" w:space="0" w:color="auto"/>
                <w:right w:val="none" w:sz="0" w:space="0" w:color="auto"/>
              </w:divBdr>
            </w:div>
            <w:div w:id="330529183">
              <w:marLeft w:val="0"/>
              <w:marRight w:val="0"/>
              <w:marTop w:val="0"/>
              <w:marBottom w:val="0"/>
              <w:divBdr>
                <w:top w:val="none" w:sz="0" w:space="0" w:color="auto"/>
                <w:left w:val="none" w:sz="0" w:space="0" w:color="auto"/>
                <w:bottom w:val="none" w:sz="0" w:space="0" w:color="auto"/>
                <w:right w:val="none" w:sz="0" w:space="0" w:color="auto"/>
              </w:divBdr>
            </w:div>
            <w:div w:id="2001230768">
              <w:marLeft w:val="0"/>
              <w:marRight w:val="0"/>
              <w:marTop w:val="0"/>
              <w:marBottom w:val="0"/>
              <w:divBdr>
                <w:top w:val="none" w:sz="0" w:space="0" w:color="auto"/>
                <w:left w:val="none" w:sz="0" w:space="0" w:color="auto"/>
                <w:bottom w:val="none" w:sz="0" w:space="0" w:color="auto"/>
                <w:right w:val="none" w:sz="0" w:space="0" w:color="auto"/>
              </w:divBdr>
            </w:div>
            <w:div w:id="619144891">
              <w:marLeft w:val="0"/>
              <w:marRight w:val="0"/>
              <w:marTop w:val="0"/>
              <w:marBottom w:val="0"/>
              <w:divBdr>
                <w:top w:val="none" w:sz="0" w:space="0" w:color="auto"/>
                <w:left w:val="none" w:sz="0" w:space="0" w:color="auto"/>
                <w:bottom w:val="none" w:sz="0" w:space="0" w:color="auto"/>
                <w:right w:val="none" w:sz="0" w:space="0" w:color="auto"/>
              </w:divBdr>
            </w:div>
            <w:div w:id="160892675">
              <w:marLeft w:val="0"/>
              <w:marRight w:val="0"/>
              <w:marTop w:val="0"/>
              <w:marBottom w:val="0"/>
              <w:divBdr>
                <w:top w:val="none" w:sz="0" w:space="0" w:color="auto"/>
                <w:left w:val="none" w:sz="0" w:space="0" w:color="auto"/>
                <w:bottom w:val="none" w:sz="0" w:space="0" w:color="auto"/>
                <w:right w:val="none" w:sz="0" w:space="0" w:color="auto"/>
              </w:divBdr>
            </w:div>
            <w:div w:id="2118477508">
              <w:marLeft w:val="0"/>
              <w:marRight w:val="0"/>
              <w:marTop w:val="0"/>
              <w:marBottom w:val="0"/>
              <w:divBdr>
                <w:top w:val="none" w:sz="0" w:space="0" w:color="auto"/>
                <w:left w:val="none" w:sz="0" w:space="0" w:color="auto"/>
                <w:bottom w:val="none" w:sz="0" w:space="0" w:color="auto"/>
                <w:right w:val="none" w:sz="0" w:space="0" w:color="auto"/>
              </w:divBdr>
            </w:div>
            <w:div w:id="65037308">
              <w:marLeft w:val="0"/>
              <w:marRight w:val="0"/>
              <w:marTop w:val="0"/>
              <w:marBottom w:val="0"/>
              <w:divBdr>
                <w:top w:val="none" w:sz="0" w:space="0" w:color="auto"/>
                <w:left w:val="none" w:sz="0" w:space="0" w:color="auto"/>
                <w:bottom w:val="none" w:sz="0" w:space="0" w:color="auto"/>
                <w:right w:val="none" w:sz="0" w:space="0" w:color="auto"/>
              </w:divBdr>
            </w:div>
            <w:div w:id="316080551">
              <w:marLeft w:val="0"/>
              <w:marRight w:val="0"/>
              <w:marTop w:val="0"/>
              <w:marBottom w:val="0"/>
              <w:divBdr>
                <w:top w:val="none" w:sz="0" w:space="0" w:color="auto"/>
                <w:left w:val="none" w:sz="0" w:space="0" w:color="auto"/>
                <w:bottom w:val="none" w:sz="0" w:space="0" w:color="auto"/>
                <w:right w:val="none" w:sz="0" w:space="0" w:color="auto"/>
              </w:divBdr>
            </w:div>
            <w:div w:id="262030629">
              <w:marLeft w:val="0"/>
              <w:marRight w:val="0"/>
              <w:marTop w:val="0"/>
              <w:marBottom w:val="0"/>
              <w:divBdr>
                <w:top w:val="none" w:sz="0" w:space="0" w:color="auto"/>
                <w:left w:val="none" w:sz="0" w:space="0" w:color="auto"/>
                <w:bottom w:val="none" w:sz="0" w:space="0" w:color="auto"/>
                <w:right w:val="none" w:sz="0" w:space="0" w:color="auto"/>
              </w:divBdr>
            </w:div>
            <w:div w:id="403842905">
              <w:marLeft w:val="0"/>
              <w:marRight w:val="0"/>
              <w:marTop w:val="0"/>
              <w:marBottom w:val="0"/>
              <w:divBdr>
                <w:top w:val="none" w:sz="0" w:space="0" w:color="auto"/>
                <w:left w:val="none" w:sz="0" w:space="0" w:color="auto"/>
                <w:bottom w:val="none" w:sz="0" w:space="0" w:color="auto"/>
                <w:right w:val="none" w:sz="0" w:space="0" w:color="auto"/>
              </w:divBdr>
            </w:div>
            <w:div w:id="1849326007">
              <w:marLeft w:val="0"/>
              <w:marRight w:val="0"/>
              <w:marTop w:val="0"/>
              <w:marBottom w:val="0"/>
              <w:divBdr>
                <w:top w:val="none" w:sz="0" w:space="0" w:color="auto"/>
                <w:left w:val="none" w:sz="0" w:space="0" w:color="auto"/>
                <w:bottom w:val="none" w:sz="0" w:space="0" w:color="auto"/>
                <w:right w:val="none" w:sz="0" w:space="0" w:color="auto"/>
              </w:divBdr>
            </w:div>
            <w:div w:id="801777573">
              <w:marLeft w:val="0"/>
              <w:marRight w:val="0"/>
              <w:marTop w:val="0"/>
              <w:marBottom w:val="0"/>
              <w:divBdr>
                <w:top w:val="none" w:sz="0" w:space="0" w:color="auto"/>
                <w:left w:val="none" w:sz="0" w:space="0" w:color="auto"/>
                <w:bottom w:val="none" w:sz="0" w:space="0" w:color="auto"/>
                <w:right w:val="none" w:sz="0" w:space="0" w:color="auto"/>
              </w:divBdr>
            </w:div>
            <w:div w:id="177161322">
              <w:marLeft w:val="0"/>
              <w:marRight w:val="0"/>
              <w:marTop w:val="0"/>
              <w:marBottom w:val="0"/>
              <w:divBdr>
                <w:top w:val="none" w:sz="0" w:space="0" w:color="auto"/>
                <w:left w:val="none" w:sz="0" w:space="0" w:color="auto"/>
                <w:bottom w:val="none" w:sz="0" w:space="0" w:color="auto"/>
                <w:right w:val="none" w:sz="0" w:space="0" w:color="auto"/>
              </w:divBdr>
            </w:div>
          </w:divsChild>
        </w:div>
        <w:div w:id="960723329">
          <w:marLeft w:val="0"/>
          <w:marRight w:val="0"/>
          <w:marTop w:val="0"/>
          <w:marBottom w:val="0"/>
          <w:divBdr>
            <w:top w:val="none" w:sz="0" w:space="0" w:color="auto"/>
            <w:left w:val="none" w:sz="0" w:space="0" w:color="auto"/>
            <w:bottom w:val="none" w:sz="0" w:space="0" w:color="auto"/>
            <w:right w:val="none" w:sz="0" w:space="0" w:color="auto"/>
          </w:divBdr>
        </w:div>
        <w:div w:id="66004469">
          <w:marLeft w:val="0"/>
          <w:marRight w:val="0"/>
          <w:marTop w:val="0"/>
          <w:marBottom w:val="0"/>
          <w:divBdr>
            <w:top w:val="none" w:sz="0" w:space="0" w:color="auto"/>
            <w:left w:val="none" w:sz="0" w:space="0" w:color="auto"/>
            <w:bottom w:val="none" w:sz="0" w:space="0" w:color="auto"/>
            <w:right w:val="none" w:sz="0" w:space="0" w:color="auto"/>
          </w:divBdr>
        </w:div>
        <w:div w:id="983851102">
          <w:marLeft w:val="0"/>
          <w:marRight w:val="0"/>
          <w:marTop w:val="0"/>
          <w:marBottom w:val="0"/>
          <w:divBdr>
            <w:top w:val="none" w:sz="0" w:space="0" w:color="auto"/>
            <w:left w:val="none" w:sz="0" w:space="0" w:color="auto"/>
            <w:bottom w:val="none" w:sz="0" w:space="0" w:color="auto"/>
            <w:right w:val="none" w:sz="0" w:space="0" w:color="auto"/>
          </w:divBdr>
        </w:div>
        <w:div w:id="677118933">
          <w:marLeft w:val="0"/>
          <w:marRight w:val="0"/>
          <w:marTop w:val="0"/>
          <w:marBottom w:val="0"/>
          <w:divBdr>
            <w:top w:val="none" w:sz="0" w:space="0" w:color="auto"/>
            <w:left w:val="none" w:sz="0" w:space="0" w:color="auto"/>
            <w:bottom w:val="none" w:sz="0" w:space="0" w:color="auto"/>
            <w:right w:val="none" w:sz="0" w:space="0" w:color="auto"/>
          </w:divBdr>
        </w:div>
        <w:div w:id="178856916">
          <w:marLeft w:val="0"/>
          <w:marRight w:val="0"/>
          <w:marTop w:val="0"/>
          <w:marBottom w:val="0"/>
          <w:divBdr>
            <w:top w:val="none" w:sz="0" w:space="0" w:color="auto"/>
            <w:left w:val="none" w:sz="0" w:space="0" w:color="auto"/>
            <w:bottom w:val="none" w:sz="0" w:space="0" w:color="auto"/>
            <w:right w:val="none" w:sz="0" w:space="0" w:color="auto"/>
          </w:divBdr>
        </w:div>
        <w:div w:id="562837854">
          <w:marLeft w:val="0"/>
          <w:marRight w:val="0"/>
          <w:marTop w:val="0"/>
          <w:marBottom w:val="0"/>
          <w:divBdr>
            <w:top w:val="none" w:sz="0" w:space="0" w:color="auto"/>
            <w:left w:val="none" w:sz="0" w:space="0" w:color="auto"/>
            <w:bottom w:val="none" w:sz="0" w:space="0" w:color="auto"/>
            <w:right w:val="none" w:sz="0" w:space="0" w:color="auto"/>
          </w:divBdr>
        </w:div>
        <w:div w:id="1658072446">
          <w:marLeft w:val="0"/>
          <w:marRight w:val="0"/>
          <w:marTop w:val="0"/>
          <w:marBottom w:val="0"/>
          <w:divBdr>
            <w:top w:val="none" w:sz="0" w:space="0" w:color="auto"/>
            <w:left w:val="none" w:sz="0" w:space="0" w:color="auto"/>
            <w:bottom w:val="none" w:sz="0" w:space="0" w:color="auto"/>
            <w:right w:val="none" w:sz="0" w:space="0" w:color="auto"/>
          </w:divBdr>
        </w:div>
        <w:div w:id="1091194249">
          <w:marLeft w:val="0"/>
          <w:marRight w:val="0"/>
          <w:marTop w:val="0"/>
          <w:marBottom w:val="0"/>
          <w:divBdr>
            <w:top w:val="none" w:sz="0" w:space="0" w:color="auto"/>
            <w:left w:val="none" w:sz="0" w:space="0" w:color="auto"/>
            <w:bottom w:val="none" w:sz="0" w:space="0" w:color="auto"/>
            <w:right w:val="none" w:sz="0" w:space="0" w:color="auto"/>
          </w:divBdr>
        </w:div>
        <w:div w:id="483355872">
          <w:marLeft w:val="0"/>
          <w:marRight w:val="0"/>
          <w:marTop w:val="0"/>
          <w:marBottom w:val="0"/>
          <w:divBdr>
            <w:top w:val="none" w:sz="0" w:space="0" w:color="auto"/>
            <w:left w:val="none" w:sz="0" w:space="0" w:color="auto"/>
            <w:bottom w:val="none" w:sz="0" w:space="0" w:color="auto"/>
            <w:right w:val="none" w:sz="0" w:space="0" w:color="auto"/>
          </w:divBdr>
        </w:div>
        <w:div w:id="2133667655">
          <w:marLeft w:val="0"/>
          <w:marRight w:val="0"/>
          <w:marTop w:val="0"/>
          <w:marBottom w:val="0"/>
          <w:divBdr>
            <w:top w:val="none" w:sz="0" w:space="0" w:color="auto"/>
            <w:left w:val="none" w:sz="0" w:space="0" w:color="auto"/>
            <w:bottom w:val="none" w:sz="0" w:space="0" w:color="auto"/>
            <w:right w:val="none" w:sz="0" w:space="0" w:color="auto"/>
          </w:divBdr>
        </w:div>
      </w:divsChild>
    </w:div>
    <w:div w:id="1384593787">
      <w:bodyDiv w:val="1"/>
      <w:marLeft w:val="0"/>
      <w:marRight w:val="0"/>
      <w:marTop w:val="0"/>
      <w:marBottom w:val="0"/>
      <w:divBdr>
        <w:top w:val="none" w:sz="0" w:space="0" w:color="auto"/>
        <w:left w:val="none" w:sz="0" w:space="0" w:color="auto"/>
        <w:bottom w:val="none" w:sz="0" w:space="0" w:color="auto"/>
        <w:right w:val="none" w:sz="0" w:space="0" w:color="auto"/>
      </w:divBdr>
      <w:divsChild>
        <w:div w:id="2111391690">
          <w:marLeft w:val="0"/>
          <w:marRight w:val="0"/>
          <w:marTop w:val="0"/>
          <w:marBottom w:val="0"/>
          <w:divBdr>
            <w:top w:val="none" w:sz="0" w:space="0" w:color="auto"/>
            <w:left w:val="none" w:sz="0" w:space="0" w:color="auto"/>
            <w:bottom w:val="none" w:sz="0" w:space="0" w:color="auto"/>
            <w:right w:val="none" w:sz="0" w:space="0" w:color="auto"/>
          </w:divBdr>
        </w:div>
        <w:div w:id="703749116">
          <w:marLeft w:val="0"/>
          <w:marRight w:val="0"/>
          <w:marTop w:val="0"/>
          <w:marBottom w:val="0"/>
          <w:divBdr>
            <w:top w:val="none" w:sz="0" w:space="0" w:color="auto"/>
            <w:left w:val="none" w:sz="0" w:space="0" w:color="auto"/>
            <w:bottom w:val="none" w:sz="0" w:space="0" w:color="auto"/>
            <w:right w:val="none" w:sz="0" w:space="0" w:color="auto"/>
          </w:divBdr>
        </w:div>
        <w:div w:id="100804798">
          <w:marLeft w:val="0"/>
          <w:marRight w:val="0"/>
          <w:marTop w:val="0"/>
          <w:marBottom w:val="0"/>
          <w:divBdr>
            <w:top w:val="none" w:sz="0" w:space="0" w:color="auto"/>
            <w:left w:val="none" w:sz="0" w:space="0" w:color="auto"/>
            <w:bottom w:val="none" w:sz="0" w:space="0" w:color="auto"/>
            <w:right w:val="none" w:sz="0" w:space="0" w:color="auto"/>
          </w:divBdr>
        </w:div>
        <w:div w:id="641495873">
          <w:marLeft w:val="0"/>
          <w:marRight w:val="0"/>
          <w:marTop w:val="0"/>
          <w:marBottom w:val="0"/>
          <w:divBdr>
            <w:top w:val="none" w:sz="0" w:space="0" w:color="auto"/>
            <w:left w:val="none" w:sz="0" w:space="0" w:color="auto"/>
            <w:bottom w:val="none" w:sz="0" w:space="0" w:color="auto"/>
            <w:right w:val="none" w:sz="0" w:space="0" w:color="auto"/>
          </w:divBdr>
        </w:div>
        <w:div w:id="1007948873">
          <w:marLeft w:val="0"/>
          <w:marRight w:val="0"/>
          <w:marTop w:val="0"/>
          <w:marBottom w:val="0"/>
          <w:divBdr>
            <w:top w:val="none" w:sz="0" w:space="0" w:color="auto"/>
            <w:left w:val="none" w:sz="0" w:space="0" w:color="auto"/>
            <w:bottom w:val="none" w:sz="0" w:space="0" w:color="auto"/>
            <w:right w:val="none" w:sz="0" w:space="0" w:color="auto"/>
          </w:divBdr>
        </w:div>
        <w:div w:id="140318353">
          <w:marLeft w:val="0"/>
          <w:marRight w:val="0"/>
          <w:marTop w:val="0"/>
          <w:marBottom w:val="0"/>
          <w:divBdr>
            <w:top w:val="none" w:sz="0" w:space="0" w:color="auto"/>
            <w:left w:val="none" w:sz="0" w:space="0" w:color="auto"/>
            <w:bottom w:val="none" w:sz="0" w:space="0" w:color="auto"/>
            <w:right w:val="none" w:sz="0" w:space="0" w:color="auto"/>
          </w:divBdr>
        </w:div>
        <w:div w:id="1722943868">
          <w:marLeft w:val="0"/>
          <w:marRight w:val="0"/>
          <w:marTop w:val="0"/>
          <w:marBottom w:val="0"/>
          <w:divBdr>
            <w:top w:val="none" w:sz="0" w:space="0" w:color="auto"/>
            <w:left w:val="none" w:sz="0" w:space="0" w:color="auto"/>
            <w:bottom w:val="none" w:sz="0" w:space="0" w:color="auto"/>
            <w:right w:val="none" w:sz="0" w:space="0" w:color="auto"/>
          </w:divBdr>
        </w:div>
        <w:div w:id="364211247">
          <w:marLeft w:val="0"/>
          <w:marRight w:val="0"/>
          <w:marTop w:val="0"/>
          <w:marBottom w:val="0"/>
          <w:divBdr>
            <w:top w:val="none" w:sz="0" w:space="0" w:color="auto"/>
            <w:left w:val="none" w:sz="0" w:space="0" w:color="auto"/>
            <w:bottom w:val="none" w:sz="0" w:space="0" w:color="auto"/>
            <w:right w:val="none" w:sz="0" w:space="0" w:color="auto"/>
          </w:divBdr>
        </w:div>
        <w:div w:id="2109692164">
          <w:marLeft w:val="0"/>
          <w:marRight w:val="0"/>
          <w:marTop w:val="0"/>
          <w:marBottom w:val="0"/>
          <w:divBdr>
            <w:top w:val="none" w:sz="0" w:space="0" w:color="auto"/>
            <w:left w:val="none" w:sz="0" w:space="0" w:color="auto"/>
            <w:bottom w:val="none" w:sz="0" w:space="0" w:color="auto"/>
            <w:right w:val="none" w:sz="0" w:space="0" w:color="auto"/>
          </w:divBdr>
        </w:div>
        <w:div w:id="120658252">
          <w:marLeft w:val="0"/>
          <w:marRight w:val="0"/>
          <w:marTop w:val="0"/>
          <w:marBottom w:val="0"/>
          <w:divBdr>
            <w:top w:val="none" w:sz="0" w:space="0" w:color="auto"/>
            <w:left w:val="none" w:sz="0" w:space="0" w:color="auto"/>
            <w:bottom w:val="none" w:sz="0" w:space="0" w:color="auto"/>
            <w:right w:val="none" w:sz="0" w:space="0" w:color="auto"/>
          </w:divBdr>
        </w:div>
        <w:div w:id="519701462">
          <w:marLeft w:val="0"/>
          <w:marRight w:val="0"/>
          <w:marTop w:val="0"/>
          <w:marBottom w:val="0"/>
          <w:divBdr>
            <w:top w:val="none" w:sz="0" w:space="0" w:color="auto"/>
            <w:left w:val="none" w:sz="0" w:space="0" w:color="auto"/>
            <w:bottom w:val="none" w:sz="0" w:space="0" w:color="auto"/>
            <w:right w:val="none" w:sz="0" w:space="0" w:color="auto"/>
          </w:divBdr>
        </w:div>
        <w:div w:id="533613062">
          <w:marLeft w:val="0"/>
          <w:marRight w:val="0"/>
          <w:marTop w:val="0"/>
          <w:marBottom w:val="0"/>
          <w:divBdr>
            <w:top w:val="none" w:sz="0" w:space="0" w:color="auto"/>
            <w:left w:val="none" w:sz="0" w:space="0" w:color="auto"/>
            <w:bottom w:val="none" w:sz="0" w:space="0" w:color="auto"/>
            <w:right w:val="none" w:sz="0" w:space="0" w:color="auto"/>
          </w:divBdr>
        </w:div>
        <w:div w:id="326636214">
          <w:marLeft w:val="0"/>
          <w:marRight w:val="0"/>
          <w:marTop w:val="0"/>
          <w:marBottom w:val="0"/>
          <w:divBdr>
            <w:top w:val="none" w:sz="0" w:space="0" w:color="auto"/>
            <w:left w:val="none" w:sz="0" w:space="0" w:color="auto"/>
            <w:bottom w:val="none" w:sz="0" w:space="0" w:color="auto"/>
            <w:right w:val="none" w:sz="0" w:space="0" w:color="auto"/>
          </w:divBdr>
        </w:div>
        <w:div w:id="227303670">
          <w:marLeft w:val="0"/>
          <w:marRight w:val="0"/>
          <w:marTop w:val="0"/>
          <w:marBottom w:val="0"/>
          <w:divBdr>
            <w:top w:val="none" w:sz="0" w:space="0" w:color="auto"/>
            <w:left w:val="none" w:sz="0" w:space="0" w:color="auto"/>
            <w:bottom w:val="none" w:sz="0" w:space="0" w:color="auto"/>
            <w:right w:val="none" w:sz="0" w:space="0" w:color="auto"/>
          </w:divBdr>
        </w:div>
        <w:div w:id="1558012484">
          <w:marLeft w:val="0"/>
          <w:marRight w:val="0"/>
          <w:marTop w:val="0"/>
          <w:marBottom w:val="0"/>
          <w:divBdr>
            <w:top w:val="none" w:sz="0" w:space="0" w:color="auto"/>
            <w:left w:val="none" w:sz="0" w:space="0" w:color="auto"/>
            <w:bottom w:val="none" w:sz="0" w:space="0" w:color="auto"/>
            <w:right w:val="none" w:sz="0" w:space="0" w:color="auto"/>
          </w:divBdr>
        </w:div>
        <w:div w:id="1909076076">
          <w:marLeft w:val="0"/>
          <w:marRight w:val="0"/>
          <w:marTop w:val="0"/>
          <w:marBottom w:val="0"/>
          <w:divBdr>
            <w:top w:val="none" w:sz="0" w:space="0" w:color="auto"/>
            <w:left w:val="none" w:sz="0" w:space="0" w:color="auto"/>
            <w:bottom w:val="none" w:sz="0" w:space="0" w:color="auto"/>
            <w:right w:val="none" w:sz="0" w:space="0" w:color="auto"/>
          </w:divBdr>
        </w:div>
        <w:div w:id="1095245117">
          <w:marLeft w:val="0"/>
          <w:marRight w:val="0"/>
          <w:marTop w:val="0"/>
          <w:marBottom w:val="0"/>
          <w:divBdr>
            <w:top w:val="none" w:sz="0" w:space="0" w:color="auto"/>
            <w:left w:val="none" w:sz="0" w:space="0" w:color="auto"/>
            <w:bottom w:val="none" w:sz="0" w:space="0" w:color="auto"/>
            <w:right w:val="none" w:sz="0" w:space="0" w:color="auto"/>
          </w:divBdr>
        </w:div>
        <w:div w:id="1300960036">
          <w:marLeft w:val="0"/>
          <w:marRight w:val="0"/>
          <w:marTop w:val="0"/>
          <w:marBottom w:val="0"/>
          <w:divBdr>
            <w:top w:val="none" w:sz="0" w:space="0" w:color="auto"/>
            <w:left w:val="none" w:sz="0" w:space="0" w:color="auto"/>
            <w:bottom w:val="none" w:sz="0" w:space="0" w:color="auto"/>
            <w:right w:val="none" w:sz="0" w:space="0" w:color="auto"/>
          </w:divBdr>
        </w:div>
      </w:divsChild>
    </w:div>
    <w:div w:id="1400403778">
      <w:bodyDiv w:val="1"/>
      <w:marLeft w:val="0"/>
      <w:marRight w:val="0"/>
      <w:marTop w:val="0"/>
      <w:marBottom w:val="0"/>
      <w:divBdr>
        <w:top w:val="none" w:sz="0" w:space="0" w:color="auto"/>
        <w:left w:val="none" w:sz="0" w:space="0" w:color="auto"/>
        <w:bottom w:val="none" w:sz="0" w:space="0" w:color="auto"/>
        <w:right w:val="none" w:sz="0" w:space="0" w:color="auto"/>
      </w:divBdr>
      <w:divsChild>
        <w:div w:id="1604217193">
          <w:marLeft w:val="0"/>
          <w:marRight w:val="0"/>
          <w:marTop w:val="0"/>
          <w:marBottom w:val="0"/>
          <w:divBdr>
            <w:top w:val="none" w:sz="0" w:space="0" w:color="auto"/>
            <w:left w:val="none" w:sz="0" w:space="0" w:color="auto"/>
            <w:bottom w:val="none" w:sz="0" w:space="0" w:color="auto"/>
            <w:right w:val="none" w:sz="0" w:space="0" w:color="auto"/>
          </w:divBdr>
          <w:divsChild>
            <w:div w:id="1997879230">
              <w:marLeft w:val="0"/>
              <w:marRight w:val="0"/>
              <w:marTop w:val="0"/>
              <w:marBottom w:val="0"/>
              <w:divBdr>
                <w:top w:val="none" w:sz="0" w:space="0" w:color="auto"/>
                <w:left w:val="none" w:sz="0" w:space="0" w:color="auto"/>
                <w:bottom w:val="none" w:sz="0" w:space="0" w:color="auto"/>
                <w:right w:val="none" w:sz="0" w:space="0" w:color="auto"/>
              </w:divBdr>
            </w:div>
            <w:div w:id="284628248">
              <w:marLeft w:val="0"/>
              <w:marRight w:val="0"/>
              <w:marTop w:val="0"/>
              <w:marBottom w:val="0"/>
              <w:divBdr>
                <w:top w:val="none" w:sz="0" w:space="0" w:color="auto"/>
                <w:left w:val="none" w:sz="0" w:space="0" w:color="auto"/>
                <w:bottom w:val="none" w:sz="0" w:space="0" w:color="auto"/>
                <w:right w:val="none" w:sz="0" w:space="0" w:color="auto"/>
              </w:divBdr>
            </w:div>
            <w:div w:id="1426922340">
              <w:marLeft w:val="0"/>
              <w:marRight w:val="0"/>
              <w:marTop w:val="0"/>
              <w:marBottom w:val="0"/>
              <w:divBdr>
                <w:top w:val="none" w:sz="0" w:space="0" w:color="auto"/>
                <w:left w:val="none" w:sz="0" w:space="0" w:color="auto"/>
                <w:bottom w:val="none" w:sz="0" w:space="0" w:color="auto"/>
                <w:right w:val="none" w:sz="0" w:space="0" w:color="auto"/>
              </w:divBdr>
            </w:div>
            <w:div w:id="1449811355">
              <w:marLeft w:val="0"/>
              <w:marRight w:val="0"/>
              <w:marTop w:val="0"/>
              <w:marBottom w:val="0"/>
              <w:divBdr>
                <w:top w:val="none" w:sz="0" w:space="0" w:color="auto"/>
                <w:left w:val="none" w:sz="0" w:space="0" w:color="auto"/>
                <w:bottom w:val="none" w:sz="0" w:space="0" w:color="auto"/>
                <w:right w:val="none" w:sz="0" w:space="0" w:color="auto"/>
              </w:divBdr>
            </w:div>
            <w:div w:id="653416001">
              <w:marLeft w:val="0"/>
              <w:marRight w:val="0"/>
              <w:marTop w:val="0"/>
              <w:marBottom w:val="0"/>
              <w:divBdr>
                <w:top w:val="none" w:sz="0" w:space="0" w:color="auto"/>
                <w:left w:val="none" w:sz="0" w:space="0" w:color="auto"/>
                <w:bottom w:val="none" w:sz="0" w:space="0" w:color="auto"/>
                <w:right w:val="none" w:sz="0" w:space="0" w:color="auto"/>
              </w:divBdr>
            </w:div>
            <w:div w:id="1874730199">
              <w:marLeft w:val="0"/>
              <w:marRight w:val="0"/>
              <w:marTop w:val="0"/>
              <w:marBottom w:val="0"/>
              <w:divBdr>
                <w:top w:val="none" w:sz="0" w:space="0" w:color="auto"/>
                <w:left w:val="none" w:sz="0" w:space="0" w:color="auto"/>
                <w:bottom w:val="none" w:sz="0" w:space="0" w:color="auto"/>
                <w:right w:val="none" w:sz="0" w:space="0" w:color="auto"/>
              </w:divBdr>
            </w:div>
            <w:div w:id="1401292257">
              <w:marLeft w:val="0"/>
              <w:marRight w:val="0"/>
              <w:marTop w:val="0"/>
              <w:marBottom w:val="0"/>
              <w:divBdr>
                <w:top w:val="none" w:sz="0" w:space="0" w:color="auto"/>
                <w:left w:val="none" w:sz="0" w:space="0" w:color="auto"/>
                <w:bottom w:val="none" w:sz="0" w:space="0" w:color="auto"/>
                <w:right w:val="none" w:sz="0" w:space="0" w:color="auto"/>
              </w:divBdr>
            </w:div>
            <w:div w:id="1888299918">
              <w:marLeft w:val="0"/>
              <w:marRight w:val="0"/>
              <w:marTop w:val="0"/>
              <w:marBottom w:val="0"/>
              <w:divBdr>
                <w:top w:val="none" w:sz="0" w:space="0" w:color="auto"/>
                <w:left w:val="none" w:sz="0" w:space="0" w:color="auto"/>
                <w:bottom w:val="none" w:sz="0" w:space="0" w:color="auto"/>
                <w:right w:val="none" w:sz="0" w:space="0" w:color="auto"/>
              </w:divBdr>
            </w:div>
            <w:div w:id="195822471">
              <w:marLeft w:val="0"/>
              <w:marRight w:val="0"/>
              <w:marTop w:val="0"/>
              <w:marBottom w:val="0"/>
              <w:divBdr>
                <w:top w:val="none" w:sz="0" w:space="0" w:color="auto"/>
                <w:left w:val="none" w:sz="0" w:space="0" w:color="auto"/>
                <w:bottom w:val="none" w:sz="0" w:space="0" w:color="auto"/>
                <w:right w:val="none" w:sz="0" w:space="0" w:color="auto"/>
              </w:divBdr>
            </w:div>
            <w:div w:id="1802334242">
              <w:marLeft w:val="0"/>
              <w:marRight w:val="0"/>
              <w:marTop w:val="0"/>
              <w:marBottom w:val="0"/>
              <w:divBdr>
                <w:top w:val="none" w:sz="0" w:space="0" w:color="auto"/>
                <w:left w:val="none" w:sz="0" w:space="0" w:color="auto"/>
                <w:bottom w:val="none" w:sz="0" w:space="0" w:color="auto"/>
                <w:right w:val="none" w:sz="0" w:space="0" w:color="auto"/>
              </w:divBdr>
            </w:div>
          </w:divsChild>
        </w:div>
        <w:div w:id="736708732">
          <w:marLeft w:val="0"/>
          <w:marRight w:val="0"/>
          <w:marTop w:val="0"/>
          <w:marBottom w:val="0"/>
          <w:divBdr>
            <w:top w:val="none" w:sz="0" w:space="0" w:color="auto"/>
            <w:left w:val="none" w:sz="0" w:space="0" w:color="auto"/>
            <w:bottom w:val="none" w:sz="0" w:space="0" w:color="auto"/>
            <w:right w:val="none" w:sz="0" w:space="0" w:color="auto"/>
          </w:divBdr>
          <w:divsChild>
            <w:div w:id="1708229">
              <w:marLeft w:val="0"/>
              <w:marRight w:val="0"/>
              <w:marTop w:val="0"/>
              <w:marBottom w:val="0"/>
              <w:divBdr>
                <w:top w:val="none" w:sz="0" w:space="0" w:color="auto"/>
                <w:left w:val="none" w:sz="0" w:space="0" w:color="auto"/>
                <w:bottom w:val="none" w:sz="0" w:space="0" w:color="auto"/>
                <w:right w:val="none" w:sz="0" w:space="0" w:color="auto"/>
              </w:divBdr>
            </w:div>
            <w:div w:id="2147120069">
              <w:marLeft w:val="0"/>
              <w:marRight w:val="0"/>
              <w:marTop w:val="0"/>
              <w:marBottom w:val="0"/>
              <w:divBdr>
                <w:top w:val="none" w:sz="0" w:space="0" w:color="auto"/>
                <w:left w:val="none" w:sz="0" w:space="0" w:color="auto"/>
                <w:bottom w:val="none" w:sz="0" w:space="0" w:color="auto"/>
                <w:right w:val="none" w:sz="0" w:space="0" w:color="auto"/>
              </w:divBdr>
            </w:div>
            <w:div w:id="480007654">
              <w:marLeft w:val="0"/>
              <w:marRight w:val="0"/>
              <w:marTop w:val="0"/>
              <w:marBottom w:val="0"/>
              <w:divBdr>
                <w:top w:val="none" w:sz="0" w:space="0" w:color="auto"/>
                <w:left w:val="none" w:sz="0" w:space="0" w:color="auto"/>
                <w:bottom w:val="none" w:sz="0" w:space="0" w:color="auto"/>
                <w:right w:val="none" w:sz="0" w:space="0" w:color="auto"/>
              </w:divBdr>
            </w:div>
            <w:div w:id="678849020">
              <w:marLeft w:val="0"/>
              <w:marRight w:val="0"/>
              <w:marTop w:val="0"/>
              <w:marBottom w:val="0"/>
              <w:divBdr>
                <w:top w:val="none" w:sz="0" w:space="0" w:color="auto"/>
                <w:left w:val="none" w:sz="0" w:space="0" w:color="auto"/>
                <w:bottom w:val="none" w:sz="0" w:space="0" w:color="auto"/>
                <w:right w:val="none" w:sz="0" w:space="0" w:color="auto"/>
              </w:divBdr>
            </w:div>
            <w:div w:id="251355435">
              <w:marLeft w:val="0"/>
              <w:marRight w:val="0"/>
              <w:marTop w:val="0"/>
              <w:marBottom w:val="0"/>
              <w:divBdr>
                <w:top w:val="none" w:sz="0" w:space="0" w:color="auto"/>
                <w:left w:val="none" w:sz="0" w:space="0" w:color="auto"/>
                <w:bottom w:val="none" w:sz="0" w:space="0" w:color="auto"/>
                <w:right w:val="none" w:sz="0" w:space="0" w:color="auto"/>
              </w:divBdr>
            </w:div>
            <w:div w:id="1291060162">
              <w:marLeft w:val="0"/>
              <w:marRight w:val="0"/>
              <w:marTop w:val="0"/>
              <w:marBottom w:val="0"/>
              <w:divBdr>
                <w:top w:val="none" w:sz="0" w:space="0" w:color="auto"/>
                <w:left w:val="none" w:sz="0" w:space="0" w:color="auto"/>
                <w:bottom w:val="none" w:sz="0" w:space="0" w:color="auto"/>
                <w:right w:val="none" w:sz="0" w:space="0" w:color="auto"/>
              </w:divBdr>
            </w:div>
            <w:div w:id="956183384">
              <w:marLeft w:val="0"/>
              <w:marRight w:val="0"/>
              <w:marTop w:val="0"/>
              <w:marBottom w:val="0"/>
              <w:divBdr>
                <w:top w:val="none" w:sz="0" w:space="0" w:color="auto"/>
                <w:left w:val="none" w:sz="0" w:space="0" w:color="auto"/>
                <w:bottom w:val="none" w:sz="0" w:space="0" w:color="auto"/>
                <w:right w:val="none" w:sz="0" w:space="0" w:color="auto"/>
              </w:divBdr>
            </w:div>
            <w:div w:id="1177575491">
              <w:marLeft w:val="0"/>
              <w:marRight w:val="0"/>
              <w:marTop w:val="0"/>
              <w:marBottom w:val="0"/>
              <w:divBdr>
                <w:top w:val="none" w:sz="0" w:space="0" w:color="auto"/>
                <w:left w:val="none" w:sz="0" w:space="0" w:color="auto"/>
                <w:bottom w:val="none" w:sz="0" w:space="0" w:color="auto"/>
                <w:right w:val="none" w:sz="0" w:space="0" w:color="auto"/>
              </w:divBdr>
            </w:div>
            <w:div w:id="140774638">
              <w:marLeft w:val="0"/>
              <w:marRight w:val="0"/>
              <w:marTop w:val="0"/>
              <w:marBottom w:val="0"/>
              <w:divBdr>
                <w:top w:val="none" w:sz="0" w:space="0" w:color="auto"/>
                <w:left w:val="none" w:sz="0" w:space="0" w:color="auto"/>
                <w:bottom w:val="none" w:sz="0" w:space="0" w:color="auto"/>
                <w:right w:val="none" w:sz="0" w:space="0" w:color="auto"/>
              </w:divBdr>
            </w:div>
            <w:div w:id="120654362">
              <w:marLeft w:val="0"/>
              <w:marRight w:val="0"/>
              <w:marTop w:val="0"/>
              <w:marBottom w:val="0"/>
              <w:divBdr>
                <w:top w:val="none" w:sz="0" w:space="0" w:color="auto"/>
                <w:left w:val="none" w:sz="0" w:space="0" w:color="auto"/>
                <w:bottom w:val="none" w:sz="0" w:space="0" w:color="auto"/>
                <w:right w:val="none" w:sz="0" w:space="0" w:color="auto"/>
              </w:divBdr>
            </w:div>
            <w:div w:id="22040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178068">
      <w:bodyDiv w:val="1"/>
      <w:marLeft w:val="0"/>
      <w:marRight w:val="0"/>
      <w:marTop w:val="0"/>
      <w:marBottom w:val="0"/>
      <w:divBdr>
        <w:top w:val="none" w:sz="0" w:space="0" w:color="auto"/>
        <w:left w:val="none" w:sz="0" w:space="0" w:color="auto"/>
        <w:bottom w:val="none" w:sz="0" w:space="0" w:color="auto"/>
        <w:right w:val="none" w:sz="0" w:space="0" w:color="auto"/>
      </w:divBdr>
    </w:div>
    <w:div w:id="1408455099">
      <w:bodyDiv w:val="1"/>
      <w:marLeft w:val="0"/>
      <w:marRight w:val="0"/>
      <w:marTop w:val="0"/>
      <w:marBottom w:val="0"/>
      <w:divBdr>
        <w:top w:val="none" w:sz="0" w:space="0" w:color="auto"/>
        <w:left w:val="none" w:sz="0" w:space="0" w:color="auto"/>
        <w:bottom w:val="none" w:sz="0" w:space="0" w:color="auto"/>
        <w:right w:val="none" w:sz="0" w:space="0" w:color="auto"/>
      </w:divBdr>
      <w:divsChild>
        <w:div w:id="236939813">
          <w:marLeft w:val="0"/>
          <w:marRight w:val="0"/>
          <w:marTop w:val="0"/>
          <w:marBottom w:val="0"/>
          <w:divBdr>
            <w:top w:val="none" w:sz="0" w:space="0" w:color="auto"/>
            <w:left w:val="none" w:sz="0" w:space="0" w:color="auto"/>
            <w:bottom w:val="none" w:sz="0" w:space="0" w:color="auto"/>
            <w:right w:val="none" w:sz="0" w:space="0" w:color="auto"/>
          </w:divBdr>
        </w:div>
        <w:div w:id="397099772">
          <w:marLeft w:val="0"/>
          <w:marRight w:val="0"/>
          <w:marTop w:val="0"/>
          <w:marBottom w:val="0"/>
          <w:divBdr>
            <w:top w:val="none" w:sz="0" w:space="0" w:color="auto"/>
            <w:left w:val="none" w:sz="0" w:space="0" w:color="auto"/>
            <w:bottom w:val="none" w:sz="0" w:space="0" w:color="auto"/>
            <w:right w:val="none" w:sz="0" w:space="0" w:color="auto"/>
          </w:divBdr>
        </w:div>
        <w:div w:id="411658574">
          <w:marLeft w:val="0"/>
          <w:marRight w:val="0"/>
          <w:marTop w:val="0"/>
          <w:marBottom w:val="0"/>
          <w:divBdr>
            <w:top w:val="none" w:sz="0" w:space="0" w:color="auto"/>
            <w:left w:val="none" w:sz="0" w:space="0" w:color="auto"/>
            <w:bottom w:val="none" w:sz="0" w:space="0" w:color="auto"/>
            <w:right w:val="none" w:sz="0" w:space="0" w:color="auto"/>
          </w:divBdr>
        </w:div>
        <w:div w:id="764616893">
          <w:marLeft w:val="0"/>
          <w:marRight w:val="0"/>
          <w:marTop w:val="0"/>
          <w:marBottom w:val="0"/>
          <w:divBdr>
            <w:top w:val="none" w:sz="0" w:space="0" w:color="auto"/>
            <w:left w:val="none" w:sz="0" w:space="0" w:color="auto"/>
            <w:bottom w:val="none" w:sz="0" w:space="0" w:color="auto"/>
            <w:right w:val="none" w:sz="0" w:space="0" w:color="auto"/>
          </w:divBdr>
        </w:div>
        <w:div w:id="800223042">
          <w:marLeft w:val="0"/>
          <w:marRight w:val="0"/>
          <w:marTop w:val="0"/>
          <w:marBottom w:val="0"/>
          <w:divBdr>
            <w:top w:val="none" w:sz="0" w:space="0" w:color="auto"/>
            <w:left w:val="none" w:sz="0" w:space="0" w:color="auto"/>
            <w:bottom w:val="none" w:sz="0" w:space="0" w:color="auto"/>
            <w:right w:val="none" w:sz="0" w:space="0" w:color="auto"/>
          </w:divBdr>
        </w:div>
        <w:div w:id="1124353061">
          <w:marLeft w:val="0"/>
          <w:marRight w:val="0"/>
          <w:marTop w:val="0"/>
          <w:marBottom w:val="0"/>
          <w:divBdr>
            <w:top w:val="none" w:sz="0" w:space="0" w:color="auto"/>
            <w:left w:val="none" w:sz="0" w:space="0" w:color="auto"/>
            <w:bottom w:val="none" w:sz="0" w:space="0" w:color="auto"/>
            <w:right w:val="none" w:sz="0" w:space="0" w:color="auto"/>
          </w:divBdr>
        </w:div>
        <w:div w:id="1368337898">
          <w:marLeft w:val="0"/>
          <w:marRight w:val="0"/>
          <w:marTop w:val="0"/>
          <w:marBottom w:val="0"/>
          <w:divBdr>
            <w:top w:val="none" w:sz="0" w:space="0" w:color="auto"/>
            <w:left w:val="none" w:sz="0" w:space="0" w:color="auto"/>
            <w:bottom w:val="none" w:sz="0" w:space="0" w:color="auto"/>
            <w:right w:val="none" w:sz="0" w:space="0" w:color="auto"/>
          </w:divBdr>
        </w:div>
        <w:div w:id="1441031393">
          <w:marLeft w:val="0"/>
          <w:marRight w:val="0"/>
          <w:marTop w:val="0"/>
          <w:marBottom w:val="0"/>
          <w:divBdr>
            <w:top w:val="none" w:sz="0" w:space="0" w:color="auto"/>
            <w:left w:val="none" w:sz="0" w:space="0" w:color="auto"/>
            <w:bottom w:val="none" w:sz="0" w:space="0" w:color="auto"/>
            <w:right w:val="none" w:sz="0" w:space="0" w:color="auto"/>
          </w:divBdr>
        </w:div>
        <w:div w:id="1917938656">
          <w:marLeft w:val="0"/>
          <w:marRight w:val="0"/>
          <w:marTop w:val="0"/>
          <w:marBottom w:val="0"/>
          <w:divBdr>
            <w:top w:val="none" w:sz="0" w:space="0" w:color="auto"/>
            <w:left w:val="none" w:sz="0" w:space="0" w:color="auto"/>
            <w:bottom w:val="none" w:sz="0" w:space="0" w:color="auto"/>
            <w:right w:val="none" w:sz="0" w:space="0" w:color="auto"/>
          </w:divBdr>
        </w:div>
        <w:div w:id="1985431737">
          <w:marLeft w:val="0"/>
          <w:marRight w:val="0"/>
          <w:marTop w:val="0"/>
          <w:marBottom w:val="0"/>
          <w:divBdr>
            <w:top w:val="none" w:sz="0" w:space="0" w:color="auto"/>
            <w:left w:val="none" w:sz="0" w:space="0" w:color="auto"/>
            <w:bottom w:val="none" w:sz="0" w:space="0" w:color="auto"/>
            <w:right w:val="none" w:sz="0" w:space="0" w:color="auto"/>
          </w:divBdr>
        </w:div>
      </w:divsChild>
    </w:div>
    <w:div w:id="1423721843">
      <w:bodyDiv w:val="1"/>
      <w:marLeft w:val="0"/>
      <w:marRight w:val="0"/>
      <w:marTop w:val="0"/>
      <w:marBottom w:val="0"/>
      <w:divBdr>
        <w:top w:val="none" w:sz="0" w:space="0" w:color="auto"/>
        <w:left w:val="none" w:sz="0" w:space="0" w:color="auto"/>
        <w:bottom w:val="none" w:sz="0" w:space="0" w:color="auto"/>
        <w:right w:val="none" w:sz="0" w:space="0" w:color="auto"/>
      </w:divBdr>
      <w:divsChild>
        <w:div w:id="61490124">
          <w:marLeft w:val="0"/>
          <w:marRight w:val="0"/>
          <w:marTop w:val="0"/>
          <w:marBottom w:val="0"/>
          <w:divBdr>
            <w:top w:val="none" w:sz="0" w:space="0" w:color="auto"/>
            <w:left w:val="none" w:sz="0" w:space="0" w:color="auto"/>
            <w:bottom w:val="none" w:sz="0" w:space="0" w:color="auto"/>
            <w:right w:val="none" w:sz="0" w:space="0" w:color="auto"/>
          </w:divBdr>
          <w:divsChild>
            <w:div w:id="868764090">
              <w:marLeft w:val="0"/>
              <w:marRight w:val="0"/>
              <w:marTop w:val="0"/>
              <w:marBottom w:val="0"/>
              <w:divBdr>
                <w:top w:val="none" w:sz="0" w:space="0" w:color="auto"/>
                <w:left w:val="none" w:sz="0" w:space="0" w:color="auto"/>
                <w:bottom w:val="none" w:sz="0" w:space="0" w:color="auto"/>
                <w:right w:val="none" w:sz="0" w:space="0" w:color="auto"/>
              </w:divBdr>
            </w:div>
          </w:divsChild>
        </w:div>
        <w:div w:id="400560102">
          <w:marLeft w:val="0"/>
          <w:marRight w:val="0"/>
          <w:marTop w:val="0"/>
          <w:marBottom w:val="0"/>
          <w:divBdr>
            <w:top w:val="none" w:sz="0" w:space="0" w:color="auto"/>
            <w:left w:val="none" w:sz="0" w:space="0" w:color="auto"/>
            <w:bottom w:val="none" w:sz="0" w:space="0" w:color="auto"/>
            <w:right w:val="none" w:sz="0" w:space="0" w:color="auto"/>
          </w:divBdr>
          <w:divsChild>
            <w:div w:id="1911382530">
              <w:marLeft w:val="0"/>
              <w:marRight w:val="0"/>
              <w:marTop w:val="0"/>
              <w:marBottom w:val="0"/>
              <w:divBdr>
                <w:top w:val="none" w:sz="0" w:space="0" w:color="auto"/>
                <w:left w:val="none" w:sz="0" w:space="0" w:color="auto"/>
                <w:bottom w:val="none" w:sz="0" w:space="0" w:color="auto"/>
                <w:right w:val="none" w:sz="0" w:space="0" w:color="auto"/>
              </w:divBdr>
            </w:div>
          </w:divsChild>
        </w:div>
        <w:div w:id="423386001">
          <w:marLeft w:val="0"/>
          <w:marRight w:val="0"/>
          <w:marTop w:val="0"/>
          <w:marBottom w:val="0"/>
          <w:divBdr>
            <w:top w:val="none" w:sz="0" w:space="0" w:color="auto"/>
            <w:left w:val="none" w:sz="0" w:space="0" w:color="auto"/>
            <w:bottom w:val="none" w:sz="0" w:space="0" w:color="auto"/>
            <w:right w:val="none" w:sz="0" w:space="0" w:color="auto"/>
          </w:divBdr>
          <w:divsChild>
            <w:div w:id="816995265">
              <w:marLeft w:val="0"/>
              <w:marRight w:val="0"/>
              <w:marTop w:val="0"/>
              <w:marBottom w:val="0"/>
              <w:divBdr>
                <w:top w:val="none" w:sz="0" w:space="0" w:color="auto"/>
                <w:left w:val="none" w:sz="0" w:space="0" w:color="auto"/>
                <w:bottom w:val="none" w:sz="0" w:space="0" w:color="auto"/>
                <w:right w:val="none" w:sz="0" w:space="0" w:color="auto"/>
              </w:divBdr>
            </w:div>
          </w:divsChild>
        </w:div>
        <w:div w:id="728379906">
          <w:marLeft w:val="0"/>
          <w:marRight w:val="0"/>
          <w:marTop w:val="0"/>
          <w:marBottom w:val="0"/>
          <w:divBdr>
            <w:top w:val="none" w:sz="0" w:space="0" w:color="auto"/>
            <w:left w:val="none" w:sz="0" w:space="0" w:color="auto"/>
            <w:bottom w:val="none" w:sz="0" w:space="0" w:color="auto"/>
            <w:right w:val="none" w:sz="0" w:space="0" w:color="auto"/>
          </w:divBdr>
          <w:divsChild>
            <w:div w:id="2097435842">
              <w:marLeft w:val="0"/>
              <w:marRight w:val="0"/>
              <w:marTop w:val="0"/>
              <w:marBottom w:val="0"/>
              <w:divBdr>
                <w:top w:val="none" w:sz="0" w:space="0" w:color="auto"/>
                <w:left w:val="none" w:sz="0" w:space="0" w:color="auto"/>
                <w:bottom w:val="none" w:sz="0" w:space="0" w:color="auto"/>
                <w:right w:val="none" w:sz="0" w:space="0" w:color="auto"/>
              </w:divBdr>
            </w:div>
          </w:divsChild>
        </w:div>
        <w:div w:id="1280408846">
          <w:marLeft w:val="0"/>
          <w:marRight w:val="0"/>
          <w:marTop w:val="0"/>
          <w:marBottom w:val="0"/>
          <w:divBdr>
            <w:top w:val="none" w:sz="0" w:space="0" w:color="auto"/>
            <w:left w:val="none" w:sz="0" w:space="0" w:color="auto"/>
            <w:bottom w:val="none" w:sz="0" w:space="0" w:color="auto"/>
            <w:right w:val="none" w:sz="0" w:space="0" w:color="auto"/>
          </w:divBdr>
          <w:divsChild>
            <w:div w:id="1781223158">
              <w:marLeft w:val="0"/>
              <w:marRight w:val="0"/>
              <w:marTop w:val="0"/>
              <w:marBottom w:val="0"/>
              <w:divBdr>
                <w:top w:val="none" w:sz="0" w:space="0" w:color="auto"/>
                <w:left w:val="none" w:sz="0" w:space="0" w:color="auto"/>
                <w:bottom w:val="none" w:sz="0" w:space="0" w:color="auto"/>
                <w:right w:val="none" w:sz="0" w:space="0" w:color="auto"/>
              </w:divBdr>
            </w:div>
          </w:divsChild>
        </w:div>
        <w:div w:id="1394549388">
          <w:marLeft w:val="0"/>
          <w:marRight w:val="0"/>
          <w:marTop w:val="0"/>
          <w:marBottom w:val="0"/>
          <w:divBdr>
            <w:top w:val="none" w:sz="0" w:space="0" w:color="auto"/>
            <w:left w:val="none" w:sz="0" w:space="0" w:color="auto"/>
            <w:bottom w:val="none" w:sz="0" w:space="0" w:color="auto"/>
            <w:right w:val="none" w:sz="0" w:space="0" w:color="auto"/>
          </w:divBdr>
          <w:divsChild>
            <w:div w:id="1655525167">
              <w:marLeft w:val="0"/>
              <w:marRight w:val="0"/>
              <w:marTop w:val="0"/>
              <w:marBottom w:val="0"/>
              <w:divBdr>
                <w:top w:val="none" w:sz="0" w:space="0" w:color="auto"/>
                <w:left w:val="none" w:sz="0" w:space="0" w:color="auto"/>
                <w:bottom w:val="none" w:sz="0" w:space="0" w:color="auto"/>
                <w:right w:val="none" w:sz="0" w:space="0" w:color="auto"/>
              </w:divBdr>
            </w:div>
          </w:divsChild>
        </w:div>
        <w:div w:id="1741514735">
          <w:marLeft w:val="0"/>
          <w:marRight w:val="0"/>
          <w:marTop w:val="0"/>
          <w:marBottom w:val="0"/>
          <w:divBdr>
            <w:top w:val="none" w:sz="0" w:space="0" w:color="auto"/>
            <w:left w:val="none" w:sz="0" w:space="0" w:color="auto"/>
            <w:bottom w:val="none" w:sz="0" w:space="0" w:color="auto"/>
            <w:right w:val="none" w:sz="0" w:space="0" w:color="auto"/>
          </w:divBdr>
          <w:divsChild>
            <w:div w:id="1882014924">
              <w:marLeft w:val="0"/>
              <w:marRight w:val="0"/>
              <w:marTop w:val="0"/>
              <w:marBottom w:val="0"/>
              <w:divBdr>
                <w:top w:val="none" w:sz="0" w:space="0" w:color="auto"/>
                <w:left w:val="none" w:sz="0" w:space="0" w:color="auto"/>
                <w:bottom w:val="none" w:sz="0" w:space="0" w:color="auto"/>
                <w:right w:val="none" w:sz="0" w:space="0" w:color="auto"/>
              </w:divBdr>
            </w:div>
          </w:divsChild>
        </w:div>
        <w:div w:id="1869830336">
          <w:marLeft w:val="0"/>
          <w:marRight w:val="0"/>
          <w:marTop w:val="0"/>
          <w:marBottom w:val="0"/>
          <w:divBdr>
            <w:top w:val="none" w:sz="0" w:space="0" w:color="auto"/>
            <w:left w:val="none" w:sz="0" w:space="0" w:color="auto"/>
            <w:bottom w:val="none" w:sz="0" w:space="0" w:color="auto"/>
            <w:right w:val="none" w:sz="0" w:space="0" w:color="auto"/>
          </w:divBdr>
          <w:divsChild>
            <w:div w:id="2058581950">
              <w:marLeft w:val="0"/>
              <w:marRight w:val="0"/>
              <w:marTop w:val="0"/>
              <w:marBottom w:val="0"/>
              <w:divBdr>
                <w:top w:val="none" w:sz="0" w:space="0" w:color="auto"/>
                <w:left w:val="none" w:sz="0" w:space="0" w:color="auto"/>
                <w:bottom w:val="none" w:sz="0" w:space="0" w:color="auto"/>
                <w:right w:val="none" w:sz="0" w:space="0" w:color="auto"/>
              </w:divBdr>
            </w:div>
          </w:divsChild>
        </w:div>
        <w:div w:id="1946844270">
          <w:marLeft w:val="0"/>
          <w:marRight w:val="0"/>
          <w:marTop w:val="0"/>
          <w:marBottom w:val="0"/>
          <w:divBdr>
            <w:top w:val="none" w:sz="0" w:space="0" w:color="auto"/>
            <w:left w:val="none" w:sz="0" w:space="0" w:color="auto"/>
            <w:bottom w:val="none" w:sz="0" w:space="0" w:color="auto"/>
            <w:right w:val="none" w:sz="0" w:space="0" w:color="auto"/>
          </w:divBdr>
          <w:divsChild>
            <w:div w:id="74148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65529">
      <w:bodyDiv w:val="1"/>
      <w:marLeft w:val="0"/>
      <w:marRight w:val="0"/>
      <w:marTop w:val="0"/>
      <w:marBottom w:val="0"/>
      <w:divBdr>
        <w:top w:val="none" w:sz="0" w:space="0" w:color="auto"/>
        <w:left w:val="none" w:sz="0" w:space="0" w:color="auto"/>
        <w:bottom w:val="none" w:sz="0" w:space="0" w:color="auto"/>
        <w:right w:val="none" w:sz="0" w:space="0" w:color="auto"/>
      </w:divBdr>
      <w:divsChild>
        <w:div w:id="156893813">
          <w:marLeft w:val="0"/>
          <w:marRight w:val="0"/>
          <w:marTop w:val="0"/>
          <w:marBottom w:val="0"/>
          <w:divBdr>
            <w:top w:val="none" w:sz="0" w:space="0" w:color="auto"/>
            <w:left w:val="none" w:sz="0" w:space="0" w:color="auto"/>
            <w:bottom w:val="none" w:sz="0" w:space="0" w:color="auto"/>
            <w:right w:val="none" w:sz="0" w:space="0" w:color="auto"/>
          </w:divBdr>
        </w:div>
        <w:div w:id="1193497661">
          <w:marLeft w:val="0"/>
          <w:marRight w:val="0"/>
          <w:marTop w:val="0"/>
          <w:marBottom w:val="0"/>
          <w:divBdr>
            <w:top w:val="none" w:sz="0" w:space="0" w:color="auto"/>
            <w:left w:val="none" w:sz="0" w:space="0" w:color="auto"/>
            <w:bottom w:val="none" w:sz="0" w:space="0" w:color="auto"/>
            <w:right w:val="none" w:sz="0" w:space="0" w:color="auto"/>
          </w:divBdr>
        </w:div>
      </w:divsChild>
    </w:div>
    <w:div w:id="1432359513">
      <w:bodyDiv w:val="1"/>
      <w:marLeft w:val="0"/>
      <w:marRight w:val="0"/>
      <w:marTop w:val="0"/>
      <w:marBottom w:val="0"/>
      <w:divBdr>
        <w:top w:val="none" w:sz="0" w:space="0" w:color="auto"/>
        <w:left w:val="none" w:sz="0" w:space="0" w:color="auto"/>
        <w:bottom w:val="none" w:sz="0" w:space="0" w:color="auto"/>
        <w:right w:val="none" w:sz="0" w:space="0" w:color="auto"/>
      </w:divBdr>
      <w:divsChild>
        <w:div w:id="300811893">
          <w:marLeft w:val="0"/>
          <w:marRight w:val="0"/>
          <w:marTop w:val="0"/>
          <w:marBottom w:val="0"/>
          <w:divBdr>
            <w:top w:val="none" w:sz="0" w:space="0" w:color="auto"/>
            <w:left w:val="none" w:sz="0" w:space="0" w:color="auto"/>
            <w:bottom w:val="none" w:sz="0" w:space="0" w:color="auto"/>
            <w:right w:val="none" w:sz="0" w:space="0" w:color="auto"/>
          </w:divBdr>
          <w:divsChild>
            <w:div w:id="646250666">
              <w:marLeft w:val="0"/>
              <w:marRight w:val="0"/>
              <w:marTop w:val="0"/>
              <w:marBottom w:val="0"/>
              <w:divBdr>
                <w:top w:val="none" w:sz="0" w:space="0" w:color="auto"/>
                <w:left w:val="none" w:sz="0" w:space="0" w:color="auto"/>
                <w:bottom w:val="none" w:sz="0" w:space="0" w:color="auto"/>
                <w:right w:val="none" w:sz="0" w:space="0" w:color="auto"/>
              </w:divBdr>
            </w:div>
          </w:divsChild>
        </w:div>
        <w:div w:id="602110241">
          <w:marLeft w:val="0"/>
          <w:marRight w:val="0"/>
          <w:marTop w:val="0"/>
          <w:marBottom w:val="0"/>
          <w:divBdr>
            <w:top w:val="none" w:sz="0" w:space="0" w:color="auto"/>
            <w:left w:val="none" w:sz="0" w:space="0" w:color="auto"/>
            <w:bottom w:val="none" w:sz="0" w:space="0" w:color="auto"/>
            <w:right w:val="none" w:sz="0" w:space="0" w:color="auto"/>
          </w:divBdr>
          <w:divsChild>
            <w:div w:id="981538198">
              <w:marLeft w:val="0"/>
              <w:marRight w:val="0"/>
              <w:marTop w:val="0"/>
              <w:marBottom w:val="0"/>
              <w:divBdr>
                <w:top w:val="none" w:sz="0" w:space="0" w:color="auto"/>
                <w:left w:val="none" w:sz="0" w:space="0" w:color="auto"/>
                <w:bottom w:val="none" w:sz="0" w:space="0" w:color="auto"/>
                <w:right w:val="none" w:sz="0" w:space="0" w:color="auto"/>
              </w:divBdr>
            </w:div>
          </w:divsChild>
        </w:div>
        <w:div w:id="1632589030">
          <w:marLeft w:val="0"/>
          <w:marRight w:val="0"/>
          <w:marTop w:val="0"/>
          <w:marBottom w:val="0"/>
          <w:divBdr>
            <w:top w:val="none" w:sz="0" w:space="0" w:color="auto"/>
            <w:left w:val="none" w:sz="0" w:space="0" w:color="auto"/>
            <w:bottom w:val="none" w:sz="0" w:space="0" w:color="auto"/>
            <w:right w:val="none" w:sz="0" w:space="0" w:color="auto"/>
          </w:divBdr>
          <w:divsChild>
            <w:div w:id="153126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050651">
      <w:bodyDiv w:val="1"/>
      <w:marLeft w:val="0"/>
      <w:marRight w:val="0"/>
      <w:marTop w:val="0"/>
      <w:marBottom w:val="0"/>
      <w:divBdr>
        <w:top w:val="none" w:sz="0" w:space="0" w:color="auto"/>
        <w:left w:val="none" w:sz="0" w:space="0" w:color="auto"/>
        <w:bottom w:val="none" w:sz="0" w:space="0" w:color="auto"/>
        <w:right w:val="none" w:sz="0" w:space="0" w:color="auto"/>
      </w:divBdr>
    </w:div>
    <w:div w:id="1452212896">
      <w:bodyDiv w:val="1"/>
      <w:marLeft w:val="0"/>
      <w:marRight w:val="0"/>
      <w:marTop w:val="0"/>
      <w:marBottom w:val="0"/>
      <w:divBdr>
        <w:top w:val="none" w:sz="0" w:space="0" w:color="auto"/>
        <w:left w:val="none" w:sz="0" w:space="0" w:color="auto"/>
        <w:bottom w:val="none" w:sz="0" w:space="0" w:color="auto"/>
        <w:right w:val="none" w:sz="0" w:space="0" w:color="auto"/>
      </w:divBdr>
      <w:divsChild>
        <w:div w:id="124550000">
          <w:marLeft w:val="0"/>
          <w:marRight w:val="0"/>
          <w:marTop w:val="0"/>
          <w:marBottom w:val="0"/>
          <w:divBdr>
            <w:top w:val="none" w:sz="0" w:space="0" w:color="auto"/>
            <w:left w:val="none" w:sz="0" w:space="0" w:color="auto"/>
            <w:bottom w:val="none" w:sz="0" w:space="0" w:color="auto"/>
            <w:right w:val="none" w:sz="0" w:space="0" w:color="auto"/>
          </w:divBdr>
          <w:divsChild>
            <w:div w:id="1703093338">
              <w:marLeft w:val="0"/>
              <w:marRight w:val="0"/>
              <w:marTop w:val="0"/>
              <w:marBottom w:val="0"/>
              <w:divBdr>
                <w:top w:val="none" w:sz="0" w:space="0" w:color="auto"/>
                <w:left w:val="none" w:sz="0" w:space="0" w:color="auto"/>
                <w:bottom w:val="none" w:sz="0" w:space="0" w:color="auto"/>
                <w:right w:val="none" w:sz="0" w:space="0" w:color="auto"/>
              </w:divBdr>
            </w:div>
            <w:div w:id="361517470">
              <w:marLeft w:val="0"/>
              <w:marRight w:val="0"/>
              <w:marTop w:val="0"/>
              <w:marBottom w:val="0"/>
              <w:divBdr>
                <w:top w:val="none" w:sz="0" w:space="0" w:color="auto"/>
                <w:left w:val="none" w:sz="0" w:space="0" w:color="auto"/>
                <w:bottom w:val="none" w:sz="0" w:space="0" w:color="auto"/>
                <w:right w:val="none" w:sz="0" w:space="0" w:color="auto"/>
              </w:divBdr>
            </w:div>
            <w:div w:id="731151613">
              <w:marLeft w:val="0"/>
              <w:marRight w:val="0"/>
              <w:marTop w:val="0"/>
              <w:marBottom w:val="0"/>
              <w:divBdr>
                <w:top w:val="none" w:sz="0" w:space="0" w:color="auto"/>
                <w:left w:val="none" w:sz="0" w:space="0" w:color="auto"/>
                <w:bottom w:val="none" w:sz="0" w:space="0" w:color="auto"/>
                <w:right w:val="none" w:sz="0" w:space="0" w:color="auto"/>
              </w:divBdr>
            </w:div>
            <w:div w:id="606620050">
              <w:marLeft w:val="0"/>
              <w:marRight w:val="0"/>
              <w:marTop w:val="0"/>
              <w:marBottom w:val="0"/>
              <w:divBdr>
                <w:top w:val="none" w:sz="0" w:space="0" w:color="auto"/>
                <w:left w:val="none" w:sz="0" w:space="0" w:color="auto"/>
                <w:bottom w:val="none" w:sz="0" w:space="0" w:color="auto"/>
                <w:right w:val="none" w:sz="0" w:space="0" w:color="auto"/>
              </w:divBdr>
            </w:div>
            <w:div w:id="2045328157">
              <w:marLeft w:val="0"/>
              <w:marRight w:val="0"/>
              <w:marTop w:val="0"/>
              <w:marBottom w:val="0"/>
              <w:divBdr>
                <w:top w:val="none" w:sz="0" w:space="0" w:color="auto"/>
                <w:left w:val="none" w:sz="0" w:space="0" w:color="auto"/>
                <w:bottom w:val="none" w:sz="0" w:space="0" w:color="auto"/>
                <w:right w:val="none" w:sz="0" w:space="0" w:color="auto"/>
              </w:divBdr>
            </w:div>
            <w:div w:id="590627382">
              <w:marLeft w:val="0"/>
              <w:marRight w:val="0"/>
              <w:marTop w:val="0"/>
              <w:marBottom w:val="0"/>
              <w:divBdr>
                <w:top w:val="none" w:sz="0" w:space="0" w:color="auto"/>
                <w:left w:val="none" w:sz="0" w:space="0" w:color="auto"/>
                <w:bottom w:val="none" w:sz="0" w:space="0" w:color="auto"/>
                <w:right w:val="none" w:sz="0" w:space="0" w:color="auto"/>
              </w:divBdr>
            </w:div>
            <w:div w:id="1615865503">
              <w:marLeft w:val="0"/>
              <w:marRight w:val="0"/>
              <w:marTop w:val="0"/>
              <w:marBottom w:val="0"/>
              <w:divBdr>
                <w:top w:val="none" w:sz="0" w:space="0" w:color="auto"/>
                <w:left w:val="none" w:sz="0" w:space="0" w:color="auto"/>
                <w:bottom w:val="none" w:sz="0" w:space="0" w:color="auto"/>
                <w:right w:val="none" w:sz="0" w:space="0" w:color="auto"/>
              </w:divBdr>
            </w:div>
            <w:div w:id="592084562">
              <w:marLeft w:val="0"/>
              <w:marRight w:val="0"/>
              <w:marTop w:val="0"/>
              <w:marBottom w:val="0"/>
              <w:divBdr>
                <w:top w:val="none" w:sz="0" w:space="0" w:color="auto"/>
                <w:left w:val="none" w:sz="0" w:space="0" w:color="auto"/>
                <w:bottom w:val="none" w:sz="0" w:space="0" w:color="auto"/>
                <w:right w:val="none" w:sz="0" w:space="0" w:color="auto"/>
              </w:divBdr>
            </w:div>
            <w:div w:id="1179393702">
              <w:marLeft w:val="0"/>
              <w:marRight w:val="0"/>
              <w:marTop w:val="0"/>
              <w:marBottom w:val="0"/>
              <w:divBdr>
                <w:top w:val="none" w:sz="0" w:space="0" w:color="auto"/>
                <w:left w:val="none" w:sz="0" w:space="0" w:color="auto"/>
                <w:bottom w:val="none" w:sz="0" w:space="0" w:color="auto"/>
                <w:right w:val="none" w:sz="0" w:space="0" w:color="auto"/>
              </w:divBdr>
            </w:div>
            <w:div w:id="1451703272">
              <w:marLeft w:val="0"/>
              <w:marRight w:val="0"/>
              <w:marTop w:val="0"/>
              <w:marBottom w:val="0"/>
              <w:divBdr>
                <w:top w:val="none" w:sz="0" w:space="0" w:color="auto"/>
                <w:left w:val="none" w:sz="0" w:space="0" w:color="auto"/>
                <w:bottom w:val="none" w:sz="0" w:space="0" w:color="auto"/>
                <w:right w:val="none" w:sz="0" w:space="0" w:color="auto"/>
              </w:divBdr>
            </w:div>
            <w:div w:id="216355679">
              <w:marLeft w:val="0"/>
              <w:marRight w:val="0"/>
              <w:marTop w:val="0"/>
              <w:marBottom w:val="0"/>
              <w:divBdr>
                <w:top w:val="none" w:sz="0" w:space="0" w:color="auto"/>
                <w:left w:val="none" w:sz="0" w:space="0" w:color="auto"/>
                <w:bottom w:val="none" w:sz="0" w:space="0" w:color="auto"/>
                <w:right w:val="none" w:sz="0" w:space="0" w:color="auto"/>
              </w:divBdr>
            </w:div>
            <w:div w:id="320235152">
              <w:marLeft w:val="0"/>
              <w:marRight w:val="0"/>
              <w:marTop w:val="0"/>
              <w:marBottom w:val="0"/>
              <w:divBdr>
                <w:top w:val="none" w:sz="0" w:space="0" w:color="auto"/>
                <w:left w:val="none" w:sz="0" w:space="0" w:color="auto"/>
                <w:bottom w:val="none" w:sz="0" w:space="0" w:color="auto"/>
                <w:right w:val="none" w:sz="0" w:space="0" w:color="auto"/>
              </w:divBdr>
            </w:div>
            <w:div w:id="403336122">
              <w:marLeft w:val="0"/>
              <w:marRight w:val="0"/>
              <w:marTop w:val="0"/>
              <w:marBottom w:val="0"/>
              <w:divBdr>
                <w:top w:val="none" w:sz="0" w:space="0" w:color="auto"/>
                <w:left w:val="none" w:sz="0" w:space="0" w:color="auto"/>
                <w:bottom w:val="none" w:sz="0" w:space="0" w:color="auto"/>
                <w:right w:val="none" w:sz="0" w:space="0" w:color="auto"/>
              </w:divBdr>
            </w:div>
            <w:div w:id="468714475">
              <w:marLeft w:val="0"/>
              <w:marRight w:val="0"/>
              <w:marTop w:val="0"/>
              <w:marBottom w:val="0"/>
              <w:divBdr>
                <w:top w:val="none" w:sz="0" w:space="0" w:color="auto"/>
                <w:left w:val="none" w:sz="0" w:space="0" w:color="auto"/>
                <w:bottom w:val="none" w:sz="0" w:space="0" w:color="auto"/>
                <w:right w:val="none" w:sz="0" w:space="0" w:color="auto"/>
              </w:divBdr>
            </w:div>
            <w:div w:id="646864177">
              <w:marLeft w:val="0"/>
              <w:marRight w:val="0"/>
              <w:marTop w:val="0"/>
              <w:marBottom w:val="0"/>
              <w:divBdr>
                <w:top w:val="none" w:sz="0" w:space="0" w:color="auto"/>
                <w:left w:val="none" w:sz="0" w:space="0" w:color="auto"/>
                <w:bottom w:val="none" w:sz="0" w:space="0" w:color="auto"/>
                <w:right w:val="none" w:sz="0" w:space="0" w:color="auto"/>
              </w:divBdr>
            </w:div>
            <w:div w:id="1397243962">
              <w:marLeft w:val="0"/>
              <w:marRight w:val="0"/>
              <w:marTop w:val="0"/>
              <w:marBottom w:val="0"/>
              <w:divBdr>
                <w:top w:val="none" w:sz="0" w:space="0" w:color="auto"/>
                <w:left w:val="none" w:sz="0" w:space="0" w:color="auto"/>
                <w:bottom w:val="none" w:sz="0" w:space="0" w:color="auto"/>
                <w:right w:val="none" w:sz="0" w:space="0" w:color="auto"/>
              </w:divBdr>
            </w:div>
          </w:divsChild>
        </w:div>
        <w:div w:id="406847517">
          <w:marLeft w:val="0"/>
          <w:marRight w:val="0"/>
          <w:marTop w:val="0"/>
          <w:marBottom w:val="0"/>
          <w:divBdr>
            <w:top w:val="none" w:sz="0" w:space="0" w:color="auto"/>
            <w:left w:val="none" w:sz="0" w:space="0" w:color="auto"/>
            <w:bottom w:val="none" w:sz="0" w:space="0" w:color="auto"/>
            <w:right w:val="none" w:sz="0" w:space="0" w:color="auto"/>
          </w:divBdr>
        </w:div>
        <w:div w:id="1860464713">
          <w:marLeft w:val="0"/>
          <w:marRight w:val="0"/>
          <w:marTop w:val="0"/>
          <w:marBottom w:val="0"/>
          <w:divBdr>
            <w:top w:val="none" w:sz="0" w:space="0" w:color="auto"/>
            <w:left w:val="none" w:sz="0" w:space="0" w:color="auto"/>
            <w:bottom w:val="none" w:sz="0" w:space="0" w:color="auto"/>
            <w:right w:val="none" w:sz="0" w:space="0" w:color="auto"/>
          </w:divBdr>
        </w:div>
        <w:div w:id="1016422015">
          <w:marLeft w:val="0"/>
          <w:marRight w:val="0"/>
          <w:marTop w:val="0"/>
          <w:marBottom w:val="0"/>
          <w:divBdr>
            <w:top w:val="none" w:sz="0" w:space="0" w:color="auto"/>
            <w:left w:val="none" w:sz="0" w:space="0" w:color="auto"/>
            <w:bottom w:val="none" w:sz="0" w:space="0" w:color="auto"/>
            <w:right w:val="none" w:sz="0" w:space="0" w:color="auto"/>
          </w:divBdr>
        </w:div>
        <w:div w:id="1061514130">
          <w:marLeft w:val="0"/>
          <w:marRight w:val="0"/>
          <w:marTop w:val="0"/>
          <w:marBottom w:val="0"/>
          <w:divBdr>
            <w:top w:val="none" w:sz="0" w:space="0" w:color="auto"/>
            <w:left w:val="none" w:sz="0" w:space="0" w:color="auto"/>
            <w:bottom w:val="none" w:sz="0" w:space="0" w:color="auto"/>
            <w:right w:val="none" w:sz="0" w:space="0" w:color="auto"/>
          </w:divBdr>
        </w:div>
        <w:div w:id="2029984126">
          <w:marLeft w:val="0"/>
          <w:marRight w:val="0"/>
          <w:marTop w:val="0"/>
          <w:marBottom w:val="0"/>
          <w:divBdr>
            <w:top w:val="none" w:sz="0" w:space="0" w:color="auto"/>
            <w:left w:val="none" w:sz="0" w:space="0" w:color="auto"/>
            <w:bottom w:val="none" w:sz="0" w:space="0" w:color="auto"/>
            <w:right w:val="none" w:sz="0" w:space="0" w:color="auto"/>
          </w:divBdr>
        </w:div>
        <w:div w:id="213780357">
          <w:marLeft w:val="0"/>
          <w:marRight w:val="0"/>
          <w:marTop w:val="0"/>
          <w:marBottom w:val="0"/>
          <w:divBdr>
            <w:top w:val="none" w:sz="0" w:space="0" w:color="auto"/>
            <w:left w:val="none" w:sz="0" w:space="0" w:color="auto"/>
            <w:bottom w:val="none" w:sz="0" w:space="0" w:color="auto"/>
            <w:right w:val="none" w:sz="0" w:space="0" w:color="auto"/>
          </w:divBdr>
        </w:div>
        <w:div w:id="1895774104">
          <w:marLeft w:val="0"/>
          <w:marRight w:val="0"/>
          <w:marTop w:val="0"/>
          <w:marBottom w:val="0"/>
          <w:divBdr>
            <w:top w:val="none" w:sz="0" w:space="0" w:color="auto"/>
            <w:left w:val="none" w:sz="0" w:space="0" w:color="auto"/>
            <w:bottom w:val="none" w:sz="0" w:space="0" w:color="auto"/>
            <w:right w:val="none" w:sz="0" w:space="0" w:color="auto"/>
          </w:divBdr>
        </w:div>
      </w:divsChild>
    </w:div>
    <w:div w:id="1453206912">
      <w:bodyDiv w:val="1"/>
      <w:marLeft w:val="0"/>
      <w:marRight w:val="0"/>
      <w:marTop w:val="0"/>
      <w:marBottom w:val="0"/>
      <w:divBdr>
        <w:top w:val="none" w:sz="0" w:space="0" w:color="auto"/>
        <w:left w:val="none" w:sz="0" w:space="0" w:color="auto"/>
        <w:bottom w:val="none" w:sz="0" w:space="0" w:color="auto"/>
        <w:right w:val="none" w:sz="0" w:space="0" w:color="auto"/>
      </w:divBdr>
      <w:divsChild>
        <w:div w:id="1473361">
          <w:marLeft w:val="0"/>
          <w:marRight w:val="0"/>
          <w:marTop w:val="0"/>
          <w:marBottom w:val="0"/>
          <w:divBdr>
            <w:top w:val="none" w:sz="0" w:space="0" w:color="auto"/>
            <w:left w:val="none" w:sz="0" w:space="0" w:color="auto"/>
            <w:bottom w:val="none" w:sz="0" w:space="0" w:color="auto"/>
            <w:right w:val="none" w:sz="0" w:space="0" w:color="auto"/>
          </w:divBdr>
        </w:div>
        <w:div w:id="166792251">
          <w:marLeft w:val="0"/>
          <w:marRight w:val="0"/>
          <w:marTop w:val="0"/>
          <w:marBottom w:val="0"/>
          <w:divBdr>
            <w:top w:val="none" w:sz="0" w:space="0" w:color="auto"/>
            <w:left w:val="none" w:sz="0" w:space="0" w:color="auto"/>
            <w:bottom w:val="none" w:sz="0" w:space="0" w:color="auto"/>
            <w:right w:val="none" w:sz="0" w:space="0" w:color="auto"/>
          </w:divBdr>
        </w:div>
        <w:div w:id="438532043">
          <w:marLeft w:val="0"/>
          <w:marRight w:val="0"/>
          <w:marTop w:val="0"/>
          <w:marBottom w:val="0"/>
          <w:divBdr>
            <w:top w:val="none" w:sz="0" w:space="0" w:color="auto"/>
            <w:left w:val="none" w:sz="0" w:space="0" w:color="auto"/>
            <w:bottom w:val="none" w:sz="0" w:space="0" w:color="auto"/>
            <w:right w:val="none" w:sz="0" w:space="0" w:color="auto"/>
          </w:divBdr>
        </w:div>
        <w:div w:id="464930447">
          <w:marLeft w:val="0"/>
          <w:marRight w:val="0"/>
          <w:marTop w:val="0"/>
          <w:marBottom w:val="0"/>
          <w:divBdr>
            <w:top w:val="none" w:sz="0" w:space="0" w:color="auto"/>
            <w:left w:val="none" w:sz="0" w:space="0" w:color="auto"/>
            <w:bottom w:val="none" w:sz="0" w:space="0" w:color="auto"/>
            <w:right w:val="none" w:sz="0" w:space="0" w:color="auto"/>
          </w:divBdr>
        </w:div>
        <w:div w:id="767652197">
          <w:marLeft w:val="0"/>
          <w:marRight w:val="0"/>
          <w:marTop w:val="0"/>
          <w:marBottom w:val="0"/>
          <w:divBdr>
            <w:top w:val="none" w:sz="0" w:space="0" w:color="auto"/>
            <w:left w:val="none" w:sz="0" w:space="0" w:color="auto"/>
            <w:bottom w:val="none" w:sz="0" w:space="0" w:color="auto"/>
            <w:right w:val="none" w:sz="0" w:space="0" w:color="auto"/>
          </w:divBdr>
        </w:div>
        <w:div w:id="783500939">
          <w:marLeft w:val="0"/>
          <w:marRight w:val="0"/>
          <w:marTop w:val="0"/>
          <w:marBottom w:val="0"/>
          <w:divBdr>
            <w:top w:val="none" w:sz="0" w:space="0" w:color="auto"/>
            <w:left w:val="none" w:sz="0" w:space="0" w:color="auto"/>
            <w:bottom w:val="none" w:sz="0" w:space="0" w:color="auto"/>
            <w:right w:val="none" w:sz="0" w:space="0" w:color="auto"/>
          </w:divBdr>
        </w:div>
        <w:div w:id="805469998">
          <w:marLeft w:val="0"/>
          <w:marRight w:val="0"/>
          <w:marTop w:val="0"/>
          <w:marBottom w:val="0"/>
          <w:divBdr>
            <w:top w:val="none" w:sz="0" w:space="0" w:color="auto"/>
            <w:left w:val="none" w:sz="0" w:space="0" w:color="auto"/>
            <w:bottom w:val="none" w:sz="0" w:space="0" w:color="auto"/>
            <w:right w:val="none" w:sz="0" w:space="0" w:color="auto"/>
          </w:divBdr>
        </w:div>
        <w:div w:id="896092329">
          <w:marLeft w:val="0"/>
          <w:marRight w:val="0"/>
          <w:marTop w:val="0"/>
          <w:marBottom w:val="0"/>
          <w:divBdr>
            <w:top w:val="none" w:sz="0" w:space="0" w:color="auto"/>
            <w:left w:val="none" w:sz="0" w:space="0" w:color="auto"/>
            <w:bottom w:val="none" w:sz="0" w:space="0" w:color="auto"/>
            <w:right w:val="none" w:sz="0" w:space="0" w:color="auto"/>
          </w:divBdr>
        </w:div>
        <w:div w:id="1008294787">
          <w:marLeft w:val="0"/>
          <w:marRight w:val="0"/>
          <w:marTop w:val="0"/>
          <w:marBottom w:val="0"/>
          <w:divBdr>
            <w:top w:val="none" w:sz="0" w:space="0" w:color="auto"/>
            <w:left w:val="none" w:sz="0" w:space="0" w:color="auto"/>
            <w:bottom w:val="none" w:sz="0" w:space="0" w:color="auto"/>
            <w:right w:val="none" w:sz="0" w:space="0" w:color="auto"/>
          </w:divBdr>
        </w:div>
        <w:div w:id="1500923876">
          <w:marLeft w:val="0"/>
          <w:marRight w:val="0"/>
          <w:marTop w:val="0"/>
          <w:marBottom w:val="0"/>
          <w:divBdr>
            <w:top w:val="none" w:sz="0" w:space="0" w:color="auto"/>
            <w:left w:val="none" w:sz="0" w:space="0" w:color="auto"/>
            <w:bottom w:val="none" w:sz="0" w:space="0" w:color="auto"/>
            <w:right w:val="none" w:sz="0" w:space="0" w:color="auto"/>
          </w:divBdr>
        </w:div>
        <w:div w:id="1505509855">
          <w:marLeft w:val="0"/>
          <w:marRight w:val="0"/>
          <w:marTop w:val="0"/>
          <w:marBottom w:val="0"/>
          <w:divBdr>
            <w:top w:val="none" w:sz="0" w:space="0" w:color="auto"/>
            <w:left w:val="none" w:sz="0" w:space="0" w:color="auto"/>
            <w:bottom w:val="none" w:sz="0" w:space="0" w:color="auto"/>
            <w:right w:val="none" w:sz="0" w:space="0" w:color="auto"/>
          </w:divBdr>
        </w:div>
        <w:div w:id="1719666593">
          <w:marLeft w:val="0"/>
          <w:marRight w:val="0"/>
          <w:marTop w:val="0"/>
          <w:marBottom w:val="0"/>
          <w:divBdr>
            <w:top w:val="none" w:sz="0" w:space="0" w:color="auto"/>
            <w:left w:val="none" w:sz="0" w:space="0" w:color="auto"/>
            <w:bottom w:val="none" w:sz="0" w:space="0" w:color="auto"/>
            <w:right w:val="none" w:sz="0" w:space="0" w:color="auto"/>
          </w:divBdr>
        </w:div>
        <w:div w:id="1839616093">
          <w:marLeft w:val="0"/>
          <w:marRight w:val="0"/>
          <w:marTop w:val="0"/>
          <w:marBottom w:val="0"/>
          <w:divBdr>
            <w:top w:val="none" w:sz="0" w:space="0" w:color="auto"/>
            <w:left w:val="none" w:sz="0" w:space="0" w:color="auto"/>
            <w:bottom w:val="none" w:sz="0" w:space="0" w:color="auto"/>
            <w:right w:val="none" w:sz="0" w:space="0" w:color="auto"/>
          </w:divBdr>
        </w:div>
        <w:div w:id="1863785860">
          <w:marLeft w:val="0"/>
          <w:marRight w:val="0"/>
          <w:marTop w:val="0"/>
          <w:marBottom w:val="0"/>
          <w:divBdr>
            <w:top w:val="none" w:sz="0" w:space="0" w:color="auto"/>
            <w:left w:val="none" w:sz="0" w:space="0" w:color="auto"/>
            <w:bottom w:val="none" w:sz="0" w:space="0" w:color="auto"/>
            <w:right w:val="none" w:sz="0" w:space="0" w:color="auto"/>
          </w:divBdr>
        </w:div>
        <w:div w:id="2146045840">
          <w:marLeft w:val="0"/>
          <w:marRight w:val="0"/>
          <w:marTop w:val="0"/>
          <w:marBottom w:val="0"/>
          <w:divBdr>
            <w:top w:val="none" w:sz="0" w:space="0" w:color="auto"/>
            <w:left w:val="none" w:sz="0" w:space="0" w:color="auto"/>
            <w:bottom w:val="none" w:sz="0" w:space="0" w:color="auto"/>
            <w:right w:val="none" w:sz="0" w:space="0" w:color="auto"/>
          </w:divBdr>
        </w:div>
      </w:divsChild>
    </w:div>
    <w:div w:id="1465738387">
      <w:bodyDiv w:val="1"/>
      <w:marLeft w:val="0"/>
      <w:marRight w:val="0"/>
      <w:marTop w:val="0"/>
      <w:marBottom w:val="0"/>
      <w:divBdr>
        <w:top w:val="none" w:sz="0" w:space="0" w:color="auto"/>
        <w:left w:val="none" w:sz="0" w:space="0" w:color="auto"/>
        <w:bottom w:val="none" w:sz="0" w:space="0" w:color="auto"/>
        <w:right w:val="none" w:sz="0" w:space="0" w:color="auto"/>
      </w:divBdr>
      <w:divsChild>
        <w:div w:id="1302493769">
          <w:marLeft w:val="0"/>
          <w:marRight w:val="0"/>
          <w:marTop w:val="0"/>
          <w:marBottom w:val="0"/>
          <w:divBdr>
            <w:top w:val="none" w:sz="0" w:space="0" w:color="auto"/>
            <w:left w:val="none" w:sz="0" w:space="0" w:color="auto"/>
            <w:bottom w:val="none" w:sz="0" w:space="0" w:color="auto"/>
            <w:right w:val="none" w:sz="0" w:space="0" w:color="auto"/>
          </w:divBdr>
          <w:divsChild>
            <w:div w:id="841047455">
              <w:marLeft w:val="0"/>
              <w:marRight w:val="0"/>
              <w:marTop w:val="0"/>
              <w:marBottom w:val="0"/>
              <w:divBdr>
                <w:top w:val="none" w:sz="0" w:space="0" w:color="auto"/>
                <w:left w:val="none" w:sz="0" w:space="0" w:color="auto"/>
                <w:bottom w:val="none" w:sz="0" w:space="0" w:color="auto"/>
                <w:right w:val="none" w:sz="0" w:space="0" w:color="auto"/>
              </w:divBdr>
            </w:div>
            <w:div w:id="865488216">
              <w:marLeft w:val="0"/>
              <w:marRight w:val="0"/>
              <w:marTop w:val="0"/>
              <w:marBottom w:val="0"/>
              <w:divBdr>
                <w:top w:val="none" w:sz="0" w:space="0" w:color="auto"/>
                <w:left w:val="none" w:sz="0" w:space="0" w:color="auto"/>
                <w:bottom w:val="none" w:sz="0" w:space="0" w:color="auto"/>
                <w:right w:val="none" w:sz="0" w:space="0" w:color="auto"/>
              </w:divBdr>
            </w:div>
            <w:div w:id="1266114788">
              <w:marLeft w:val="0"/>
              <w:marRight w:val="0"/>
              <w:marTop w:val="0"/>
              <w:marBottom w:val="0"/>
              <w:divBdr>
                <w:top w:val="none" w:sz="0" w:space="0" w:color="auto"/>
                <w:left w:val="none" w:sz="0" w:space="0" w:color="auto"/>
                <w:bottom w:val="none" w:sz="0" w:space="0" w:color="auto"/>
                <w:right w:val="none" w:sz="0" w:space="0" w:color="auto"/>
              </w:divBdr>
            </w:div>
            <w:div w:id="1043364092">
              <w:marLeft w:val="0"/>
              <w:marRight w:val="0"/>
              <w:marTop w:val="0"/>
              <w:marBottom w:val="0"/>
              <w:divBdr>
                <w:top w:val="none" w:sz="0" w:space="0" w:color="auto"/>
                <w:left w:val="none" w:sz="0" w:space="0" w:color="auto"/>
                <w:bottom w:val="none" w:sz="0" w:space="0" w:color="auto"/>
                <w:right w:val="none" w:sz="0" w:space="0" w:color="auto"/>
              </w:divBdr>
            </w:div>
            <w:div w:id="332613284">
              <w:marLeft w:val="0"/>
              <w:marRight w:val="0"/>
              <w:marTop w:val="0"/>
              <w:marBottom w:val="0"/>
              <w:divBdr>
                <w:top w:val="none" w:sz="0" w:space="0" w:color="auto"/>
                <w:left w:val="none" w:sz="0" w:space="0" w:color="auto"/>
                <w:bottom w:val="none" w:sz="0" w:space="0" w:color="auto"/>
                <w:right w:val="none" w:sz="0" w:space="0" w:color="auto"/>
              </w:divBdr>
            </w:div>
            <w:div w:id="1648781311">
              <w:marLeft w:val="0"/>
              <w:marRight w:val="0"/>
              <w:marTop w:val="0"/>
              <w:marBottom w:val="0"/>
              <w:divBdr>
                <w:top w:val="none" w:sz="0" w:space="0" w:color="auto"/>
                <w:left w:val="none" w:sz="0" w:space="0" w:color="auto"/>
                <w:bottom w:val="none" w:sz="0" w:space="0" w:color="auto"/>
                <w:right w:val="none" w:sz="0" w:space="0" w:color="auto"/>
              </w:divBdr>
            </w:div>
            <w:div w:id="1603224336">
              <w:marLeft w:val="0"/>
              <w:marRight w:val="0"/>
              <w:marTop w:val="0"/>
              <w:marBottom w:val="0"/>
              <w:divBdr>
                <w:top w:val="none" w:sz="0" w:space="0" w:color="auto"/>
                <w:left w:val="none" w:sz="0" w:space="0" w:color="auto"/>
                <w:bottom w:val="none" w:sz="0" w:space="0" w:color="auto"/>
                <w:right w:val="none" w:sz="0" w:space="0" w:color="auto"/>
              </w:divBdr>
            </w:div>
          </w:divsChild>
        </w:div>
        <w:div w:id="655761729">
          <w:marLeft w:val="0"/>
          <w:marRight w:val="0"/>
          <w:marTop w:val="0"/>
          <w:marBottom w:val="0"/>
          <w:divBdr>
            <w:top w:val="none" w:sz="0" w:space="0" w:color="auto"/>
            <w:left w:val="none" w:sz="0" w:space="0" w:color="auto"/>
            <w:bottom w:val="none" w:sz="0" w:space="0" w:color="auto"/>
            <w:right w:val="none" w:sz="0" w:space="0" w:color="auto"/>
          </w:divBdr>
          <w:divsChild>
            <w:div w:id="1898592470">
              <w:marLeft w:val="0"/>
              <w:marRight w:val="0"/>
              <w:marTop w:val="0"/>
              <w:marBottom w:val="0"/>
              <w:divBdr>
                <w:top w:val="none" w:sz="0" w:space="0" w:color="auto"/>
                <w:left w:val="none" w:sz="0" w:space="0" w:color="auto"/>
                <w:bottom w:val="none" w:sz="0" w:space="0" w:color="auto"/>
                <w:right w:val="none" w:sz="0" w:space="0" w:color="auto"/>
              </w:divBdr>
            </w:div>
            <w:div w:id="888759101">
              <w:marLeft w:val="0"/>
              <w:marRight w:val="0"/>
              <w:marTop w:val="0"/>
              <w:marBottom w:val="0"/>
              <w:divBdr>
                <w:top w:val="none" w:sz="0" w:space="0" w:color="auto"/>
                <w:left w:val="none" w:sz="0" w:space="0" w:color="auto"/>
                <w:bottom w:val="none" w:sz="0" w:space="0" w:color="auto"/>
                <w:right w:val="none" w:sz="0" w:space="0" w:color="auto"/>
              </w:divBdr>
            </w:div>
            <w:div w:id="825512704">
              <w:marLeft w:val="0"/>
              <w:marRight w:val="0"/>
              <w:marTop w:val="0"/>
              <w:marBottom w:val="0"/>
              <w:divBdr>
                <w:top w:val="none" w:sz="0" w:space="0" w:color="auto"/>
                <w:left w:val="none" w:sz="0" w:space="0" w:color="auto"/>
                <w:bottom w:val="none" w:sz="0" w:space="0" w:color="auto"/>
                <w:right w:val="none" w:sz="0" w:space="0" w:color="auto"/>
              </w:divBdr>
            </w:div>
            <w:div w:id="1443723916">
              <w:marLeft w:val="0"/>
              <w:marRight w:val="0"/>
              <w:marTop w:val="0"/>
              <w:marBottom w:val="0"/>
              <w:divBdr>
                <w:top w:val="none" w:sz="0" w:space="0" w:color="auto"/>
                <w:left w:val="none" w:sz="0" w:space="0" w:color="auto"/>
                <w:bottom w:val="none" w:sz="0" w:space="0" w:color="auto"/>
                <w:right w:val="none" w:sz="0" w:space="0" w:color="auto"/>
              </w:divBdr>
            </w:div>
            <w:div w:id="683366391">
              <w:marLeft w:val="0"/>
              <w:marRight w:val="0"/>
              <w:marTop w:val="0"/>
              <w:marBottom w:val="0"/>
              <w:divBdr>
                <w:top w:val="none" w:sz="0" w:space="0" w:color="auto"/>
                <w:left w:val="none" w:sz="0" w:space="0" w:color="auto"/>
                <w:bottom w:val="none" w:sz="0" w:space="0" w:color="auto"/>
                <w:right w:val="none" w:sz="0" w:space="0" w:color="auto"/>
              </w:divBdr>
            </w:div>
            <w:div w:id="2012296368">
              <w:marLeft w:val="0"/>
              <w:marRight w:val="0"/>
              <w:marTop w:val="0"/>
              <w:marBottom w:val="0"/>
              <w:divBdr>
                <w:top w:val="none" w:sz="0" w:space="0" w:color="auto"/>
                <w:left w:val="none" w:sz="0" w:space="0" w:color="auto"/>
                <w:bottom w:val="none" w:sz="0" w:space="0" w:color="auto"/>
                <w:right w:val="none" w:sz="0" w:space="0" w:color="auto"/>
              </w:divBdr>
            </w:div>
            <w:div w:id="574630112">
              <w:marLeft w:val="0"/>
              <w:marRight w:val="0"/>
              <w:marTop w:val="0"/>
              <w:marBottom w:val="0"/>
              <w:divBdr>
                <w:top w:val="none" w:sz="0" w:space="0" w:color="auto"/>
                <w:left w:val="none" w:sz="0" w:space="0" w:color="auto"/>
                <w:bottom w:val="none" w:sz="0" w:space="0" w:color="auto"/>
                <w:right w:val="none" w:sz="0" w:space="0" w:color="auto"/>
              </w:divBdr>
            </w:div>
            <w:div w:id="474951938">
              <w:marLeft w:val="0"/>
              <w:marRight w:val="0"/>
              <w:marTop w:val="0"/>
              <w:marBottom w:val="0"/>
              <w:divBdr>
                <w:top w:val="none" w:sz="0" w:space="0" w:color="auto"/>
                <w:left w:val="none" w:sz="0" w:space="0" w:color="auto"/>
                <w:bottom w:val="none" w:sz="0" w:space="0" w:color="auto"/>
                <w:right w:val="none" w:sz="0" w:space="0" w:color="auto"/>
              </w:divBdr>
            </w:div>
            <w:div w:id="1898931969">
              <w:marLeft w:val="0"/>
              <w:marRight w:val="0"/>
              <w:marTop w:val="0"/>
              <w:marBottom w:val="0"/>
              <w:divBdr>
                <w:top w:val="none" w:sz="0" w:space="0" w:color="auto"/>
                <w:left w:val="none" w:sz="0" w:space="0" w:color="auto"/>
                <w:bottom w:val="none" w:sz="0" w:space="0" w:color="auto"/>
                <w:right w:val="none" w:sz="0" w:space="0" w:color="auto"/>
              </w:divBdr>
            </w:div>
            <w:div w:id="1608804132">
              <w:marLeft w:val="0"/>
              <w:marRight w:val="0"/>
              <w:marTop w:val="0"/>
              <w:marBottom w:val="0"/>
              <w:divBdr>
                <w:top w:val="none" w:sz="0" w:space="0" w:color="auto"/>
                <w:left w:val="none" w:sz="0" w:space="0" w:color="auto"/>
                <w:bottom w:val="none" w:sz="0" w:space="0" w:color="auto"/>
                <w:right w:val="none" w:sz="0" w:space="0" w:color="auto"/>
              </w:divBdr>
            </w:div>
            <w:div w:id="1808476860">
              <w:marLeft w:val="0"/>
              <w:marRight w:val="0"/>
              <w:marTop w:val="0"/>
              <w:marBottom w:val="0"/>
              <w:divBdr>
                <w:top w:val="none" w:sz="0" w:space="0" w:color="auto"/>
                <w:left w:val="none" w:sz="0" w:space="0" w:color="auto"/>
                <w:bottom w:val="none" w:sz="0" w:space="0" w:color="auto"/>
                <w:right w:val="none" w:sz="0" w:space="0" w:color="auto"/>
              </w:divBdr>
            </w:div>
            <w:div w:id="296499615">
              <w:marLeft w:val="0"/>
              <w:marRight w:val="0"/>
              <w:marTop w:val="0"/>
              <w:marBottom w:val="0"/>
              <w:divBdr>
                <w:top w:val="none" w:sz="0" w:space="0" w:color="auto"/>
                <w:left w:val="none" w:sz="0" w:space="0" w:color="auto"/>
                <w:bottom w:val="none" w:sz="0" w:space="0" w:color="auto"/>
                <w:right w:val="none" w:sz="0" w:space="0" w:color="auto"/>
              </w:divBdr>
            </w:div>
            <w:div w:id="812137321">
              <w:marLeft w:val="0"/>
              <w:marRight w:val="0"/>
              <w:marTop w:val="0"/>
              <w:marBottom w:val="0"/>
              <w:divBdr>
                <w:top w:val="none" w:sz="0" w:space="0" w:color="auto"/>
                <w:left w:val="none" w:sz="0" w:space="0" w:color="auto"/>
                <w:bottom w:val="none" w:sz="0" w:space="0" w:color="auto"/>
                <w:right w:val="none" w:sz="0" w:space="0" w:color="auto"/>
              </w:divBdr>
            </w:div>
            <w:div w:id="1375933180">
              <w:marLeft w:val="0"/>
              <w:marRight w:val="0"/>
              <w:marTop w:val="0"/>
              <w:marBottom w:val="0"/>
              <w:divBdr>
                <w:top w:val="none" w:sz="0" w:space="0" w:color="auto"/>
                <w:left w:val="none" w:sz="0" w:space="0" w:color="auto"/>
                <w:bottom w:val="none" w:sz="0" w:space="0" w:color="auto"/>
                <w:right w:val="none" w:sz="0" w:space="0" w:color="auto"/>
              </w:divBdr>
            </w:div>
            <w:div w:id="1806073617">
              <w:marLeft w:val="0"/>
              <w:marRight w:val="0"/>
              <w:marTop w:val="0"/>
              <w:marBottom w:val="0"/>
              <w:divBdr>
                <w:top w:val="none" w:sz="0" w:space="0" w:color="auto"/>
                <w:left w:val="none" w:sz="0" w:space="0" w:color="auto"/>
                <w:bottom w:val="none" w:sz="0" w:space="0" w:color="auto"/>
                <w:right w:val="none" w:sz="0" w:space="0" w:color="auto"/>
              </w:divBdr>
            </w:div>
            <w:div w:id="186228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744006">
      <w:bodyDiv w:val="1"/>
      <w:marLeft w:val="0"/>
      <w:marRight w:val="0"/>
      <w:marTop w:val="0"/>
      <w:marBottom w:val="0"/>
      <w:divBdr>
        <w:top w:val="none" w:sz="0" w:space="0" w:color="auto"/>
        <w:left w:val="none" w:sz="0" w:space="0" w:color="auto"/>
        <w:bottom w:val="none" w:sz="0" w:space="0" w:color="auto"/>
        <w:right w:val="none" w:sz="0" w:space="0" w:color="auto"/>
      </w:divBdr>
    </w:div>
    <w:div w:id="1476684649">
      <w:bodyDiv w:val="1"/>
      <w:marLeft w:val="0"/>
      <w:marRight w:val="0"/>
      <w:marTop w:val="0"/>
      <w:marBottom w:val="0"/>
      <w:divBdr>
        <w:top w:val="none" w:sz="0" w:space="0" w:color="auto"/>
        <w:left w:val="none" w:sz="0" w:space="0" w:color="auto"/>
        <w:bottom w:val="none" w:sz="0" w:space="0" w:color="auto"/>
        <w:right w:val="none" w:sz="0" w:space="0" w:color="auto"/>
      </w:divBdr>
    </w:div>
    <w:div w:id="1482307300">
      <w:bodyDiv w:val="1"/>
      <w:marLeft w:val="0"/>
      <w:marRight w:val="0"/>
      <w:marTop w:val="0"/>
      <w:marBottom w:val="0"/>
      <w:divBdr>
        <w:top w:val="none" w:sz="0" w:space="0" w:color="auto"/>
        <w:left w:val="none" w:sz="0" w:space="0" w:color="auto"/>
        <w:bottom w:val="none" w:sz="0" w:space="0" w:color="auto"/>
        <w:right w:val="none" w:sz="0" w:space="0" w:color="auto"/>
      </w:divBdr>
    </w:div>
    <w:div w:id="1483766717">
      <w:bodyDiv w:val="1"/>
      <w:marLeft w:val="0"/>
      <w:marRight w:val="0"/>
      <w:marTop w:val="0"/>
      <w:marBottom w:val="0"/>
      <w:divBdr>
        <w:top w:val="none" w:sz="0" w:space="0" w:color="auto"/>
        <w:left w:val="none" w:sz="0" w:space="0" w:color="auto"/>
        <w:bottom w:val="none" w:sz="0" w:space="0" w:color="auto"/>
        <w:right w:val="none" w:sz="0" w:space="0" w:color="auto"/>
      </w:divBdr>
    </w:div>
    <w:div w:id="1490707026">
      <w:bodyDiv w:val="1"/>
      <w:marLeft w:val="0"/>
      <w:marRight w:val="0"/>
      <w:marTop w:val="0"/>
      <w:marBottom w:val="0"/>
      <w:divBdr>
        <w:top w:val="none" w:sz="0" w:space="0" w:color="auto"/>
        <w:left w:val="none" w:sz="0" w:space="0" w:color="auto"/>
        <w:bottom w:val="none" w:sz="0" w:space="0" w:color="auto"/>
        <w:right w:val="none" w:sz="0" w:space="0" w:color="auto"/>
      </w:divBdr>
      <w:divsChild>
        <w:div w:id="1744524199">
          <w:marLeft w:val="0"/>
          <w:marRight w:val="0"/>
          <w:marTop w:val="0"/>
          <w:marBottom w:val="0"/>
          <w:divBdr>
            <w:top w:val="none" w:sz="0" w:space="0" w:color="auto"/>
            <w:left w:val="none" w:sz="0" w:space="0" w:color="auto"/>
            <w:bottom w:val="none" w:sz="0" w:space="0" w:color="auto"/>
            <w:right w:val="none" w:sz="0" w:space="0" w:color="auto"/>
          </w:divBdr>
          <w:divsChild>
            <w:div w:id="743142440">
              <w:marLeft w:val="0"/>
              <w:marRight w:val="0"/>
              <w:marTop w:val="0"/>
              <w:marBottom w:val="0"/>
              <w:divBdr>
                <w:top w:val="none" w:sz="0" w:space="0" w:color="auto"/>
                <w:left w:val="none" w:sz="0" w:space="0" w:color="auto"/>
                <w:bottom w:val="none" w:sz="0" w:space="0" w:color="auto"/>
                <w:right w:val="none" w:sz="0" w:space="0" w:color="auto"/>
              </w:divBdr>
            </w:div>
            <w:div w:id="1168327494">
              <w:marLeft w:val="0"/>
              <w:marRight w:val="0"/>
              <w:marTop w:val="0"/>
              <w:marBottom w:val="0"/>
              <w:divBdr>
                <w:top w:val="none" w:sz="0" w:space="0" w:color="auto"/>
                <w:left w:val="none" w:sz="0" w:space="0" w:color="auto"/>
                <w:bottom w:val="none" w:sz="0" w:space="0" w:color="auto"/>
                <w:right w:val="none" w:sz="0" w:space="0" w:color="auto"/>
              </w:divBdr>
            </w:div>
            <w:div w:id="1972056871">
              <w:marLeft w:val="0"/>
              <w:marRight w:val="0"/>
              <w:marTop w:val="0"/>
              <w:marBottom w:val="0"/>
              <w:divBdr>
                <w:top w:val="none" w:sz="0" w:space="0" w:color="auto"/>
                <w:left w:val="none" w:sz="0" w:space="0" w:color="auto"/>
                <w:bottom w:val="none" w:sz="0" w:space="0" w:color="auto"/>
                <w:right w:val="none" w:sz="0" w:space="0" w:color="auto"/>
              </w:divBdr>
            </w:div>
            <w:div w:id="61609213">
              <w:marLeft w:val="0"/>
              <w:marRight w:val="0"/>
              <w:marTop w:val="0"/>
              <w:marBottom w:val="0"/>
              <w:divBdr>
                <w:top w:val="none" w:sz="0" w:space="0" w:color="auto"/>
                <w:left w:val="none" w:sz="0" w:space="0" w:color="auto"/>
                <w:bottom w:val="none" w:sz="0" w:space="0" w:color="auto"/>
                <w:right w:val="none" w:sz="0" w:space="0" w:color="auto"/>
              </w:divBdr>
            </w:div>
            <w:div w:id="853422900">
              <w:marLeft w:val="0"/>
              <w:marRight w:val="0"/>
              <w:marTop w:val="0"/>
              <w:marBottom w:val="0"/>
              <w:divBdr>
                <w:top w:val="none" w:sz="0" w:space="0" w:color="auto"/>
                <w:left w:val="none" w:sz="0" w:space="0" w:color="auto"/>
                <w:bottom w:val="none" w:sz="0" w:space="0" w:color="auto"/>
                <w:right w:val="none" w:sz="0" w:space="0" w:color="auto"/>
              </w:divBdr>
            </w:div>
            <w:div w:id="603029304">
              <w:marLeft w:val="0"/>
              <w:marRight w:val="0"/>
              <w:marTop w:val="0"/>
              <w:marBottom w:val="0"/>
              <w:divBdr>
                <w:top w:val="none" w:sz="0" w:space="0" w:color="auto"/>
                <w:left w:val="none" w:sz="0" w:space="0" w:color="auto"/>
                <w:bottom w:val="none" w:sz="0" w:space="0" w:color="auto"/>
                <w:right w:val="none" w:sz="0" w:space="0" w:color="auto"/>
              </w:divBdr>
            </w:div>
            <w:div w:id="1025865475">
              <w:marLeft w:val="0"/>
              <w:marRight w:val="0"/>
              <w:marTop w:val="0"/>
              <w:marBottom w:val="0"/>
              <w:divBdr>
                <w:top w:val="none" w:sz="0" w:space="0" w:color="auto"/>
                <w:left w:val="none" w:sz="0" w:space="0" w:color="auto"/>
                <w:bottom w:val="none" w:sz="0" w:space="0" w:color="auto"/>
                <w:right w:val="none" w:sz="0" w:space="0" w:color="auto"/>
              </w:divBdr>
            </w:div>
            <w:div w:id="887377740">
              <w:marLeft w:val="0"/>
              <w:marRight w:val="0"/>
              <w:marTop w:val="0"/>
              <w:marBottom w:val="0"/>
              <w:divBdr>
                <w:top w:val="none" w:sz="0" w:space="0" w:color="auto"/>
                <w:left w:val="none" w:sz="0" w:space="0" w:color="auto"/>
                <w:bottom w:val="none" w:sz="0" w:space="0" w:color="auto"/>
                <w:right w:val="none" w:sz="0" w:space="0" w:color="auto"/>
              </w:divBdr>
            </w:div>
            <w:div w:id="2081445150">
              <w:marLeft w:val="0"/>
              <w:marRight w:val="0"/>
              <w:marTop w:val="0"/>
              <w:marBottom w:val="0"/>
              <w:divBdr>
                <w:top w:val="none" w:sz="0" w:space="0" w:color="auto"/>
                <w:left w:val="none" w:sz="0" w:space="0" w:color="auto"/>
                <w:bottom w:val="none" w:sz="0" w:space="0" w:color="auto"/>
                <w:right w:val="none" w:sz="0" w:space="0" w:color="auto"/>
              </w:divBdr>
            </w:div>
            <w:div w:id="82117614">
              <w:marLeft w:val="0"/>
              <w:marRight w:val="0"/>
              <w:marTop w:val="0"/>
              <w:marBottom w:val="0"/>
              <w:divBdr>
                <w:top w:val="none" w:sz="0" w:space="0" w:color="auto"/>
                <w:left w:val="none" w:sz="0" w:space="0" w:color="auto"/>
                <w:bottom w:val="none" w:sz="0" w:space="0" w:color="auto"/>
                <w:right w:val="none" w:sz="0" w:space="0" w:color="auto"/>
              </w:divBdr>
            </w:div>
            <w:div w:id="1309554682">
              <w:marLeft w:val="0"/>
              <w:marRight w:val="0"/>
              <w:marTop w:val="0"/>
              <w:marBottom w:val="0"/>
              <w:divBdr>
                <w:top w:val="none" w:sz="0" w:space="0" w:color="auto"/>
                <w:left w:val="none" w:sz="0" w:space="0" w:color="auto"/>
                <w:bottom w:val="none" w:sz="0" w:space="0" w:color="auto"/>
                <w:right w:val="none" w:sz="0" w:space="0" w:color="auto"/>
              </w:divBdr>
            </w:div>
            <w:div w:id="440684162">
              <w:marLeft w:val="0"/>
              <w:marRight w:val="0"/>
              <w:marTop w:val="0"/>
              <w:marBottom w:val="0"/>
              <w:divBdr>
                <w:top w:val="none" w:sz="0" w:space="0" w:color="auto"/>
                <w:left w:val="none" w:sz="0" w:space="0" w:color="auto"/>
                <w:bottom w:val="none" w:sz="0" w:space="0" w:color="auto"/>
                <w:right w:val="none" w:sz="0" w:space="0" w:color="auto"/>
              </w:divBdr>
            </w:div>
          </w:divsChild>
        </w:div>
        <w:div w:id="332922966">
          <w:marLeft w:val="0"/>
          <w:marRight w:val="0"/>
          <w:marTop w:val="0"/>
          <w:marBottom w:val="0"/>
          <w:divBdr>
            <w:top w:val="none" w:sz="0" w:space="0" w:color="auto"/>
            <w:left w:val="none" w:sz="0" w:space="0" w:color="auto"/>
            <w:bottom w:val="none" w:sz="0" w:space="0" w:color="auto"/>
            <w:right w:val="none" w:sz="0" w:space="0" w:color="auto"/>
          </w:divBdr>
          <w:divsChild>
            <w:div w:id="634337502">
              <w:marLeft w:val="0"/>
              <w:marRight w:val="0"/>
              <w:marTop w:val="0"/>
              <w:marBottom w:val="0"/>
              <w:divBdr>
                <w:top w:val="none" w:sz="0" w:space="0" w:color="auto"/>
                <w:left w:val="none" w:sz="0" w:space="0" w:color="auto"/>
                <w:bottom w:val="none" w:sz="0" w:space="0" w:color="auto"/>
                <w:right w:val="none" w:sz="0" w:space="0" w:color="auto"/>
              </w:divBdr>
            </w:div>
            <w:div w:id="420685499">
              <w:marLeft w:val="0"/>
              <w:marRight w:val="0"/>
              <w:marTop w:val="0"/>
              <w:marBottom w:val="0"/>
              <w:divBdr>
                <w:top w:val="none" w:sz="0" w:space="0" w:color="auto"/>
                <w:left w:val="none" w:sz="0" w:space="0" w:color="auto"/>
                <w:bottom w:val="none" w:sz="0" w:space="0" w:color="auto"/>
                <w:right w:val="none" w:sz="0" w:space="0" w:color="auto"/>
              </w:divBdr>
            </w:div>
            <w:div w:id="1785882614">
              <w:marLeft w:val="0"/>
              <w:marRight w:val="0"/>
              <w:marTop w:val="0"/>
              <w:marBottom w:val="0"/>
              <w:divBdr>
                <w:top w:val="none" w:sz="0" w:space="0" w:color="auto"/>
                <w:left w:val="none" w:sz="0" w:space="0" w:color="auto"/>
                <w:bottom w:val="none" w:sz="0" w:space="0" w:color="auto"/>
                <w:right w:val="none" w:sz="0" w:space="0" w:color="auto"/>
              </w:divBdr>
            </w:div>
            <w:div w:id="1547329692">
              <w:marLeft w:val="0"/>
              <w:marRight w:val="0"/>
              <w:marTop w:val="0"/>
              <w:marBottom w:val="0"/>
              <w:divBdr>
                <w:top w:val="none" w:sz="0" w:space="0" w:color="auto"/>
                <w:left w:val="none" w:sz="0" w:space="0" w:color="auto"/>
                <w:bottom w:val="none" w:sz="0" w:space="0" w:color="auto"/>
                <w:right w:val="none" w:sz="0" w:space="0" w:color="auto"/>
              </w:divBdr>
            </w:div>
            <w:div w:id="160229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327640">
      <w:bodyDiv w:val="1"/>
      <w:marLeft w:val="0"/>
      <w:marRight w:val="0"/>
      <w:marTop w:val="0"/>
      <w:marBottom w:val="0"/>
      <w:divBdr>
        <w:top w:val="none" w:sz="0" w:space="0" w:color="auto"/>
        <w:left w:val="none" w:sz="0" w:space="0" w:color="auto"/>
        <w:bottom w:val="none" w:sz="0" w:space="0" w:color="auto"/>
        <w:right w:val="none" w:sz="0" w:space="0" w:color="auto"/>
      </w:divBdr>
      <w:divsChild>
        <w:div w:id="220363643">
          <w:marLeft w:val="0"/>
          <w:marRight w:val="0"/>
          <w:marTop w:val="0"/>
          <w:marBottom w:val="0"/>
          <w:divBdr>
            <w:top w:val="none" w:sz="0" w:space="0" w:color="auto"/>
            <w:left w:val="none" w:sz="0" w:space="0" w:color="auto"/>
            <w:bottom w:val="none" w:sz="0" w:space="0" w:color="auto"/>
            <w:right w:val="none" w:sz="0" w:space="0" w:color="auto"/>
          </w:divBdr>
          <w:divsChild>
            <w:div w:id="1625310376">
              <w:marLeft w:val="0"/>
              <w:marRight w:val="0"/>
              <w:marTop w:val="0"/>
              <w:marBottom w:val="0"/>
              <w:divBdr>
                <w:top w:val="none" w:sz="0" w:space="0" w:color="auto"/>
                <w:left w:val="none" w:sz="0" w:space="0" w:color="auto"/>
                <w:bottom w:val="none" w:sz="0" w:space="0" w:color="auto"/>
                <w:right w:val="none" w:sz="0" w:space="0" w:color="auto"/>
              </w:divBdr>
            </w:div>
          </w:divsChild>
        </w:div>
        <w:div w:id="1415973686">
          <w:marLeft w:val="0"/>
          <w:marRight w:val="0"/>
          <w:marTop w:val="0"/>
          <w:marBottom w:val="0"/>
          <w:divBdr>
            <w:top w:val="none" w:sz="0" w:space="0" w:color="auto"/>
            <w:left w:val="none" w:sz="0" w:space="0" w:color="auto"/>
            <w:bottom w:val="none" w:sz="0" w:space="0" w:color="auto"/>
            <w:right w:val="none" w:sz="0" w:space="0" w:color="auto"/>
          </w:divBdr>
        </w:div>
      </w:divsChild>
    </w:div>
    <w:div w:id="1535578953">
      <w:bodyDiv w:val="1"/>
      <w:marLeft w:val="0"/>
      <w:marRight w:val="0"/>
      <w:marTop w:val="0"/>
      <w:marBottom w:val="0"/>
      <w:divBdr>
        <w:top w:val="none" w:sz="0" w:space="0" w:color="auto"/>
        <w:left w:val="none" w:sz="0" w:space="0" w:color="auto"/>
        <w:bottom w:val="none" w:sz="0" w:space="0" w:color="auto"/>
        <w:right w:val="none" w:sz="0" w:space="0" w:color="auto"/>
      </w:divBdr>
    </w:div>
    <w:div w:id="1546216905">
      <w:bodyDiv w:val="1"/>
      <w:marLeft w:val="0"/>
      <w:marRight w:val="0"/>
      <w:marTop w:val="0"/>
      <w:marBottom w:val="0"/>
      <w:divBdr>
        <w:top w:val="none" w:sz="0" w:space="0" w:color="auto"/>
        <w:left w:val="none" w:sz="0" w:space="0" w:color="auto"/>
        <w:bottom w:val="none" w:sz="0" w:space="0" w:color="auto"/>
        <w:right w:val="none" w:sz="0" w:space="0" w:color="auto"/>
      </w:divBdr>
    </w:div>
    <w:div w:id="1561746489">
      <w:bodyDiv w:val="1"/>
      <w:marLeft w:val="0"/>
      <w:marRight w:val="0"/>
      <w:marTop w:val="0"/>
      <w:marBottom w:val="0"/>
      <w:divBdr>
        <w:top w:val="none" w:sz="0" w:space="0" w:color="auto"/>
        <w:left w:val="none" w:sz="0" w:space="0" w:color="auto"/>
        <w:bottom w:val="none" w:sz="0" w:space="0" w:color="auto"/>
        <w:right w:val="none" w:sz="0" w:space="0" w:color="auto"/>
      </w:divBdr>
    </w:div>
    <w:div w:id="1599481339">
      <w:bodyDiv w:val="1"/>
      <w:marLeft w:val="0"/>
      <w:marRight w:val="0"/>
      <w:marTop w:val="0"/>
      <w:marBottom w:val="0"/>
      <w:divBdr>
        <w:top w:val="none" w:sz="0" w:space="0" w:color="auto"/>
        <w:left w:val="none" w:sz="0" w:space="0" w:color="auto"/>
        <w:bottom w:val="none" w:sz="0" w:space="0" w:color="auto"/>
        <w:right w:val="none" w:sz="0" w:space="0" w:color="auto"/>
      </w:divBdr>
    </w:div>
    <w:div w:id="1616714467">
      <w:bodyDiv w:val="1"/>
      <w:marLeft w:val="0"/>
      <w:marRight w:val="0"/>
      <w:marTop w:val="0"/>
      <w:marBottom w:val="0"/>
      <w:divBdr>
        <w:top w:val="none" w:sz="0" w:space="0" w:color="auto"/>
        <w:left w:val="none" w:sz="0" w:space="0" w:color="auto"/>
        <w:bottom w:val="none" w:sz="0" w:space="0" w:color="auto"/>
        <w:right w:val="none" w:sz="0" w:space="0" w:color="auto"/>
      </w:divBdr>
    </w:div>
    <w:div w:id="1646154874">
      <w:bodyDiv w:val="1"/>
      <w:marLeft w:val="0"/>
      <w:marRight w:val="0"/>
      <w:marTop w:val="0"/>
      <w:marBottom w:val="0"/>
      <w:divBdr>
        <w:top w:val="none" w:sz="0" w:space="0" w:color="auto"/>
        <w:left w:val="none" w:sz="0" w:space="0" w:color="auto"/>
        <w:bottom w:val="none" w:sz="0" w:space="0" w:color="auto"/>
        <w:right w:val="none" w:sz="0" w:space="0" w:color="auto"/>
      </w:divBdr>
      <w:divsChild>
        <w:div w:id="817113840">
          <w:marLeft w:val="0"/>
          <w:marRight w:val="0"/>
          <w:marTop w:val="0"/>
          <w:marBottom w:val="0"/>
          <w:divBdr>
            <w:top w:val="none" w:sz="0" w:space="0" w:color="auto"/>
            <w:left w:val="none" w:sz="0" w:space="0" w:color="auto"/>
            <w:bottom w:val="none" w:sz="0" w:space="0" w:color="auto"/>
            <w:right w:val="none" w:sz="0" w:space="0" w:color="auto"/>
          </w:divBdr>
        </w:div>
        <w:div w:id="1378622118">
          <w:marLeft w:val="0"/>
          <w:marRight w:val="0"/>
          <w:marTop w:val="0"/>
          <w:marBottom w:val="0"/>
          <w:divBdr>
            <w:top w:val="none" w:sz="0" w:space="0" w:color="auto"/>
            <w:left w:val="none" w:sz="0" w:space="0" w:color="auto"/>
            <w:bottom w:val="none" w:sz="0" w:space="0" w:color="auto"/>
            <w:right w:val="none" w:sz="0" w:space="0" w:color="auto"/>
          </w:divBdr>
        </w:div>
      </w:divsChild>
    </w:div>
    <w:div w:id="1647011455">
      <w:bodyDiv w:val="1"/>
      <w:marLeft w:val="0"/>
      <w:marRight w:val="0"/>
      <w:marTop w:val="0"/>
      <w:marBottom w:val="0"/>
      <w:divBdr>
        <w:top w:val="none" w:sz="0" w:space="0" w:color="auto"/>
        <w:left w:val="none" w:sz="0" w:space="0" w:color="auto"/>
        <w:bottom w:val="none" w:sz="0" w:space="0" w:color="auto"/>
        <w:right w:val="none" w:sz="0" w:space="0" w:color="auto"/>
      </w:divBdr>
      <w:divsChild>
        <w:div w:id="141584189">
          <w:marLeft w:val="0"/>
          <w:marRight w:val="0"/>
          <w:marTop w:val="0"/>
          <w:marBottom w:val="0"/>
          <w:divBdr>
            <w:top w:val="none" w:sz="0" w:space="0" w:color="auto"/>
            <w:left w:val="none" w:sz="0" w:space="0" w:color="auto"/>
            <w:bottom w:val="none" w:sz="0" w:space="0" w:color="auto"/>
            <w:right w:val="none" w:sz="0" w:space="0" w:color="auto"/>
          </w:divBdr>
        </w:div>
        <w:div w:id="473134206">
          <w:marLeft w:val="0"/>
          <w:marRight w:val="0"/>
          <w:marTop w:val="0"/>
          <w:marBottom w:val="0"/>
          <w:divBdr>
            <w:top w:val="none" w:sz="0" w:space="0" w:color="auto"/>
            <w:left w:val="none" w:sz="0" w:space="0" w:color="auto"/>
            <w:bottom w:val="none" w:sz="0" w:space="0" w:color="auto"/>
            <w:right w:val="none" w:sz="0" w:space="0" w:color="auto"/>
          </w:divBdr>
        </w:div>
        <w:div w:id="826365609">
          <w:marLeft w:val="0"/>
          <w:marRight w:val="0"/>
          <w:marTop w:val="0"/>
          <w:marBottom w:val="0"/>
          <w:divBdr>
            <w:top w:val="none" w:sz="0" w:space="0" w:color="auto"/>
            <w:left w:val="none" w:sz="0" w:space="0" w:color="auto"/>
            <w:bottom w:val="none" w:sz="0" w:space="0" w:color="auto"/>
            <w:right w:val="none" w:sz="0" w:space="0" w:color="auto"/>
          </w:divBdr>
        </w:div>
        <w:div w:id="1315835511">
          <w:marLeft w:val="0"/>
          <w:marRight w:val="0"/>
          <w:marTop w:val="0"/>
          <w:marBottom w:val="0"/>
          <w:divBdr>
            <w:top w:val="none" w:sz="0" w:space="0" w:color="auto"/>
            <w:left w:val="none" w:sz="0" w:space="0" w:color="auto"/>
            <w:bottom w:val="none" w:sz="0" w:space="0" w:color="auto"/>
            <w:right w:val="none" w:sz="0" w:space="0" w:color="auto"/>
          </w:divBdr>
        </w:div>
        <w:div w:id="1695882211">
          <w:marLeft w:val="0"/>
          <w:marRight w:val="0"/>
          <w:marTop w:val="0"/>
          <w:marBottom w:val="0"/>
          <w:divBdr>
            <w:top w:val="none" w:sz="0" w:space="0" w:color="auto"/>
            <w:left w:val="none" w:sz="0" w:space="0" w:color="auto"/>
            <w:bottom w:val="none" w:sz="0" w:space="0" w:color="auto"/>
            <w:right w:val="none" w:sz="0" w:space="0" w:color="auto"/>
          </w:divBdr>
        </w:div>
        <w:div w:id="1975671730">
          <w:marLeft w:val="0"/>
          <w:marRight w:val="0"/>
          <w:marTop w:val="0"/>
          <w:marBottom w:val="0"/>
          <w:divBdr>
            <w:top w:val="none" w:sz="0" w:space="0" w:color="auto"/>
            <w:left w:val="none" w:sz="0" w:space="0" w:color="auto"/>
            <w:bottom w:val="none" w:sz="0" w:space="0" w:color="auto"/>
            <w:right w:val="none" w:sz="0" w:space="0" w:color="auto"/>
          </w:divBdr>
        </w:div>
      </w:divsChild>
    </w:div>
    <w:div w:id="1647663103">
      <w:bodyDiv w:val="1"/>
      <w:marLeft w:val="0"/>
      <w:marRight w:val="0"/>
      <w:marTop w:val="0"/>
      <w:marBottom w:val="0"/>
      <w:divBdr>
        <w:top w:val="none" w:sz="0" w:space="0" w:color="auto"/>
        <w:left w:val="none" w:sz="0" w:space="0" w:color="auto"/>
        <w:bottom w:val="none" w:sz="0" w:space="0" w:color="auto"/>
        <w:right w:val="none" w:sz="0" w:space="0" w:color="auto"/>
      </w:divBdr>
      <w:divsChild>
        <w:div w:id="41952103">
          <w:marLeft w:val="0"/>
          <w:marRight w:val="0"/>
          <w:marTop w:val="0"/>
          <w:marBottom w:val="0"/>
          <w:divBdr>
            <w:top w:val="none" w:sz="0" w:space="0" w:color="auto"/>
            <w:left w:val="none" w:sz="0" w:space="0" w:color="auto"/>
            <w:bottom w:val="none" w:sz="0" w:space="0" w:color="auto"/>
            <w:right w:val="none" w:sz="0" w:space="0" w:color="auto"/>
          </w:divBdr>
          <w:divsChild>
            <w:div w:id="1363895379">
              <w:marLeft w:val="0"/>
              <w:marRight w:val="0"/>
              <w:marTop w:val="0"/>
              <w:marBottom w:val="0"/>
              <w:divBdr>
                <w:top w:val="none" w:sz="0" w:space="0" w:color="auto"/>
                <w:left w:val="none" w:sz="0" w:space="0" w:color="auto"/>
                <w:bottom w:val="none" w:sz="0" w:space="0" w:color="auto"/>
                <w:right w:val="none" w:sz="0" w:space="0" w:color="auto"/>
              </w:divBdr>
            </w:div>
            <w:div w:id="1383599701">
              <w:marLeft w:val="0"/>
              <w:marRight w:val="0"/>
              <w:marTop w:val="0"/>
              <w:marBottom w:val="0"/>
              <w:divBdr>
                <w:top w:val="none" w:sz="0" w:space="0" w:color="auto"/>
                <w:left w:val="none" w:sz="0" w:space="0" w:color="auto"/>
                <w:bottom w:val="none" w:sz="0" w:space="0" w:color="auto"/>
                <w:right w:val="none" w:sz="0" w:space="0" w:color="auto"/>
              </w:divBdr>
            </w:div>
            <w:div w:id="1507359375">
              <w:marLeft w:val="0"/>
              <w:marRight w:val="0"/>
              <w:marTop w:val="0"/>
              <w:marBottom w:val="0"/>
              <w:divBdr>
                <w:top w:val="none" w:sz="0" w:space="0" w:color="auto"/>
                <w:left w:val="none" w:sz="0" w:space="0" w:color="auto"/>
                <w:bottom w:val="none" w:sz="0" w:space="0" w:color="auto"/>
                <w:right w:val="none" w:sz="0" w:space="0" w:color="auto"/>
              </w:divBdr>
            </w:div>
            <w:div w:id="1633319991">
              <w:marLeft w:val="0"/>
              <w:marRight w:val="0"/>
              <w:marTop w:val="0"/>
              <w:marBottom w:val="0"/>
              <w:divBdr>
                <w:top w:val="none" w:sz="0" w:space="0" w:color="auto"/>
                <w:left w:val="none" w:sz="0" w:space="0" w:color="auto"/>
                <w:bottom w:val="none" w:sz="0" w:space="0" w:color="auto"/>
                <w:right w:val="none" w:sz="0" w:space="0" w:color="auto"/>
              </w:divBdr>
            </w:div>
            <w:div w:id="1695420696">
              <w:marLeft w:val="0"/>
              <w:marRight w:val="0"/>
              <w:marTop w:val="0"/>
              <w:marBottom w:val="0"/>
              <w:divBdr>
                <w:top w:val="none" w:sz="0" w:space="0" w:color="auto"/>
                <w:left w:val="none" w:sz="0" w:space="0" w:color="auto"/>
                <w:bottom w:val="none" w:sz="0" w:space="0" w:color="auto"/>
                <w:right w:val="none" w:sz="0" w:space="0" w:color="auto"/>
              </w:divBdr>
            </w:div>
          </w:divsChild>
        </w:div>
        <w:div w:id="553738906">
          <w:marLeft w:val="0"/>
          <w:marRight w:val="0"/>
          <w:marTop w:val="0"/>
          <w:marBottom w:val="0"/>
          <w:divBdr>
            <w:top w:val="none" w:sz="0" w:space="0" w:color="auto"/>
            <w:left w:val="none" w:sz="0" w:space="0" w:color="auto"/>
            <w:bottom w:val="none" w:sz="0" w:space="0" w:color="auto"/>
            <w:right w:val="none" w:sz="0" w:space="0" w:color="auto"/>
          </w:divBdr>
        </w:div>
        <w:div w:id="859661334">
          <w:marLeft w:val="0"/>
          <w:marRight w:val="0"/>
          <w:marTop w:val="0"/>
          <w:marBottom w:val="0"/>
          <w:divBdr>
            <w:top w:val="none" w:sz="0" w:space="0" w:color="auto"/>
            <w:left w:val="none" w:sz="0" w:space="0" w:color="auto"/>
            <w:bottom w:val="none" w:sz="0" w:space="0" w:color="auto"/>
            <w:right w:val="none" w:sz="0" w:space="0" w:color="auto"/>
          </w:divBdr>
        </w:div>
        <w:div w:id="1189872931">
          <w:marLeft w:val="0"/>
          <w:marRight w:val="0"/>
          <w:marTop w:val="0"/>
          <w:marBottom w:val="0"/>
          <w:divBdr>
            <w:top w:val="none" w:sz="0" w:space="0" w:color="auto"/>
            <w:left w:val="none" w:sz="0" w:space="0" w:color="auto"/>
            <w:bottom w:val="none" w:sz="0" w:space="0" w:color="auto"/>
            <w:right w:val="none" w:sz="0" w:space="0" w:color="auto"/>
          </w:divBdr>
        </w:div>
        <w:div w:id="1442069884">
          <w:marLeft w:val="0"/>
          <w:marRight w:val="0"/>
          <w:marTop w:val="0"/>
          <w:marBottom w:val="0"/>
          <w:divBdr>
            <w:top w:val="none" w:sz="0" w:space="0" w:color="auto"/>
            <w:left w:val="none" w:sz="0" w:space="0" w:color="auto"/>
            <w:bottom w:val="none" w:sz="0" w:space="0" w:color="auto"/>
            <w:right w:val="none" w:sz="0" w:space="0" w:color="auto"/>
          </w:divBdr>
          <w:divsChild>
            <w:div w:id="10030786">
              <w:marLeft w:val="0"/>
              <w:marRight w:val="0"/>
              <w:marTop w:val="0"/>
              <w:marBottom w:val="0"/>
              <w:divBdr>
                <w:top w:val="none" w:sz="0" w:space="0" w:color="auto"/>
                <w:left w:val="none" w:sz="0" w:space="0" w:color="auto"/>
                <w:bottom w:val="none" w:sz="0" w:space="0" w:color="auto"/>
                <w:right w:val="none" w:sz="0" w:space="0" w:color="auto"/>
              </w:divBdr>
            </w:div>
            <w:div w:id="954870109">
              <w:marLeft w:val="0"/>
              <w:marRight w:val="0"/>
              <w:marTop w:val="0"/>
              <w:marBottom w:val="0"/>
              <w:divBdr>
                <w:top w:val="none" w:sz="0" w:space="0" w:color="auto"/>
                <w:left w:val="none" w:sz="0" w:space="0" w:color="auto"/>
                <w:bottom w:val="none" w:sz="0" w:space="0" w:color="auto"/>
                <w:right w:val="none" w:sz="0" w:space="0" w:color="auto"/>
              </w:divBdr>
            </w:div>
            <w:div w:id="1139373080">
              <w:marLeft w:val="0"/>
              <w:marRight w:val="0"/>
              <w:marTop w:val="0"/>
              <w:marBottom w:val="0"/>
              <w:divBdr>
                <w:top w:val="none" w:sz="0" w:space="0" w:color="auto"/>
                <w:left w:val="none" w:sz="0" w:space="0" w:color="auto"/>
                <w:bottom w:val="none" w:sz="0" w:space="0" w:color="auto"/>
                <w:right w:val="none" w:sz="0" w:space="0" w:color="auto"/>
              </w:divBdr>
            </w:div>
            <w:div w:id="144515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215800">
      <w:bodyDiv w:val="1"/>
      <w:marLeft w:val="0"/>
      <w:marRight w:val="0"/>
      <w:marTop w:val="0"/>
      <w:marBottom w:val="0"/>
      <w:divBdr>
        <w:top w:val="none" w:sz="0" w:space="0" w:color="auto"/>
        <w:left w:val="none" w:sz="0" w:space="0" w:color="auto"/>
        <w:bottom w:val="none" w:sz="0" w:space="0" w:color="auto"/>
        <w:right w:val="none" w:sz="0" w:space="0" w:color="auto"/>
      </w:divBdr>
      <w:divsChild>
        <w:div w:id="1452674888">
          <w:marLeft w:val="0"/>
          <w:marRight w:val="0"/>
          <w:marTop w:val="0"/>
          <w:marBottom w:val="0"/>
          <w:divBdr>
            <w:top w:val="none" w:sz="0" w:space="0" w:color="auto"/>
            <w:left w:val="none" w:sz="0" w:space="0" w:color="auto"/>
            <w:bottom w:val="none" w:sz="0" w:space="0" w:color="auto"/>
            <w:right w:val="none" w:sz="0" w:space="0" w:color="auto"/>
          </w:divBdr>
        </w:div>
        <w:div w:id="1490828622">
          <w:marLeft w:val="0"/>
          <w:marRight w:val="0"/>
          <w:marTop w:val="0"/>
          <w:marBottom w:val="0"/>
          <w:divBdr>
            <w:top w:val="none" w:sz="0" w:space="0" w:color="auto"/>
            <w:left w:val="none" w:sz="0" w:space="0" w:color="auto"/>
            <w:bottom w:val="none" w:sz="0" w:space="0" w:color="auto"/>
            <w:right w:val="none" w:sz="0" w:space="0" w:color="auto"/>
          </w:divBdr>
        </w:div>
        <w:div w:id="1699812490">
          <w:marLeft w:val="0"/>
          <w:marRight w:val="0"/>
          <w:marTop w:val="0"/>
          <w:marBottom w:val="0"/>
          <w:divBdr>
            <w:top w:val="none" w:sz="0" w:space="0" w:color="auto"/>
            <w:left w:val="none" w:sz="0" w:space="0" w:color="auto"/>
            <w:bottom w:val="none" w:sz="0" w:space="0" w:color="auto"/>
            <w:right w:val="none" w:sz="0" w:space="0" w:color="auto"/>
          </w:divBdr>
        </w:div>
        <w:div w:id="276068167">
          <w:marLeft w:val="0"/>
          <w:marRight w:val="0"/>
          <w:marTop w:val="0"/>
          <w:marBottom w:val="0"/>
          <w:divBdr>
            <w:top w:val="none" w:sz="0" w:space="0" w:color="auto"/>
            <w:left w:val="none" w:sz="0" w:space="0" w:color="auto"/>
            <w:bottom w:val="none" w:sz="0" w:space="0" w:color="auto"/>
            <w:right w:val="none" w:sz="0" w:space="0" w:color="auto"/>
          </w:divBdr>
        </w:div>
        <w:div w:id="2083598114">
          <w:marLeft w:val="0"/>
          <w:marRight w:val="0"/>
          <w:marTop w:val="0"/>
          <w:marBottom w:val="0"/>
          <w:divBdr>
            <w:top w:val="none" w:sz="0" w:space="0" w:color="auto"/>
            <w:left w:val="none" w:sz="0" w:space="0" w:color="auto"/>
            <w:bottom w:val="none" w:sz="0" w:space="0" w:color="auto"/>
            <w:right w:val="none" w:sz="0" w:space="0" w:color="auto"/>
          </w:divBdr>
        </w:div>
        <w:div w:id="75060853">
          <w:marLeft w:val="0"/>
          <w:marRight w:val="0"/>
          <w:marTop w:val="0"/>
          <w:marBottom w:val="0"/>
          <w:divBdr>
            <w:top w:val="none" w:sz="0" w:space="0" w:color="auto"/>
            <w:left w:val="none" w:sz="0" w:space="0" w:color="auto"/>
            <w:bottom w:val="none" w:sz="0" w:space="0" w:color="auto"/>
            <w:right w:val="none" w:sz="0" w:space="0" w:color="auto"/>
          </w:divBdr>
          <w:divsChild>
            <w:div w:id="709188058">
              <w:marLeft w:val="0"/>
              <w:marRight w:val="0"/>
              <w:marTop w:val="0"/>
              <w:marBottom w:val="0"/>
              <w:divBdr>
                <w:top w:val="none" w:sz="0" w:space="0" w:color="auto"/>
                <w:left w:val="none" w:sz="0" w:space="0" w:color="auto"/>
                <w:bottom w:val="none" w:sz="0" w:space="0" w:color="auto"/>
                <w:right w:val="none" w:sz="0" w:space="0" w:color="auto"/>
              </w:divBdr>
            </w:div>
            <w:div w:id="762146097">
              <w:marLeft w:val="0"/>
              <w:marRight w:val="0"/>
              <w:marTop w:val="0"/>
              <w:marBottom w:val="0"/>
              <w:divBdr>
                <w:top w:val="none" w:sz="0" w:space="0" w:color="auto"/>
                <w:left w:val="none" w:sz="0" w:space="0" w:color="auto"/>
                <w:bottom w:val="none" w:sz="0" w:space="0" w:color="auto"/>
                <w:right w:val="none" w:sz="0" w:space="0" w:color="auto"/>
              </w:divBdr>
            </w:div>
            <w:div w:id="1688218228">
              <w:marLeft w:val="0"/>
              <w:marRight w:val="0"/>
              <w:marTop w:val="0"/>
              <w:marBottom w:val="0"/>
              <w:divBdr>
                <w:top w:val="none" w:sz="0" w:space="0" w:color="auto"/>
                <w:left w:val="none" w:sz="0" w:space="0" w:color="auto"/>
                <w:bottom w:val="none" w:sz="0" w:space="0" w:color="auto"/>
                <w:right w:val="none" w:sz="0" w:space="0" w:color="auto"/>
              </w:divBdr>
            </w:div>
            <w:div w:id="961493680">
              <w:marLeft w:val="0"/>
              <w:marRight w:val="0"/>
              <w:marTop w:val="0"/>
              <w:marBottom w:val="0"/>
              <w:divBdr>
                <w:top w:val="none" w:sz="0" w:space="0" w:color="auto"/>
                <w:left w:val="none" w:sz="0" w:space="0" w:color="auto"/>
                <w:bottom w:val="none" w:sz="0" w:space="0" w:color="auto"/>
                <w:right w:val="none" w:sz="0" w:space="0" w:color="auto"/>
              </w:divBdr>
            </w:div>
            <w:div w:id="500897570">
              <w:marLeft w:val="0"/>
              <w:marRight w:val="0"/>
              <w:marTop w:val="0"/>
              <w:marBottom w:val="0"/>
              <w:divBdr>
                <w:top w:val="none" w:sz="0" w:space="0" w:color="auto"/>
                <w:left w:val="none" w:sz="0" w:space="0" w:color="auto"/>
                <w:bottom w:val="none" w:sz="0" w:space="0" w:color="auto"/>
                <w:right w:val="none" w:sz="0" w:space="0" w:color="auto"/>
              </w:divBdr>
            </w:div>
            <w:div w:id="583731987">
              <w:marLeft w:val="0"/>
              <w:marRight w:val="0"/>
              <w:marTop w:val="0"/>
              <w:marBottom w:val="0"/>
              <w:divBdr>
                <w:top w:val="none" w:sz="0" w:space="0" w:color="auto"/>
                <w:left w:val="none" w:sz="0" w:space="0" w:color="auto"/>
                <w:bottom w:val="none" w:sz="0" w:space="0" w:color="auto"/>
                <w:right w:val="none" w:sz="0" w:space="0" w:color="auto"/>
              </w:divBdr>
            </w:div>
            <w:div w:id="177501148">
              <w:marLeft w:val="0"/>
              <w:marRight w:val="0"/>
              <w:marTop w:val="0"/>
              <w:marBottom w:val="0"/>
              <w:divBdr>
                <w:top w:val="none" w:sz="0" w:space="0" w:color="auto"/>
                <w:left w:val="none" w:sz="0" w:space="0" w:color="auto"/>
                <w:bottom w:val="none" w:sz="0" w:space="0" w:color="auto"/>
                <w:right w:val="none" w:sz="0" w:space="0" w:color="auto"/>
              </w:divBdr>
            </w:div>
            <w:div w:id="900403156">
              <w:marLeft w:val="0"/>
              <w:marRight w:val="0"/>
              <w:marTop w:val="0"/>
              <w:marBottom w:val="0"/>
              <w:divBdr>
                <w:top w:val="none" w:sz="0" w:space="0" w:color="auto"/>
                <w:left w:val="none" w:sz="0" w:space="0" w:color="auto"/>
                <w:bottom w:val="none" w:sz="0" w:space="0" w:color="auto"/>
                <w:right w:val="none" w:sz="0" w:space="0" w:color="auto"/>
              </w:divBdr>
            </w:div>
            <w:div w:id="1299531374">
              <w:marLeft w:val="0"/>
              <w:marRight w:val="0"/>
              <w:marTop w:val="0"/>
              <w:marBottom w:val="0"/>
              <w:divBdr>
                <w:top w:val="none" w:sz="0" w:space="0" w:color="auto"/>
                <w:left w:val="none" w:sz="0" w:space="0" w:color="auto"/>
                <w:bottom w:val="none" w:sz="0" w:space="0" w:color="auto"/>
                <w:right w:val="none" w:sz="0" w:space="0" w:color="auto"/>
              </w:divBdr>
            </w:div>
            <w:div w:id="187262692">
              <w:marLeft w:val="0"/>
              <w:marRight w:val="0"/>
              <w:marTop w:val="0"/>
              <w:marBottom w:val="0"/>
              <w:divBdr>
                <w:top w:val="none" w:sz="0" w:space="0" w:color="auto"/>
                <w:left w:val="none" w:sz="0" w:space="0" w:color="auto"/>
                <w:bottom w:val="none" w:sz="0" w:space="0" w:color="auto"/>
                <w:right w:val="none" w:sz="0" w:space="0" w:color="auto"/>
              </w:divBdr>
            </w:div>
            <w:div w:id="1792673931">
              <w:marLeft w:val="0"/>
              <w:marRight w:val="0"/>
              <w:marTop w:val="0"/>
              <w:marBottom w:val="0"/>
              <w:divBdr>
                <w:top w:val="none" w:sz="0" w:space="0" w:color="auto"/>
                <w:left w:val="none" w:sz="0" w:space="0" w:color="auto"/>
                <w:bottom w:val="none" w:sz="0" w:space="0" w:color="auto"/>
                <w:right w:val="none" w:sz="0" w:space="0" w:color="auto"/>
              </w:divBdr>
            </w:div>
            <w:div w:id="1077283786">
              <w:marLeft w:val="0"/>
              <w:marRight w:val="0"/>
              <w:marTop w:val="0"/>
              <w:marBottom w:val="0"/>
              <w:divBdr>
                <w:top w:val="none" w:sz="0" w:space="0" w:color="auto"/>
                <w:left w:val="none" w:sz="0" w:space="0" w:color="auto"/>
                <w:bottom w:val="none" w:sz="0" w:space="0" w:color="auto"/>
                <w:right w:val="none" w:sz="0" w:space="0" w:color="auto"/>
              </w:divBdr>
            </w:div>
            <w:div w:id="1329942246">
              <w:marLeft w:val="0"/>
              <w:marRight w:val="0"/>
              <w:marTop w:val="0"/>
              <w:marBottom w:val="0"/>
              <w:divBdr>
                <w:top w:val="none" w:sz="0" w:space="0" w:color="auto"/>
                <w:left w:val="none" w:sz="0" w:space="0" w:color="auto"/>
                <w:bottom w:val="none" w:sz="0" w:space="0" w:color="auto"/>
                <w:right w:val="none" w:sz="0" w:space="0" w:color="auto"/>
              </w:divBdr>
            </w:div>
            <w:div w:id="1530800153">
              <w:marLeft w:val="0"/>
              <w:marRight w:val="0"/>
              <w:marTop w:val="0"/>
              <w:marBottom w:val="0"/>
              <w:divBdr>
                <w:top w:val="none" w:sz="0" w:space="0" w:color="auto"/>
                <w:left w:val="none" w:sz="0" w:space="0" w:color="auto"/>
                <w:bottom w:val="none" w:sz="0" w:space="0" w:color="auto"/>
                <w:right w:val="none" w:sz="0" w:space="0" w:color="auto"/>
              </w:divBdr>
            </w:div>
            <w:div w:id="127620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649846">
      <w:bodyDiv w:val="1"/>
      <w:marLeft w:val="0"/>
      <w:marRight w:val="0"/>
      <w:marTop w:val="0"/>
      <w:marBottom w:val="0"/>
      <w:divBdr>
        <w:top w:val="none" w:sz="0" w:space="0" w:color="auto"/>
        <w:left w:val="none" w:sz="0" w:space="0" w:color="auto"/>
        <w:bottom w:val="none" w:sz="0" w:space="0" w:color="auto"/>
        <w:right w:val="none" w:sz="0" w:space="0" w:color="auto"/>
      </w:divBdr>
      <w:divsChild>
        <w:div w:id="83458575">
          <w:marLeft w:val="0"/>
          <w:marRight w:val="0"/>
          <w:marTop w:val="0"/>
          <w:marBottom w:val="0"/>
          <w:divBdr>
            <w:top w:val="none" w:sz="0" w:space="0" w:color="auto"/>
            <w:left w:val="none" w:sz="0" w:space="0" w:color="auto"/>
            <w:bottom w:val="none" w:sz="0" w:space="0" w:color="auto"/>
            <w:right w:val="none" w:sz="0" w:space="0" w:color="auto"/>
          </w:divBdr>
        </w:div>
        <w:div w:id="124591915">
          <w:marLeft w:val="0"/>
          <w:marRight w:val="0"/>
          <w:marTop w:val="0"/>
          <w:marBottom w:val="0"/>
          <w:divBdr>
            <w:top w:val="none" w:sz="0" w:space="0" w:color="auto"/>
            <w:left w:val="none" w:sz="0" w:space="0" w:color="auto"/>
            <w:bottom w:val="none" w:sz="0" w:space="0" w:color="auto"/>
            <w:right w:val="none" w:sz="0" w:space="0" w:color="auto"/>
          </w:divBdr>
        </w:div>
        <w:div w:id="154996009">
          <w:marLeft w:val="0"/>
          <w:marRight w:val="0"/>
          <w:marTop w:val="0"/>
          <w:marBottom w:val="0"/>
          <w:divBdr>
            <w:top w:val="none" w:sz="0" w:space="0" w:color="auto"/>
            <w:left w:val="none" w:sz="0" w:space="0" w:color="auto"/>
            <w:bottom w:val="none" w:sz="0" w:space="0" w:color="auto"/>
            <w:right w:val="none" w:sz="0" w:space="0" w:color="auto"/>
          </w:divBdr>
        </w:div>
        <w:div w:id="295373427">
          <w:marLeft w:val="0"/>
          <w:marRight w:val="0"/>
          <w:marTop w:val="0"/>
          <w:marBottom w:val="0"/>
          <w:divBdr>
            <w:top w:val="none" w:sz="0" w:space="0" w:color="auto"/>
            <w:left w:val="none" w:sz="0" w:space="0" w:color="auto"/>
            <w:bottom w:val="none" w:sz="0" w:space="0" w:color="auto"/>
            <w:right w:val="none" w:sz="0" w:space="0" w:color="auto"/>
          </w:divBdr>
        </w:div>
        <w:div w:id="353113099">
          <w:marLeft w:val="0"/>
          <w:marRight w:val="0"/>
          <w:marTop w:val="0"/>
          <w:marBottom w:val="0"/>
          <w:divBdr>
            <w:top w:val="none" w:sz="0" w:space="0" w:color="auto"/>
            <w:left w:val="none" w:sz="0" w:space="0" w:color="auto"/>
            <w:bottom w:val="none" w:sz="0" w:space="0" w:color="auto"/>
            <w:right w:val="none" w:sz="0" w:space="0" w:color="auto"/>
          </w:divBdr>
        </w:div>
        <w:div w:id="438069330">
          <w:marLeft w:val="0"/>
          <w:marRight w:val="0"/>
          <w:marTop w:val="0"/>
          <w:marBottom w:val="0"/>
          <w:divBdr>
            <w:top w:val="none" w:sz="0" w:space="0" w:color="auto"/>
            <w:left w:val="none" w:sz="0" w:space="0" w:color="auto"/>
            <w:bottom w:val="none" w:sz="0" w:space="0" w:color="auto"/>
            <w:right w:val="none" w:sz="0" w:space="0" w:color="auto"/>
          </w:divBdr>
        </w:div>
        <w:div w:id="727724868">
          <w:marLeft w:val="0"/>
          <w:marRight w:val="0"/>
          <w:marTop w:val="0"/>
          <w:marBottom w:val="0"/>
          <w:divBdr>
            <w:top w:val="none" w:sz="0" w:space="0" w:color="auto"/>
            <w:left w:val="none" w:sz="0" w:space="0" w:color="auto"/>
            <w:bottom w:val="none" w:sz="0" w:space="0" w:color="auto"/>
            <w:right w:val="none" w:sz="0" w:space="0" w:color="auto"/>
          </w:divBdr>
        </w:div>
        <w:div w:id="880242932">
          <w:marLeft w:val="0"/>
          <w:marRight w:val="0"/>
          <w:marTop w:val="0"/>
          <w:marBottom w:val="0"/>
          <w:divBdr>
            <w:top w:val="none" w:sz="0" w:space="0" w:color="auto"/>
            <w:left w:val="none" w:sz="0" w:space="0" w:color="auto"/>
            <w:bottom w:val="none" w:sz="0" w:space="0" w:color="auto"/>
            <w:right w:val="none" w:sz="0" w:space="0" w:color="auto"/>
          </w:divBdr>
        </w:div>
        <w:div w:id="986933258">
          <w:marLeft w:val="0"/>
          <w:marRight w:val="0"/>
          <w:marTop w:val="0"/>
          <w:marBottom w:val="0"/>
          <w:divBdr>
            <w:top w:val="none" w:sz="0" w:space="0" w:color="auto"/>
            <w:left w:val="none" w:sz="0" w:space="0" w:color="auto"/>
            <w:bottom w:val="none" w:sz="0" w:space="0" w:color="auto"/>
            <w:right w:val="none" w:sz="0" w:space="0" w:color="auto"/>
          </w:divBdr>
        </w:div>
        <w:div w:id="1056511345">
          <w:marLeft w:val="0"/>
          <w:marRight w:val="0"/>
          <w:marTop w:val="0"/>
          <w:marBottom w:val="0"/>
          <w:divBdr>
            <w:top w:val="none" w:sz="0" w:space="0" w:color="auto"/>
            <w:left w:val="none" w:sz="0" w:space="0" w:color="auto"/>
            <w:bottom w:val="none" w:sz="0" w:space="0" w:color="auto"/>
            <w:right w:val="none" w:sz="0" w:space="0" w:color="auto"/>
          </w:divBdr>
        </w:div>
        <w:div w:id="1059859309">
          <w:marLeft w:val="0"/>
          <w:marRight w:val="0"/>
          <w:marTop w:val="0"/>
          <w:marBottom w:val="0"/>
          <w:divBdr>
            <w:top w:val="none" w:sz="0" w:space="0" w:color="auto"/>
            <w:left w:val="none" w:sz="0" w:space="0" w:color="auto"/>
            <w:bottom w:val="none" w:sz="0" w:space="0" w:color="auto"/>
            <w:right w:val="none" w:sz="0" w:space="0" w:color="auto"/>
          </w:divBdr>
        </w:div>
        <w:div w:id="1072502264">
          <w:marLeft w:val="0"/>
          <w:marRight w:val="0"/>
          <w:marTop w:val="0"/>
          <w:marBottom w:val="0"/>
          <w:divBdr>
            <w:top w:val="none" w:sz="0" w:space="0" w:color="auto"/>
            <w:left w:val="none" w:sz="0" w:space="0" w:color="auto"/>
            <w:bottom w:val="none" w:sz="0" w:space="0" w:color="auto"/>
            <w:right w:val="none" w:sz="0" w:space="0" w:color="auto"/>
          </w:divBdr>
        </w:div>
        <w:div w:id="1214660478">
          <w:marLeft w:val="0"/>
          <w:marRight w:val="0"/>
          <w:marTop w:val="0"/>
          <w:marBottom w:val="0"/>
          <w:divBdr>
            <w:top w:val="none" w:sz="0" w:space="0" w:color="auto"/>
            <w:left w:val="none" w:sz="0" w:space="0" w:color="auto"/>
            <w:bottom w:val="none" w:sz="0" w:space="0" w:color="auto"/>
            <w:right w:val="none" w:sz="0" w:space="0" w:color="auto"/>
          </w:divBdr>
        </w:div>
        <w:div w:id="1245649497">
          <w:marLeft w:val="0"/>
          <w:marRight w:val="0"/>
          <w:marTop w:val="0"/>
          <w:marBottom w:val="0"/>
          <w:divBdr>
            <w:top w:val="none" w:sz="0" w:space="0" w:color="auto"/>
            <w:left w:val="none" w:sz="0" w:space="0" w:color="auto"/>
            <w:bottom w:val="none" w:sz="0" w:space="0" w:color="auto"/>
            <w:right w:val="none" w:sz="0" w:space="0" w:color="auto"/>
          </w:divBdr>
        </w:div>
        <w:div w:id="1285964132">
          <w:marLeft w:val="0"/>
          <w:marRight w:val="0"/>
          <w:marTop w:val="0"/>
          <w:marBottom w:val="0"/>
          <w:divBdr>
            <w:top w:val="none" w:sz="0" w:space="0" w:color="auto"/>
            <w:left w:val="none" w:sz="0" w:space="0" w:color="auto"/>
            <w:bottom w:val="none" w:sz="0" w:space="0" w:color="auto"/>
            <w:right w:val="none" w:sz="0" w:space="0" w:color="auto"/>
          </w:divBdr>
        </w:div>
        <w:div w:id="1405759149">
          <w:marLeft w:val="0"/>
          <w:marRight w:val="0"/>
          <w:marTop w:val="0"/>
          <w:marBottom w:val="0"/>
          <w:divBdr>
            <w:top w:val="none" w:sz="0" w:space="0" w:color="auto"/>
            <w:left w:val="none" w:sz="0" w:space="0" w:color="auto"/>
            <w:bottom w:val="none" w:sz="0" w:space="0" w:color="auto"/>
            <w:right w:val="none" w:sz="0" w:space="0" w:color="auto"/>
          </w:divBdr>
        </w:div>
        <w:div w:id="1500850142">
          <w:marLeft w:val="0"/>
          <w:marRight w:val="0"/>
          <w:marTop w:val="0"/>
          <w:marBottom w:val="0"/>
          <w:divBdr>
            <w:top w:val="none" w:sz="0" w:space="0" w:color="auto"/>
            <w:left w:val="none" w:sz="0" w:space="0" w:color="auto"/>
            <w:bottom w:val="none" w:sz="0" w:space="0" w:color="auto"/>
            <w:right w:val="none" w:sz="0" w:space="0" w:color="auto"/>
          </w:divBdr>
        </w:div>
        <w:div w:id="1555383474">
          <w:marLeft w:val="0"/>
          <w:marRight w:val="0"/>
          <w:marTop w:val="0"/>
          <w:marBottom w:val="0"/>
          <w:divBdr>
            <w:top w:val="none" w:sz="0" w:space="0" w:color="auto"/>
            <w:left w:val="none" w:sz="0" w:space="0" w:color="auto"/>
            <w:bottom w:val="none" w:sz="0" w:space="0" w:color="auto"/>
            <w:right w:val="none" w:sz="0" w:space="0" w:color="auto"/>
          </w:divBdr>
        </w:div>
        <w:div w:id="1571696445">
          <w:marLeft w:val="0"/>
          <w:marRight w:val="0"/>
          <w:marTop w:val="0"/>
          <w:marBottom w:val="0"/>
          <w:divBdr>
            <w:top w:val="none" w:sz="0" w:space="0" w:color="auto"/>
            <w:left w:val="none" w:sz="0" w:space="0" w:color="auto"/>
            <w:bottom w:val="none" w:sz="0" w:space="0" w:color="auto"/>
            <w:right w:val="none" w:sz="0" w:space="0" w:color="auto"/>
          </w:divBdr>
        </w:div>
        <w:div w:id="1594363164">
          <w:marLeft w:val="0"/>
          <w:marRight w:val="0"/>
          <w:marTop w:val="0"/>
          <w:marBottom w:val="0"/>
          <w:divBdr>
            <w:top w:val="none" w:sz="0" w:space="0" w:color="auto"/>
            <w:left w:val="none" w:sz="0" w:space="0" w:color="auto"/>
            <w:bottom w:val="none" w:sz="0" w:space="0" w:color="auto"/>
            <w:right w:val="none" w:sz="0" w:space="0" w:color="auto"/>
          </w:divBdr>
        </w:div>
        <w:div w:id="1643846792">
          <w:marLeft w:val="0"/>
          <w:marRight w:val="0"/>
          <w:marTop w:val="0"/>
          <w:marBottom w:val="0"/>
          <w:divBdr>
            <w:top w:val="none" w:sz="0" w:space="0" w:color="auto"/>
            <w:left w:val="none" w:sz="0" w:space="0" w:color="auto"/>
            <w:bottom w:val="none" w:sz="0" w:space="0" w:color="auto"/>
            <w:right w:val="none" w:sz="0" w:space="0" w:color="auto"/>
          </w:divBdr>
        </w:div>
        <w:div w:id="1687639105">
          <w:marLeft w:val="0"/>
          <w:marRight w:val="0"/>
          <w:marTop w:val="0"/>
          <w:marBottom w:val="0"/>
          <w:divBdr>
            <w:top w:val="none" w:sz="0" w:space="0" w:color="auto"/>
            <w:left w:val="none" w:sz="0" w:space="0" w:color="auto"/>
            <w:bottom w:val="none" w:sz="0" w:space="0" w:color="auto"/>
            <w:right w:val="none" w:sz="0" w:space="0" w:color="auto"/>
          </w:divBdr>
        </w:div>
        <w:div w:id="1739548218">
          <w:marLeft w:val="0"/>
          <w:marRight w:val="0"/>
          <w:marTop w:val="0"/>
          <w:marBottom w:val="0"/>
          <w:divBdr>
            <w:top w:val="none" w:sz="0" w:space="0" w:color="auto"/>
            <w:left w:val="none" w:sz="0" w:space="0" w:color="auto"/>
            <w:bottom w:val="none" w:sz="0" w:space="0" w:color="auto"/>
            <w:right w:val="none" w:sz="0" w:space="0" w:color="auto"/>
          </w:divBdr>
        </w:div>
        <w:div w:id="1842087303">
          <w:marLeft w:val="0"/>
          <w:marRight w:val="0"/>
          <w:marTop w:val="0"/>
          <w:marBottom w:val="0"/>
          <w:divBdr>
            <w:top w:val="none" w:sz="0" w:space="0" w:color="auto"/>
            <w:left w:val="none" w:sz="0" w:space="0" w:color="auto"/>
            <w:bottom w:val="none" w:sz="0" w:space="0" w:color="auto"/>
            <w:right w:val="none" w:sz="0" w:space="0" w:color="auto"/>
          </w:divBdr>
        </w:div>
        <w:div w:id="1843008489">
          <w:marLeft w:val="0"/>
          <w:marRight w:val="0"/>
          <w:marTop w:val="0"/>
          <w:marBottom w:val="0"/>
          <w:divBdr>
            <w:top w:val="none" w:sz="0" w:space="0" w:color="auto"/>
            <w:left w:val="none" w:sz="0" w:space="0" w:color="auto"/>
            <w:bottom w:val="none" w:sz="0" w:space="0" w:color="auto"/>
            <w:right w:val="none" w:sz="0" w:space="0" w:color="auto"/>
          </w:divBdr>
        </w:div>
        <w:div w:id="1856575912">
          <w:marLeft w:val="0"/>
          <w:marRight w:val="0"/>
          <w:marTop w:val="0"/>
          <w:marBottom w:val="0"/>
          <w:divBdr>
            <w:top w:val="none" w:sz="0" w:space="0" w:color="auto"/>
            <w:left w:val="none" w:sz="0" w:space="0" w:color="auto"/>
            <w:bottom w:val="none" w:sz="0" w:space="0" w:color="auto"/>
            <w:right w:val="none" w:sz="0" w:space="0" w:color="auto"/>
          </w:divBdr>
        </w:div>
        <w:div w:id="1958903232">
          <w:marLeft w:val="0"/>
          <w:marRight w:val="0"/>
          <w:marTop w:val="0"/>
          <w:marBottom w:val="0"/>
          <w:divBdr>
            <w:top w:val="none" w:sz="0" w:space="0" w:color="auto"/>
            <w:left w:val="none" w:sz="0" w:space="0" w:color="auto"/>
            <w:bottom w:val="none" w:sz="0" w:space="0" w:color="auto"/>
            <w:right w:val="none" w:sz="0" w:space="0" w:color="auto"/>
          </w:divBdr>
        </w:div>
        <w:div w:id="2005355741">
          <w:marLeft w:val="0"/>
          <w:marRight w:val="0"/>
          <w:marTop w:val="0"/>
          <w:marBottom w:val="0"/>
          <w:divBdr>
            <w:top w:val="none" w:sz="0" w:space="0" w:color="auto"/>
            <w:left w:val="none" w:sz="0" w:space="0" w:color="auto"/>
            <w:bottom w:val="none" w:sz="0" w:space="0" w:color="auto"/>
            <w:right w:val="none" w:sz="0" w:space="0" w:color="auto"/>
          </w:divBdr>
        </w:div>
      </w:divsChild>
    </w:div>
    <w:div w:id="1674799928">
      <w:bodyDiv w:val="1"/>
      <w:marLeft w:val="0"/>
      <w:marRight w:val="0"/>
      <w:marTop w:val="0"/>
      <w:marBottom w:val="0"/>
      <w:divBdr>
        <w:top w:val="none" w:sz="0" w:space="0" w:color="auto"/>
        <w:left w:val="none" w:sz="0" w:space="0" w:color="auto"/>
        <w:bottom w:val="none" w:sz="0" w:space="0" w:color="auto"/>
        <w:right w:val="none" w:sz="0" w:space="0" w:color="auto"/>
      </w:divBdr>
      <w:divsChild>
        <w:div w:id="744138">
          <w:marLeft w:val="0"/>
          <w:marRight w:val="0"/>
          <w:marTop w:val="0"/>
          <w:marBottom w:val="0"/>
          <w:divBdr>
            <w:top w:val="none" w:sz="0" w:space="0" w:color="auto"/>
            <w:left w:val="none" w:sz="0" w:space="0" w:color="auto"/>
            <w:bottom w:val="none" w:sz="0" w:space="0" w:color="auto"/>
            <w:right w:val="none" w:sz="0" w:space="0" w:color="auto"/>
          </w:divBdr>
        </w:div>
        <w:div w:id="114372819">
          <w:marLeft w:val="0"/>
          <w:marRight w:val="0"/>
          <w:marTop w:val="0"/>
          <w:marBottom w:val="0"/>
          <w:divBdr>
            <w:top w:val="none" w:sz="0" w:space="0" w:color="auto"/>
            <w:left w:val="none" w:sz="0" w:space="0" w:color="auto"/>
            <w:bottom w:val="none" w:sz="0" w:space="0" w:color="auto"/>
            <w:right w:val="none" w:sz="0" w:space="0" w:color="auto"/>
          </w:divBdr>
        </w:div>
        <w:div w:id="158080678">
          <w:marLeft w:val="0"/>
          <w:marRight w:val="0"/>
          <w:marTop w:val="0"/>
          <w:marBottom w:val="0"/>
          <w:divBdr>
            <w:top w:val="none" w:sz="0" w:space="0" w:color="auto"/>
            <w:left w:val="none" w:sz="0" w:space="0" w:color="auto"/>
            <w:bottom w:val="none" w:sz="0" w:space="0" w:color="auto"/>
            <w:right w:val="none" w:sz="0" w:space="0" w:color="auto"/>
          </w:divBdr>
        </w:div>
        <w:div w:id="176388239">
          <w:marLeft w:val="0"/>
          <w:marRight w:val="0"/>
          <w:marTop w:val="0"/>
          <w:marBottom w:val="0"/>
          <w:divBdr>
            <w:top w:val="none" w:sz="0" w:space="0" w:color="auto"/>
            <w:left w:val="none" w:sz="0" w:space="0" w:color="auto"/>
            <w:bottom w:val="none" w:sz="0" w:space="0" w:color="auto"/>
            <w:right w:val="none" w:sz="0" w:space="0" w:color="auto"/>
          </w:divBdr>
        </w:div>
        <w:div w:id="206837425">
          <w:marLeft w:val="0"/>
          <w:marRight w:val="0"/>
          <w:marTop w:val="0"/>
          <w:marBottom w:val="0"/>
          <w:divBdr>
            <w:top w:val="none" w:sz="0" w:space="0" w:color="auto"/>
            <w:left w:val="none" w:sz="0" w:space="0" w:color="auto"/>
            <w:bottom w:val="none" w:sz="0" w:space="0" w:color="auto"/>
            <w:right w:val="none" w:sz="0" w:space="0" w:color="auto"/>
          </w:divBdr>
        </w:div>
        <w:div w:id="268782342">
          <w:marLeft w:val="0"/>
          <w:marRight w:val="0"/>
          <w:marTop w:val="0"/>
          <w:marBottom w:val="0"/>
          <w:divBdr>
            <w:top w:val="none" w:sz="0" w:space="0" w:color="auto"/>
            <w:left w:val="none" w:sz="0" w:space="0" w:color="auto"/>
            <w:bottom w:val="none" w:sz="0" w:space="0" w:color="auto"/>
            <w:right w:val="none" w:sz="0" w:space="0" w:color="auto"/>
          </w:divBdr>
        </w:div>
        <w:div w:id="282542924">
          <w:marLeft w:val="0"/>
          <w:marRight w:val="0"/>
          <w:marTop w:val="0"/>
          <w:marBottom w:val="0"/>
          <w:divBdr>
            <w:top w:val="none" w:sz="0" w:space="0" w:color="auto"/>
            <w:left w:val="none" w:sz="0" w:space="0" w:color="auto"/>
            <w:bottom w:val="none" w:sz="0" w:space="0" w:color="auto"/>
            <w:right w:val="none" w:sz="0" w:space="0" w:color="auto"/>
          </w:divBdr>
        </w:div>
        <w:div w:id="287274658">
          <w:marLeft w:val="0"/>
          <w:marRight w:val="0"/>
          <w:marTop w:val="0"/>
          <w:marBottom w:val="0"/>
          <w:divBdr>
            <w:top w:val="none" w:sz="0" w:space="0" w:color="auto"/>
            <w:left w:val="none" w:sz="0" w:space="0" w:color="auto"/>
            <w:bottom w:val="none" w:sz="0" w:space="0" w:color="auto"/>
            <w:right w:val="none" w:sz="0" w:space="0" w:color="auto"/>
          </w:divBdr>
        </w:div>
        <w:div w:id="435370290">
          <w:marLeft w:val="0"/>
          <w:marRight w:val="0"/>
          <w:marTop w:val="0"/>
          <w:marBottom w:val="0"/>
          <w:divBdr>
            <w:top w:val="none" w:sz="0" w:space="0" w:color="auto"/>
            <w:left w:val="none" w:sz="0" w:space="0" w:color="auto"/>
            <w:bottom w:val="none" w:sz="0" w:space="0" w:color="auto"/>
            <w:right w:val="none" w:sz="0" w:space="0" w:color="auto"/>
          </w:divBdr>
        </w:div>
        <w:div w:id="458914084">
          <w:marLeft w:val="0"/>
          <w:marRight w:val="0"/>
          <w:marTop w:val="0"/>
          <w:marBottom w:val="0"/>
          <w:divBdr>
            <w:top w:val="none" w:sz="0" w:space="0" w:color="auto"/>
            <w:left w:val="none" w:sz="0" w:space="0" w:color="auto"/>
            <w:bottom w:val="none" w:sz="0" w:space="0" w:color="auto"/>
            <w:right w:val="none" w:sz="0" w:space="0" w:color="auto"/>
          </w:divBdr>
        </w:div>
        <w:div w:id="466700234">
          <w:marLeft w:val="0"/>
          <w:marRight w:val="0"/>
          <w:marTop w:val="0"/>
          <w:marBottom w:val="0"/>
          <w:divBdr>
            <w:top w:val="none" w:sz="0" w:space="0" w:color="auto"/>
            <w:left w:val="none" w:sz="0" w:space="0" w:color="auto"/>
            <w:bottom w:val="none" w:sz="0" w:space="0" w:color="auto"/>
            <w:right w:val="none" w:sz="0" w:space="0" w:color="auto"/>
          </w:divBdr>
        </w:div>
        <w:div w:id="568074329">
          <w:marLeft w:val="0"/>
          <w:marRight w:val="0"/>
          <w:marTop w:val="0"/>
          <w:marBottom w:val="0"/>
          <w:divBdr>
            <w:top w:val="none" w:sz="0" w:space="0" w:color="auto"/>
            <w:left w:val="none" w:sz="0" w:space="0" w:color="auto"/>
            <w:bottom w:val="none" w:sz="0" w:space="0" w:color="auto"/>
            <w:right w:val="none" w:sz="0" w:space="0" w:color="auto"/>
          </w:divBdr>
        </w:div>
        <w:div w:id="615987844">
          <w:marLeft w:val="0"/>
          <w:marRight w:val="0"/>
          <w:marTop w:val="0"/>
          <w:marBottom w:val="0"/>
          <w:divBdr>
            <w:top w:val="none" w:sz="0" w:space="0" w:color="auto"/>
            <w:left w:val="none" w:sz="0" w:space="0" w:color="auto"/>
            <w:bottom w:val="none" w:sz="0" w:space="0" w:color="auto"/>
            <w:right w:val="none" w:sz="0" w:space="0" w:color="auto"/>
          </w:divBdr>
        </w:div>
        <w:div w:id="681782567">
          <w:marLeft w:val="0"/>
          <w:marRight w:val="0"/>
          <w:marTop w:val="0"/>
          <w:marBottom w:val="0"/>
          <w:divBdr>
            <w:top w:val="none" w:sz="0" w:space="0" w:color="auto"/>
            <w:left w:val="none" w:sz="0" w:space="0" w:color="auto"/>
            <w:bottom w:val="none" w:sz="0" w:space="0" w:color="auto"/>
            <w:right w:val="none" w:sz="0" w:space="0" w:color="auto"/>
          </w:divBdr>
        </w:div>
        <w:div w:id="702636102">
          <w:marLeft w:val="0"/>
          <w:marRight w:val="0"/>
          <w:marTop w:val="0"/>
          <w:marBottom w:val="0"/>
          <w:divBdr>
            <w:top w:val="none" w:sz="0" w:space="0" w:color="auto"/>
            <w:left w:val="none" w:sz="0" w:space="0" w:color="auto"/>
            <w:bottom w:val="none" w:sz="0" w:space="0" w:color="auto"/>
            <w:right w:val="none" w:sz="0" w:space="0" w:color="auto"/>
          </w:divBdr>
        </w:div>
        <w:div w:id="768893184">
          <w:marLeft w:val="0"/>
          <w:marRight w:val="0"/>
          <w:marTop w:val="0"/>
          <w:marBottom w:val="0"/>
          <w:divBdr>
            <w:top w:val="none" w:sz="0" w:space="0" w:color="auto"/>
            <w:left w:val="none" w:sz="0" w:space="0" w:color="auto"/>
            <w:bottom w:val="none" w:sz="0" w:space="0" w:color="auto"/>
            <w:right w:val="none" w:sz="0" w:space="0" w:color="auto"/>
          </w:divBdr>
        </w:div>
        <w:div w:id="1019426222">
          <w:marLeft w:val="0"/>
          <w:marRight w:val="0"/>
          <w:marTop w:val="0"/>
          <w:marBottom w:val="0"/>
          <w:divBdr>
            <w:top w:val="none" w:sz="0" w:space="0" w:color="auto"/>
            <w:left w:val="none" w:sz="0" w:space="0" w:color="auto"/>
            <w:bottom w:val="none" w:sz="0" w:space="0" w:color="auto"/>
            <w:right w:val="none" w:sz="0" w:space="0" w:color="auto"/>
          </w:divBdr>
        </w:div>
        <w:div w:id="1036346527">
          <w:marLeft w:val="0"/>
          <w:marRight w:val="0"/>
          <w:marTop w:val="0"/>
          <w:marBottom w:val="0"/>
          <w:divBdr>
            <w:top w:val="none" w:sz="0" w:space="0" w:color="auto"/>
            <w:left w:val="none" w:sz="0" w:space="0" w:color="auto"/>
            <w:bottom w:val="none" w:sz="0" w:space="0" w:color="auto"/>
            <w:right w:val="none" w:sz="0" w:space="0" w:color="auto"/>
          </w:divBdr>
        </w:div>
        <w:div w:id="1135023102">
          <w:marLeft w:val="0"/>
          <w:marRight w:val="0"/>
          <w:marTop w:val="0"/>
          <w:marBottom w:val="0"/>
          <w:divBdr>
            <w:top w:val="none" w:sz="0" w:space="0" w:color="auto"/>
            <w:left w:val="none" w:sz="0" w:space="0" w:color="auto"/>
            <w:bottom w:val="none" w:sz="0" w:space="0" w:color="auto"/>
            <w:right w:val="none" w:sz="0" w:space="0" w:color="auto"/>
          </w:divBdr>
        </w:div>
        <w:div w:id="1332559315">
          <w:marLeft w:val="0"/>
          <w:marRight w:val="0"/>
          <w:marTop w:val="0"/>
          <w:marBottom w:val="0"/>
          <w:divBdr>
            <w:top w:val="none" w:sz="0" w:space="0" w:color="auto"/>
            <w:left w:val="none" w:sz="0" w:space="0" w:color="auto"/>
            <w:bottom w:val="none" w:sz="0" w:space="0" w:color="auto"/>
            <w:right w:val="none" w:sz="0" w:space="0" w:color="auto"/>
          </w:divBdr>
        </w:div>
        <w:div w:id="1351377909">
          <w:marLeft w:val="0"/>
          <w:marRight w:val="0"/>
          <w:marTop w:val="0"/>
          <w:marBottom w:val="0"/>
          <w:divBdr>
            <w:top w:val="none" w:sz="0" w:space="0" w:color="auto"/>
            <w:left w:val="none" w:sz="0" w:space="0" w:color="auto"/>
            <w:bottom w:val="none" w:sz="0" w:space="0" w:color="auto"/>
            <w:right w:val="none" w:sz="0" w:space="0" w:color="auto"/>
          </w:divBdr>
        </w:div>
        <w:div w:id="1379742733">
          <w:marLeft w:val="0"/>
          <w:marRight w:val="0"/>
          <w:marTop w:val="0"/>
          <w:marBottom w:val="0"/>
          <w:divBdr>
            <w:top w:val="none" w:sz="0" w:space="0" w:color="auto"/>
            <w:left w:val="none" w:sz="0" w:space="0" w:color="auto"/>
            <w:bottom w:val="none" w:sz="0" w:space="0" w:color="auto"/>
            <w:right w:val="none" w:sz="0" w:space="0" w:color="auto"/>
          </w:divBdr>
        </w:div>
        <w:div w:id="1581015628">
          <w:marLeft w:val="0"/>
          <w:marRight w:val="0"/>
          <w:marTop w:val="0"/>
          <w:marBottom w:val="0"/>
          <w:divBdr>
            <w:top w:val="none" w:sz="0" w:space="0" w:color="auto"/>
            <w:left w:val="none" w:sz="0" w:space="0" w:color="auto"/>
            <w:bottom w:val="none" w:sz="0" w:space="0" w:color="auto"/>
            <w:right w:val="none" w:sz="0" w:space="0" w:color="auto"/>
          </w:divBdr>
        </w:div>
        <w:div w:id="1618756539">
          <w:marLeft w:val="0"/>
          <w:marRight w:val="0"/>
          <w:marTop w:val="0"/>
          <w:marBottom w:val="0"/>
          <w:divBdr>
            <w:top w:val="none" w:sz="0" w:space="0" w:color="auto"/>
            <w:left w:val="none" w:sz="0" w:space="0" w:color="auto"/>
            <w:bottom w:val="none" w:sz="0" w:space="0" w:color="auto"/>
            <w:right w:val="none" w:sz="0" w:space="0" w:color="auto"/>
          </w:divBdr>
        </w:div>
        <w:div w:id="1638413811">
          <w:marLeft w:val="0"/>
          <w:marRight w:val="0"/>
          <w:marTop w:val="0"/>
          <w:marBottom w:val="0"/>
          <w:divBdr>
            <w:top w:val="none" w:sz="0" w:space="0" w:color="auto"/>
            <w:left w:val="none" w:sz="0" w:space="0" w:color="auto"/>
            <w:bottom w:val="none" w:sz="0" w:space="0" w:color="auto"/>
            <w:right w:val="none" w:sz="0" w:space="0" w:color="auto"/>
          </w:divBdr>
        </w:div>
        <w:div w:id="1663002217">
          <w:marLeft w:val="0"/>
          <w:marRight w:val="0"/>
          <w:marTop w:val="0"/>
          <w:marBottom w:val="0"/>
          <w:divBdr>
            <w:top w:val="none" w:sz="0" w:space="0" w:color="auto"/>
            <w:left w:val="none" w:sz="0" w:space="0" w:color="auto"/>
            <w:bottom w:val="none" w:sz="0" w:space="0" w:color="auto"/>
            <w:right w:val="none" w:sz="0" w:space="0" w:color="auto"/>
          </w:divBdr>
        </w:div>
        <w:div w:id="1740786336">
          <w:marLeft w:val="0"/>
          <w:marRight w:val="0"/>
          <w:marTop w:val="0"/>
          <w:marBottom w:val="0"/>
          <w:divBdr>
            <w:top w:val="none" w:sz="0" w:space="0" w:color="auto"/>
            <w:left w:val="none" w:sz="0" w:space="0" w:color="auto"/>
            <w:bottom w:val="none" w:sz="0" w:space="0" w:color="auto"/>
            <w:right w:val="none" w:sz="0" w:space="0" w:color="auto"/>
          </w:divBdr>
        </w:div>
        <w:div w:id="1760907522">
          <w:marLeft w:val="0"/>
          <w:marRight w:val="0"/>
          <w:marTop w:val="0"/>
          <w:marBottom w:val="0"/>
          <w:divBdr>
            <w:top w:val="none" w:sz="0" w:space="0" w:color="auto"/>
            <w:left w:val="none" w:sz="0" w:space="0" w:color="auto"/>
            <w:bottom w:val="none" w:sz="0" w:space="0" w:color="auto"/>
            <w:right w:val="none" w:sz="0" w:space="0" w:color="auto"/>
          </w:divBdr>
        </w:div>
        <w:div w:id="1795754427">
          <w:marLeft w:val="0"/>
          <w:marRight w:val="0"/>
          <w:marTop w:val="0"/>
          <w:marBottom w:val="0"/>
          <w:divBdr>
            <w:top w:val="none" w:sz="0" w:space="0" w:color="auto"/>
            <w:left w:val="none" w:sz="0" w:space="0" w:color="auto"/>
            <w:bottom w:val="none" w:sz="0" w:space="0" w:color="auto"/>
            <w:right w:val="none" w:sz="0" w:space="0" w:color="auto"/>
          </w:divBdr>
        </w:div>
        <w:div w:id="1863281726">
          <w:marLeft w:val="0"/>
          <w:marRight w:val="0"/>
          <w:marTop w:val="0"/>
          <w:marBottom w:val="0"/>
          <w:divBdr>
            <w:top w:val="none" w:sz="0" w:space="0" w:color="auto"/>
            <w:left w:val="none" w:sz="0" w:space="0" w:color="auto"/>
            <w:bottom w:val="none" w:sz="0" w:space="0" w:color="auto"/>
            <w:right w:val="none" w:sz="0" w:space="0" w:color="auto"/>
          </w:divBdr>
        </w:div>
        <w:div w:id="2003000954">
          <w:marLeft w:val="0"/>
          <w:marRight w:val="0"/>
          <w:marTop w:val="0"/>
          <w:marBottom w:val="0"/>
          <w:divBdr>
            <w:top w:val="none" w:sz="0" w:space="0" w:color="auto"/>
            <w:left w:val="none" w:sz="0" w:space="0" w:color="auto"/>
            <w:bottom w:val="none" w:sz="0" w:space="0" w:color="auto"/>
            <w:right w:val="none" w:sz="0" w:space="0" w:color="auto"/>
          </w:divBdr>
        </w:div>
        <w:div w:id="2010788103">
          <w:marLeft w:val="0"/>
          <w:marRight w:val="0"/>
          <w:marTop w:val="0"/>
          <w:marBottom w:val="0"/>
          <w:divBdr>
            <w:top w:val="none" w:sz="0" w:space="0" w:color="auto"/>
            <w:left w:val="none" w:sz="0" w:space="0" w:color="auto"/>
            <w:bottom w:val="none" w:sz="0" w:space="0" w:color="auto"/>
            <w:right w:val="none" w:sz="0" w:space="0" w:color="auto"/>
          </w:divBdr>
        </w:div>
        <w:div w:id="2018341854">
          <w:marLeft w:val="0"/>
          <w:marRight w:val="0"/>
          <w:marTop w:val="0"/>
          <w:marBottom w:val="0"/>
          <w:divBdr>
            <w:top w:val="none" w:sz="0" w:space="0" w:color="auto"/>
            <w:left w:val="none" w:sz="0" w:space="0" w:color="auto"/>
            <w:bottom w:val="none" w:sz="0" w:space="0" w:color="auto"/>
            <w:right w:val="none" w:sz="0" w:space="0" w:color="auto"/>
          </w:divBdr>
        </w:div>
        <w:div w:id="2039425058">
          <w:marLeft w:val="0"/>
          <w:marRight w:val="0"/>
          <w:marTop w:val="0"/>
          <w:marBottom w:val="0"/>
          <w:divBdr>
            <w:top w:val="none" w:sz="0" w:space="0" w:color="auto"/>
            <w:left w:val="none" w:sz="0" w:space="0" w:color="auto"/>
            <w:bottom w:val="none" w:sz="0" w:space="0" w:color="auto"/>
            <w:right w:val="none" w:sz="0" w:space="0" w:color="auto"/>
          </w:divBdr>
        </w:div>
        <w:div w:id="2093551451">
          <w:marLeft w:val="0"/>
          <w:marRight w:val="0"/>
          <w:marTop w:val="0"/>
          <w:marBottom w:val="0"/>
          <w:divBdr>
            <w:top w:val="none" w:sz="0" w:space="0" w:color="auto"/>
            <w:left w:val="none" w:sz="0" w:space="0" w:color="auto"/>
            <w:bottom w:val="none" w:sz="0" w:space="0" w:color="auto"/>
            <w:right w:val="none" w:sz="0" w:space="0" w:color="auto"/>
          </w:divBdr>
        </w:div>
      </w:divsChild>
    </w:div>
    <w:div w:id="1676687437">
      <w:bodyDiv w:val="1"/>
      <w:marLeft w:val="0"/>
      <w:marRight w:val="0"/>
      <w:marTop w:val="0"/>
      <w:marBottom w:val="0"/>
      <w:divBdr>
        <w:top w:val="none" w:sz="0" w:space="0" w:color="auto"/>
        <w:left w:val="none" w:sz="0" w:space="0" w:color="auto"/>
        <w:bottom w:val="none" w:sz="0" w:space="0" w:color="auto"/>
        <w:right w:val="none" w:sz="0" w:space="0" w:color="auto"/>
      </w:divBdr>
    </w:div>
    <w:div w:id="1678919008">
      <w:bodyDiv w:val="1"/>
      <w:marLeft w:val="0"/>
      <w:marRight w:val="0"/>
      <w:marTop w:val="0"/>
      <w:marBottom w:val="0"/>
      <w:divBdr>
        <w:top w:val="none" w:sz="0" w:space="0" w:color="auto"/>
        <w:left w:val="none" w:sz="0" w:space="0" w:color="auto"/>
        <w:bottom w:val="none" w:sz="0" w:space="0" w:color="auto"/>
        <w:right w:val="none" w:sz="0" w:space="0" w:color="auto"/>
      </w:divBdr>
      <w:divsChild>
        <w:div w:id="134105152">
          <w:marLeft w:val="0"/>
          <w:marRight w:val="0"/>
          <w:marTop w:val="0"/>
          <w:marBottom w:val="0"/>
          <w:divBdr>
            <w:top w:val="none" w:sz="0" w:space="0" w:color="auto"/>
            <w:left w:val="none" w:sz="0" w:space="0" w:color="auto"/>
            <w:bottom w:val="none" w:sz="0" w:space="0" w:color="auto"/>
            <w:right w:val="none" w:sz="0" w:space="0" w:color="auto"/>
          </w:divBdr>
          <w:divsChild>
            <w:div w:id="1064379208">
              <w:marLeft w:val="0"/>
              <w:marRight w:val="0"/>
              <w:marTop w:val="0"/>
              <w:marBottom w:val="0"/>
              <w:divBdr>
                <w:top w:val="none" w:sz="0" w:space="0" w:color="auto"/>
                <w:left w:val="none" w:sz="0" w:space="0" w:color="auto"/>
                <w:bottom w:val="none" w:sz="0" w:space="0" w:color="auto"/>
                <w:right w:val="none" w:sz="0" w:space="0" w:color="auto"/>
              </w:divBdr>
            </w:div>
          </w:divsChild>
        </w:div>
        <w:div w:id="513809123">
          <w:marLeft w:val="0"/>
          <w:marRight w:val="0"/>
          <w:marTop w:val="0"/>
          <w:marBottom w:val="0"/>
          <w:divBdr>
            <w:top w:val="none" w:sz="0" w:space="0" w:color="auto"/>
            <w:left w:val="none" w:sz="0" w:space="0" w:color="auto"/>
            <w:bottom w:val="none" w:sz="0" w:space="0" w:color="auto"/>
            <w:right w:val="none" w:sz="0" w:space="0" w:color="auto"/>
          </w:divBdr>
          <w:divsChild>
            <w:div w:id="1799302435">
              <w:marLeft w:val="0"/>
              <w:marRight w:val="0"/>
              <w:marTop w:val="0"/>
              <w:marBottom w:val="0"/>
              <w:divBdr>
                <w:top w:val="none" w:sz="0" w:space="0" w:color="auto"/>
                <w:left w:val="none" w:sz="0" w:space="0" w:color="auto"/>
                <w:bottom w:val="none" w:sz="0" w:space="0" w:color="auto"/>
                <w:right w:val="none" w:sz="0" w:space="0" w:color="auto"/>
              </w:divBdr>
            </w:div>
          </w:divsChild>
        </w:div>
        <w:div w:id="611129522">
          <w:marLeft w:val="0"/>
          <w:marRight w:val="0"/>
          <w:marTop w:val="0"/>
          <w:marBottom w:val="0"/>
          <w:divBdr>
            <w:top w:val="none" w:sz="0" w:space="0" w:color="auto"/>
            <w:left w:val="none" w:sz="0" w:space="0" w:color="auto"/>
            <w:bottom w:val="none" w:sz="0" w:space="0" w:color="auto"/>
            <w:right w:val="none" w:sz="0" w:space="0" w:color="auto"/>
          </w:divBdr>
          <w:divsChild>
            <w:div w:id="1388071031">
              <w:marLeft w:val="0"/>
              <w:marRight w:val="0"/>
              <w:marTop w:val="0"/>
              <w:marBottom w:val="0"/>
              <w:divBdr>
                <w:top w:val="none" w:sz="0" w:space="0" w:color="auto"/>
                <w:left w:val="none" w:sz="0" w:space="0" w:color="auto"/>
                <w:bottom w:val="none" w:sz="0" w:space="0" w:color="auto"/>
                <w:right w:val="none" w:sz="0" w:space="0" w:color="auto"/>
              </w:divBdr>
            </w:div>
          </w:divsChild>
        </w:div>
        <w:div w:id="622811323">
          <w:marLeft w:val="0"/>
          <w:marRight w:val="0"/>
          <w:marTop w:val="0"/>
          <w:marBottom w:val="0"/>
          <w:divBdr>
            <w:top w:val="none" w:sz="0" w:space="0" w:color="auto"/>
            <w:left w:val="none" w:sz="0" w:space="0" w:color="auto"/>
            <w:bottom w:val="none" w:sz="0" w:space="0" w:color="auto"/>
            <w:right w:val="none" w:sz="0" w:space="0" w:color="auto"/>
          </w:divBdr>
          <w:divsChild>
            <w:div w:id="1319381079">
              <w:marLeft w:val="0"/>
              <w:marRight w:val="0"/>
              <w:marTop w:val="0"/>
              <w:marBottom w:val="0"/>
              <w:divBdr>
                <w:top w:val="none" w:sz="0" w:space="0" w:color="auto"/>
                <w:left w:val="none" w:sz="0" w:space="0" w:color="auto"/>
                <w:bottom w:val="none" w:sz="0" w:space="0" w:color="auto"/>
                <w:right w:val="none" w:sz="0" w:space="0" w:color="auto"/>
              </w:divBdr>
            </w:div>
          </w:divsChild>
        </w:div>
        <w:div w:id="682785979">
          <w:marLeft w:val="0"/>
          <w:marRight w:val="0"/>
          <w:marTop w:val="0"/>
          <w:marBottom w:val="0"/>
          <w:divBdr>
            <w:top w:val="none" w:sz="0" w:space="0" w:color="auto"/>
            <w:left w:val="none" w:sz="0" w:space="0" w:color="auto"/>
            <w:bottom w:val="none" w:sz="0" w:space="0" w:color="auto"/>
            <w:right w:val="none" w:sz="0" w:space="0" w:color="auto"/>
          </w:divBdr>
          <w:divsChild>
            <w:div w:id="1732461781">
              <w:marLeft w:val="0"/>
              <w:marRight w:val="0"/>
              <w:marTop w:val="0"/>
              <w:marBottom w:val="0"/>
              <w:divBdr>
                <w:top w:val="none" w:sz="0" w:space="0" w:color="auto"/>
                <w:left w:val="none" w:sz="0" w:space="0" w:color="auto"/>
                <w:bottom w:val="none" w:sz="0" w:space="0" w:color="auto"/>
                <w:right w:val="none" w:sz="0" w:space="0" w:color="auto"/>
              </w:divBdr>
            </w:div>
          </w:divsChild>
        </w:div>
        <w:div w:id="1066299298">
          <w:marLeft w:val="0"/>
          <w:marRight w:val="0"/>
          <w:marTop w:val="0"/>
          <w:marBottom w:val="0"/>
          <w:divBdr>
            <w:top w:val="none" w:sz="0" w:space="0" w:color="auto"/>
            <w:left w:val="none" w:sz="0" w:space="0" w:color="auto"/>
            <w:bottom w:val="none" w:sz="0" w:space="0" w:color="auto"/>
            <w:right w:val="none" w:sz="0" w:space="0" w:color="auto"/>
          </w:divBdr>
          <w:divsChild>
            <w:div w:id="1487359306">
              <w:marLeft w:val="0"/>
              <w:marRight w:val="0"/>
              <w:marTop w:val="0"/>
              <w:marBottom w:val="0"/>
              <w:divBdr>
                <w:top w:val="none" w:sz="0" w:space="0" w:color="auto"/>
                <w:left w:val="none" w:sz="0" w:space="0" w:color="auto"/>
                <w:bottom w:val="none" w:sz="0" w:space="0" w:color="auto"/>
                <w:right w:val="none" w:sz="0" w:space="0" w:color="auto"/>
              </w:divBdr>
            </w:div>
          </w:divsChild>
        </w:div>
        <w:div w:id="1107968870">
          <w:marLeft w:val="0"/>
          <w:marRight w:val="0"/>
          <w:marTop w:val="0"/>
          <w:marBottom w:val="0"/>
          <w:divBdr>
            <w:top w:val="none" w:sz="0" w:space="0" w:color="auto"/>
            <w:left w:val="none" w:sz="0" w:space="0" w:color="auto"/>
            <w:bottom w:val="none" w:sz="0" w:space="0" w:color="auto"/>
            <w:right w:val="none" w:sz="0" w:space="0" w:color="auto"/>
          </w:divBdr>
          <w:divsChild>
            <w:div w:id="80222268">
              <w:marLeft w:val="0"/>
              <w:marRight w:val="0"/>
              <w:marTop w:val="0"/>
              <w:marBottom w:val="0"/>
              <w:divBdr>
                <w:top w:val="none" w:sz="0" w:space="0" w:color="auto"/>
                <w:left w:val="none" w:sz="0" w:space="0" w:color="auto"/>
                <w:bottom w:val="none" w:sz="0" w:space="0" w:color="auto"/>
                <w:right w:val="none" w:sz="0" w:space="0" w:color="auto"/>
              </w:divBdr>
            </w:div>
          </w:divsChild>
        </w:div>
        <w:div w:id="1171409694">
          <w:marLeft w:val="0"/>
          <w:marRight w:val="0"/>
          <w:marTop w:val="0"/>
          <w:marBottom w:val="0"/>
          <w:divBdr>
            <w:top w:val="none" w:sz="0" w:space="0" w:color="auto"/>
            <w:left w:val="none" w:sz="0" w:space="0" w:color="auto"/>
            <w:bottom w:val="none" w:sz="0" w:space="0" w:color="auto"/>
            <w:right w:val="none" w:sz="0" w:space="0" w:color="auto"/>
          </w:divBdr>
          <w:divsChild>
            <w:div w:id="825783222">
              <w:marLeft w:val="0"/>
              <w:marRight w:val="0"/>
              <w:marTop w:val="0"/>
              <w:marBottom w:val="0"/>
              <w:divBdr>
                <w:top w:val="none" w:sz="0" w:space="0" w:color="auto"/>
                <w:left w:val="none" w:sz="0" w:space="0" w:color="auto"/>
                <w:bottom w:val="none" w:sz="0" w:space="0" w:color="auto"/>
                <w:right w:val="none" w:sz="0" w:space="0" w:color="auto"/>
              </w:divBdr>
            </w:div>
          </w:divsChild>
        </w:div>
        <w:div w:id="1234394963">
          <w:marLeft w:val="0"/>
          <w:marRight w:val="0"/>
          <w:marTop w:val="0"/>
          <w:marBottom w:val="0"/>
          <w:divBdr>
            <w:top w:val="none" w:sz="0" w:space="0" w:color="auto"/>
            <w:left w:val="none" w:sz="0" w:space="0" w:color="auto"/>
            <w:bottom w:val="none" w:sz="0" w:space="0" w:color="auto"/>
            <w:right w:val="none" w:sz="0" w:space="0" w:color="auto"/>
          </w:divBdr>
          <w:divsChild>
            <w:div w:id="2055806022">
              <w:marLeft w:val="0"/>
              <w:marRight w:val="0"/>
              <w:marTop w:val="0"/>
              <w:marBottom w:val="0"/>
              <w:divBdr>
                <w:top w:val="none" w:sz="0" w:space="0" w:color="auto"/>
                <w:left w:val="none" w:sz="0" w:space="0" w:color="auto"/>
                <w:bottom w:val="none" w:sz="0" w:space="0" w:color="auto"/>
                <w:right w:val="none" w:sz="0" w:space="0" w:color="auto"/>
              </w:divBdr>
            </w:div>
          </w:divsChild>
        </w:div>
        <w:div w:id="1355230795">
          <w:marLeft w:val="0"/>
          <w:marRight w:val="0"/>
          <w:marTop w:val="0"/>
          <w:marBottom w:val="0"/>
          <w:divBdr>
            <w:top w:val="none" w:sz="0" w:space="0" w:color="auto"/>
            <w:left w:val="none" w:sz="0" w:space="0" w:color="auto"/>
            <w:bottom w:val="none" w:sz="0" w:space="0" w:color="auto"/>
            <w:right w:val="none" w:sz="0" w:space="0" w:color="auto"/>
          </w:divBdr>
          <w:divsChild>
            <w:div w:id="763066295">
              <w:marLeft w:val="0"/>
              <w:marRight w:val="0"/>
              <w:marTop w:val="0"/>
              <w:marBottom w:val="0"/>
              <w:divBdr>
                <w:top w:val="none" w:sz="0" w:space="0" w:color="auto"/>
                <w:left w:val="none" w:sz="0" w:space="0" w:color="auto"/>
                <w:bottom w:val="none" w:sz="0" w:space="0" w:color="auto"/>
                <w:right w:val="none" w:sz="0" w:space="0" w:color="auto"/>
              </w:divBdr>
            </w:div>
          </w:divsChild>
        </w:div>
        <w:div w:id="1699772190">
          <w:marLeft w:val="0"/>
          <w:marRight w:val="0"/>
          <w:marTop w:val="0"/>
          <w:marBottom w:val="0"/>
          <w:divBdr>
            <w:top w:val="none" w:sz="0" w:space="0" w:color="auto"/>
            <w:left w:val="none" w:sz="0" w:space="0" w:color="auto"/>
            <w:bottom w:val="none" w:sz="0" w:space="0" w:color="auto"/>
            <w:right w:val="none" w:sz="0" w:space="0" w:color="auto"/>
          </w:divBdr>
          <w:divsChild>
            <w:div w:id="174736848">
              <w:marLeft w:val="0"/>
              <w:marRight w:val="0"/>
              <w:marTop w:val="0"/>
              <w:marBottom w:val="0"/>
              <w:divBdr>
                <w:top w:val="none" w:sz="0" w:space="0" w:color="auto"/>
                <w:left w:val="none" w:sz="0" w:space="0" w:color="auto"/>
                <w:bottom w:val="none" w:sz="0" w:space="0" w:color="auto"/>
                <w:right w:val="none" w:sz="0" w:space="0" w:color="auto"/>
              </w:divBdr>
            </w:div>
          </w:divsChild>
        </w:div>
        <w:div w:id="1876573148">
          <w:marLeft w:val="0"/>
          <w:marRight w:val="0"/>
          <w:marTop w:val="0"/>
          <w:marBottom w:val="0"/>
          <w:divBdr>
            <w:top w:val="none" w:sz="0" w:space="0" w:color="auto"/>
            <w:left w:val="none" w:sz="0" w:space="0" w:color="auto"/>
            <w:bottom w:val="none" w:sz="0" w:space="0" w:color="auto"/>
            <w:right w:val="none" w:sz="0" w:space="0" w:color="auto"/>
          </w:divBdr>
          <w:divsChild>
            <w:div w:id="203719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466495">
      <w:bodyDiv w:val="1"/>
      <w:marLeft w:val="0"/>
      <w:marRight w:val="0"/>
      <w:marTop w:val="0"/>
      <w:marBottom w:val="0"/>
      <w:divBdr>
        <w:top w:val="none" w:sz="0" w:space="0" w:color="auto"/>
        <w:left w:val="none" w:sz="0" w:space="0" w:color="auto"/>
        <w:bottom w:val="none" w:sz="0" w:space="0" w:color="auto"/>
        <w:right w:val="none" w:sz="0" w:space="0" w:color="auto"/>
      </w:divBdr>
      <w:divsChild>
        <w:div w:id="265163209">
          <w:marLeft w:val="0"/>
          <w:marRight w:val="0"/>
          <w:marTop w:val="0"/>
          <w:marBottom w:val="0"/>
          <w:divBdr>
            <w:top w:val="none" w:sz="0" w:space="0" w:color="auto"/>
            <w:left w:val="none" w:sz="0" w:space="0" w:color="auto"/>
            <w:bottom w:val="none" w:sz="0" w:space="0" w:color="auto"/>
            <w:right w:val="none" w:sz="0" w:space="0" w:color="auto"/>
          </w:divBdr>
        </w:div>
        <w:div w:id="679042511">
          <w:marLeft w:val="0"/>
          <w:marRight w:val="0"/>
          <w:marTop w:val="0"/>
          <w:marBottom w:val="0"/>
          <w:divBdr>
            <w:top w:val="none" w:sz="0" w:space="0" w:color="auto"/>
            <w:left w:val="none" w:sz="0" w:space="0" w:color="auto"/>
            <w:bottom w:val="none" w:sz="0" w:space="0" w:color="auto"/>
            <w:right w:val="none" w:sz="0" w:space="0" w:color="auto"/>
          </w:divBdr>
        </w:div>
        <w:div w:id="929699923">
          <w:marLeft w:val="0"/>
          <w:marRight w:val="0"/>
          <w:marTop w:val="0"/>
          <w:marBottom w:val="0"/>
          <w:divBdr>
            <w:top w:val="none" w:sz="0" w:space="0" w:color="auto"/>
            <w:left w:val="none" w:sz="0" w:space="0" w:color="auto"/>
            <w:bottom w:val="none" w:sz="0" w:space="0" w:color="auto"/>
            <w:right w:val="none" w:sz="0" w:space="0" w:color="auto"/>
          </w:divBdr>
        </w:div>
        <w:div w:id="1535730958">
          <w:marLeft w:val="0"/>
          <w:marRight w:val="0"/>
          <w:marTop w:val="0"/>
          <w:marBottom w:val="0"/>
          <w:divBdr>
            <w:top w:val="none" w:sz="0" w:space="0" w:color="auto"/>
            <w:left w:val="none" w:sz="0" w:space="0" w:color="auto"/>
            <w:bottom w:val="none" w:sz="0" w:space="0" w:color="auto"/>
            <w:right w:val="none" w:sz="0" w:space="0" w:color="auto"/>
          </w:divBdr>
        </w:div>
        <w:div w:id="1799840552">
          <w:marLeft w:val="0"/>
          <w:marRight w:val="0"/>
          <w:marTop w:val="0"/>
          <w:marBottom w:val="0"/>
          <w:divBdr>
            <w:top w:val="none" w:sz="0" w:space="0" w:color="auto"/>
            <w:left w:val="none" w:sz="0" w:space="0" w:color="auto"/>
            <w:bottom w:val="none" w:sz="0" w:space="0" w:color="auto"/>
            <w:right w:val="none" w:sz="0" w:space="0" w:color="auto"/>
          </w:divBdr>
        </w:div>
        <w:div w:id="1915699137">
          <w:marLeft w:val="0"/>
          <w:marRight w:val="0"/>
          <w:marTop w:val="0"/>
          <w:marBottom w:val="0"/>
          <w:divBdr>
            <w:top w:val="none" w:sz="0" w:space="0" w:color="auto"/>
            <w:left w:val="none" w:sz="0" w:space="0" w:color="auto"/>
            <w:bottom w:val="none" w:sz="0" w:space="0" w:color="auto"/>
            <w:right w:val="none" w:sz="0" w:space="0" w:color="auto"/>
          </w:divBdr>
        </w:div>
      </w:divsChild>
    </w:div>
    <w:div w:id="1693527832">
      <w:bodyDiv w:val="1"/>
      <w:marLeft w:val="0"/>
      <w:marRight w:val="0"/>
      <w:marTop w:val="0"/>
      <w:marBottom w:val="0"/>
      <w:divBdr>
        <w:top w:val="none" w:sz="0" w:space="0" w:color="auto"/>
        <w:left w:val="none" w:sz="0" w:space="0" w:color="auto"/>
        <w:bottom w:val="none" w:sz="0" w:space="0" w:color="auto"/>
        <w:right w:val="none" w:sz="0" w:space="0" w:color="auto"/>
      </w:divBdr>
    </w:div>
    <w:div w:id="1701473541">
      <w:bodyDiv w:val="1"/>
      <w:marLeft w:val="0"/>
      <w:marRight w:val="0"/>
      <w:marTop w:val="0"/>
      <w:marBottom w:val="0"/>
      <w:divBdr>
        <w:top w:val="none" w:sz="0" w:space="0" w:color="auto"/>
        <w:left w:val="none" w:sz="0" w:space="0" w:color="auto"/>
        <w:bottom w:val="none" w:sz="0" w:space="0" w:color="auto"/>
        <w:right w:val="none" w:sz="0" w:space="0" w:color="auto"/>
      </w:divBdr>
      <w:divsChild>
        <w:div w:id="219248567">
          <w:marLeft w:val="0"/>
          <w:marRight w:val="0"/>
          <w:marTop w:val="0"/>
          <w:marBottom w:val="0"/>
          <w:divBdr>
            <w:top w:val="none" w:sz="0" w:space="0" w:color="auto"/>
            <w:left w:val="none" w:sz="0" w:space="0" w:color="auto"/>
            <w:bottom w:val="none" w:sz="0" w:space="0" w:color="auto"/>
            <w:right w:val="none" w:sz="0" w:space="0" w:color="auto"/>
          </w:divBdr>
          <w:divsChild>
            <w:div w:id="432045911">
              <w:marLeft w:val="0"/>
              <w:marRight w:val="0"/>
              <w:marTop w:val="0"/>
              <w:marBottom w:val="0"/>
              <w:divBdr>
                <w:top w:val="none" w:sz="0" w:space="0" w:color="auto"/>
                <w:left w:val="none" w:sz="0" w:space="0" w:color="auto"/>
                <w:bottom w:val="none" w:sz="0" w:space="0" w:color="auto"/>
                <w:right w:val="none" w:sz="0" w:space="0" w:color="auto"/>
              </w:divBdr>
            </w:div>
            <w:div w:id="1354650124">
              <w:marLeft w:val="0"/>
              <w:marRight w:val="0"/>
              <w:marTop w:val="0"/>
              <w:marBottom w:val="0"/>
              <w:divBdr>
                <w:top w:val="none" w:sz="0" w:space="0" w:color="auto"/>
                <w:left w:val="none" w:sz="0" w:space="0" w:color="auto"/>
                <w:bottom w:val="none" w:sz="0" w:space="0" w:color="auto"/>
                <w:right w:val="none" w:sz="0" w:space="0" w:color="auto"/>
              </w:divBdr>
            </w:div>
            <w:div w:id="751512650">
              <w:marLeft w:val="0"/>
              <w:marRight w:val="0"/>
              <w:marTop w:val="0"/>
              <w:marBottom w:val="0"/>
              <w:divBdr>
                <w:top w:val="none" w:sz="0" w:space="0" w:color="auto"/>
                <w:left w:val="none" w:sz="0" w:space="0" w:color="auto"/>
                <w:bottom w:val="none" w:sz="0" w:space="0" w:color="auto"/>
                <w:right w:val="none" w:sz="0" w:space="0" w:color="auto"/>
              </w:divBdr>
            </w:div>
            <w:div w:id="769014114">
              <w:marLeft w:val="0"/>
              <w:marRight w:val="0"/>
              <w:marTop w:val="0"/>
              <w:marBottom w:val="0"/>
              <w:divBdr>
                <w:top w:val="none" w:sz="0" w:space="0" w:color="auto"/>
                <w:left w:val="none" w:sz="0" w:space="0" w:color="auto"/>
                <w:bottom w:val="none" w:sz="0" w:space="0" w:color="auto"/>
                <w:right w:val="none" w:sz="0" w:space="0" w:color="auto"/>
              </w:divBdr>
            </w:div>
            <w:div w:id="197938336">
              <w:marLeft w:val="0"/>
              <w:marRight w:val="0"/>
              <w:marTop w:val="0"/>
              <w:marBottom w:val="0"/>
              <w:divBdr>
                <w:top w:val="none" w:sz="0" w:space="0" w:color="auto"/>
                <w:left w:val="none" w:sz="0" w:space="0" w:color="auto"/>
                <w:bottom w:val="none" w:sz="0" w:space="0" w:color="auto"/>
                <w:right w:val="none" w:sz="0" w:space="0" w:color="auto"/>
              </w:divBdr>
            </w:div>
            <w:div w:id="662783997">
              <w:marLeft w:val="0"/>
              <w:marRight w:val="0"/>
              <w:marTop w:val="0"/>
              <w:marBottom w:val="0"/>
              <w:divBdr>
                <w:top w:val="none" w:sz="0" w:space="0" w:color="auto"/>
                <w:left w:val="none" w:sz="0" w:space="0" w:color="auto"/>
                <w:bottom w:val="none" w:sz="0" w:space="0" w:color="auto"/>
                <w:right w:val="none" w:sz="0" w:space="0" w:color="auto"/>
              </w:divBdr>
            </w:div>
            <w:div w:id="406345173">
              <w:marLeft w:val="0"/>
              <w:marRight w:val="0"/>
              <w:marTop w:val="0"/>
              <w:marBottom w:val="0"/>
              <w:divBdr>
                <w:top w:val="none" w:sz="0" w:space="0" w:color="auto"/>
                <w:left w:val="none" w:sz="0" w:space="0" w:color="auto"/>
                <w:bottom w:val="none" w:sz="0" w:space="0" w:color="auto"/>
                <w:right w:val="none" w:sz="0" w:space="0" w:color="auto"/>
              </w:divBdr>
            </w:div>
            <w:div w:id="2120711659">
              <w:marLeft w:val="0"/>
              <w:marRight w:val="0"/>
              <w:marTop w:val="0"/>
              <w:marBottom w:val="0"/>
              <w:divBdr>
                <w:top w:val="none" w:sz="0" w:space="0" w:color="auto"/>
                <w:left w:val="none" w:sz="0" w:space="0" w:color="auto"/>
                <w:bottom w:val="none" w:sz="0" w:space="0" w:color="auto"/>
                <w:right w:val="none" w:sz="0" w:space="0" w:color="auto"/>
              </w:divBdr>
            </w:div>
            <w:div w:id="1067873560">
              <w:marLeft w:val="0"/>
              <w:marRight w:val="0"/>
              <w:marTop w:val="0"/>
              <w:marBottom w:val="0"/>
              <w:divBdr>
                <w:top w:val="none" w:sz="0" w:space="0" w:color="auto"/>
                <w:left w:val="none" w:sz="0" w:space="0" w:color="auto"/>
                <w:bottom w:val="none" w:sz="0" w:space="0" w:color="auto"/>
                <w:right w:val="none" w:sz="0" w:space="0" w:color="auto"/>
              </w:divBdr>
            </w:div>
            <w:div w:id="925963172">
              <w:marLeft w:val="0"/>
              <w:marRight w:val="0"/>
              <w:marTop w:val="0"/>
              <w:marBottom w:val="0"/>
              <w:divBdr>
                <w:top w:val="none" w:sz="0" w:space="0" w:color="auto"/>
                <w:left w:val="none" w:sz="0" w:space="0" w:color="auto"/>
                <w:bottom w:val="none" w:sz="0" w:space="0" w:color="auto"/>
                <w:right w:val="none" w:sz="0" w:space="0" w:color="auto"/>
              </w:divBdr>
            </w:div>
            <w:div w:id="1736776347">
              <w:marLeft w:val="0"/>
              <w:marRight w:val="0"/>
              <w:marTop w:val="0"/>
              <w:marBottom w:val="0"/>
              <w:divBdr>
                <w:top w:val="none" w:sz="0" w:space="0" w:color="auto"/>
                <w:left w:val="none" w:sz="0" w:space="0" w:color="auto"/>
                <w:bottom w:val="none" w:sz="0" w:space="0" w:color="auto"/>
                <w:right w:val="none" w:sz="0" w:space="0" w:color="auto"/>
              </w:divBdr>
            </w:div>
            <w:div w:id="1316299286">
              <w:marLeft w:val="0"/>
              <w:marRight w:val="0"/>
              <w:marTop w:val="0"/>
              <w:marBottom w:val="0"/>
              <w:divBdr>
                <w:top w:val="none" w:sz="0" w:space="0" w:color="auto"/>
                <w:left w:val="none" w:sz="0" w:space="0" w:color="auto"/>
                <w:bottom w:val="none" w:sz="0" w:space="0" w:color="auto"/>
                <w:right w:val="none" w:sz="0" w:space="0" w:color="auto"/>
              </w:divBdr>
            </w:div>
            <w:div w:id="11958225">
              <w:marLeft w:val="0"/>
              <w:marRight w:val="0"/>
              <w:marTop w:val="0"/>
              <w:marBottom w:val="0"/>
              <w:divBdr>
                <w:top w:val="none" w:sz="0" w:space="0" w:color="auto"/>
                <w:left w:val="none" w:sz="0" w:space="0" w:color="auto"/>
                <w:bottom w:val="none" w:sz="0" w:space="0" w:color="auto"/>
                <w:right w:val="none" w:sz="0" w:space="0" w:color="auto"/>
              </w:divBdr>
            </w:div>
            <w:div w:id="668561107">
              <w:marLeft w:val="0"/>
              <w:marRight w:val="0"/>
              <w:marTop w:val="0"/>
              <w:marBottom w:val="0"/>
              <w:divBdr>
                <w:top w:val="none" w:sz="0" w:space="0" w:color="auto"/>
                <w:left w:val="none" w:sz="0" w:space="0" w:color="auto"/>
                <w:bottom w:val="none" w:sz="0" w:space="0" w:color="auto"/>
                <w:right w:val="none" w:sz="0" w:space="0" w:color="auto"/>
              </w:divBdr>
            </w:div>
            <w:div w:id="392780485">
              <w:marLeft w:val="0"/>
              <w:marRight w:val="0"/>
              <w:marTop w:val="0"/>
              <w:marBottom w:val="0"/>
              <w:divBdr>
                <w:top w:val="none" w:sz="0" w:space="0" w:color="auto"/>
                <w:left w:val="none" w:sz="0" w:space="0" w:color="auto"/>
                <w:bottom w:val="none" w:sz="0" w:space="0" w:color="auto"/>
                <w:right w:val="none" w:sz="0" w:space="0" w:color="auto"/>
              </w:divBdr>
            </w:div>
            <w:div w:id="1820608174">
              <w:marLeft w:val="0"/>
              <w:marRight w:val="0"/>
              <w:marTop w:val="0"/>
              <w:marBottom w:val="0"/>
              <w:divBdr>
                <w:top w:val="none" w:sz="0" w:space="0" w:color="auto"/>
                <w:left w:val="none" w:sz="0" w:space="0" w:color="auto"/>
                <w:bottom w:val="none" w:sz="0" w:space="0" w:color="auto"/>
                <w:right w:val="none" w:sz="0" w:space="0" w:color="auto"/>
              </w:divBdr>
            </w:div>
          </w:divsChild>
        </w:div>
        <w:div w:id="1391534800">
          <w:marLeft w:val="0"/>
          <w:marRight w:val="0"/>
          <w:marTop w:val="0"/>
          <w:marBottom w:val="0"/>
          <w:divBdr>
            <w:top w:val="none" w:sz="0" w:space="0" w:color="auto"/>
            <w:left w:val="none" w:sz="0" w:space="0" w:color="auto"/>
            <w:bottom w:val="none" w:sz="0" w:space="0" w:color="auto"/>
            <w:right w:val="none" w:sz="0" w:space="0" w:color="auto"/>
          </w:divBdr>
        </w:div>
        <w:div w:id="391195558">
          <w:marLeft w:val="0"/>
          <w:marRight w:val="0"/>
          <w:marTop w:val="0"/>
          <w:marBottom w:val="0"/>
          <w:divBdr>
            <w:top w:val="none" w:sz="0" w:space="0" w:color="auto"/>
            <w:left w:val="none" w:sz="0" w:space="0" w:color="auto"/>
            <w:bottom w:val="none" w:sz="0" w:space="0" w:color="auto"/>
            <w:right w:val="none" w:sz="0" w:space="0" w:color="auto"/>
          </w:divBdr>
        </w:div>
        <w:div w:id="628241904">
          <w:marLeft w:val="0"/>
          <w:marRight w:val="0"/>
          <w:marTop w:val="0"/>
          <w:marBottom w:val="0"/>
          <w:divBdr>
            <w:top w:val="none" w:sz="0" w:space="0" w:color="auto"/>
            <w:left w:val="none" w:sz="0" w:space="0" w:color="auto"/>
            <w:bottom w:val="none" w:sz="0" w:space="0" w:color="auto"/>
            <w:right w:val="none" w:sz="0" w:space="0" w:color="auto"/>
          </w:divBdr>
        </w:div>
        <w:div w:id="1374619664">
          <w:marLeft w:val="0"/>
          <w:marRight w:val="0"/>
          <w:marTop w:val="0"/>
          <w:marBottom w:val="0"/>
          <w:divBdr>
            <w:top w:val="none" w:sz="0" w:space="0" w:color="auto"/>
            <w:left w:val="none" w:sz="0" w:space="0" w:color="auto"/>
            <w:bottom w:val="none" w:sz="0" w:space="0" w:color="auto"/>
            <w:right w:val="none" w:sz="0" w:space="0" w:color="auto"/>
          </w:divBdr>
        </w:div>
        <w:div w:id="1178352755">
          <w:marLeft w:val="0"/>
          <w:marRight w:val="0"/>
          <w:marTop w:val="0"/>
          <w:marBottom w:val="0"/>
          <w:divBdr>
            <w:top w:val="none" w:sz="0" w:space="0" w:color="auto"/>
            <w:left w:val="none" w:sz="0" w:space="0" w:color="auto"/>
            <w:bottom w:val="none" w:sz="0" w:space="0" w:color="auto"/>
            <w:right w:val="none" w:sz="0" w:space="0" w:color="auto"/>
          </w:divBdr>
        </w:div>
        <w:div w:id="600258069">
          <w:marLeft w:val="0"/>
          <w:marRight w:val="0"/>
          <w:marTop w:val="0"/>
          <w:marBottom w:val="0"/>
          <w:divBdr>
            <w:top w:val="none" w:sz="0" w:space="0" w:color="auto"/>
            <w:left w:val="none" w:sz="0" w:space="0" w:color="auto"/>
            <w:bottom w:val="none" w:sz="0" w:space="0" w:color="auto"/>
            <w:right w:val="none" w:sz="0" w:space="0" w:color="auto"/>
          </w:divBdr>
        </w:div>
        <w:div w:id="1603150386">
          <w:marLeft w:val="0"/>
          <w:marRight w:val="0"/>
          <w:marTop w:val="0"/>
          <w:marBottom w:val="0"/>
          <w:divBdr>
            <w:top w:val="none" w:sz="0" w:space="0" w:color="auto"/>
            <w:left w:val="none" w:sz="0" w:space="0" w:color="auto"/>
            <w:bottom w:val="none" w:sz="0" w:space="0" w:color="auto"/>
            <w:right w:val="none" w:sz="0" w:space="0" w:color="auto"/>
          </w:divBdr>
        </w:div>
      </w:divsChild>
    </w:div>
    <w:div w:id="1722443409">
      <w:bodyDiv w:val="1"/>
      <w:marLeft w:val="0"/>
      <w:marRight w:val="0"/>
      <w:marTop w:val="0"/>
      <w:marBottom w:val="0"/>
      <w:divBdr>
        <w:top w:val="none" w:sz="0" w:space="0" w:color="auto"/>
        <w:left w:val="none" w:sz="0" w:space="0" w:color="auto"/>
        <w:bottom w:val="none" w:sz="0" w:space="0" w:color="auto"/>
        <w:right w:val="none" w:sz="0" w:space="0" w:color="auto"/>
      </w:divBdr>
      <w:divsChild>
        <w:div w:id="1164860810">
          <w:marLeft w:val="0"/>
          <w:marRight w:val="0"/>
          <w:marTop w:val="0"/>
          <w:marBottom w:val="0"/>
          <w:divBdr>
            <w:top w:val="none" w:sz="0" w:space="0" w:color="auto"/>
            <w:left w:val="none" w:sz="0" w:space="0" w:color="auto"/>
            <w:bottom w:val="none" w:sz="0" w:space="0" w:color="auto"/>
            <w:right w:val="none" w:sz="0" w:space="0" w:color="auto"/>
          </w:divBdr>
          <w:divsChild>
            <w:div w:id="496843388">
              <w:marLeft w:val="0"/>
              <w:marRight w:val="0"/>
              <w:marTop w:val="0"/>
              <w:marBottom w:val="0"/>
              <w:divBdr>
                <w:top w:val="none" w:sz="0" w:space="0" w:color="auto"/>
                <w:left w:val="none" w:sz="0" w:space="0" w:color="auto"/>
                <w:bottom w:val="none" w:sz="0" w:space="0" w:color="auto"/>
                <w:right w:val="none" w:sz="0" w:space="0" w:color="auto"/>
              </w:divBdr>
            </w:div>
            <w:div w:id="759642973">
              <w:marLeft w:val="0"/>
              <w:marRight w:val="0"/>
              <w:marTop w:val="0"/>
              <w:marBottom w:val="0"/>
              <w:divBdr>
                <w:top w:val="none" w:sz="0" w:space="0" w:color="auto"/>
                <w:left w:val="none" w:sz="0" w:space="0" w:color="auto"/>
                <w:bottom w:val="none" w:sz="0" w:space="0" w:color="auto"/>
                <w:right w:val="none" w:sz="0" w:space="0" w:color="auto"/>
              </w:divBdr>
            </w:div>
            <w:div w:id="1110855644">
              <w:marLeft w:val="0"/>
              <w:marRight w:val="0"/>
              <w:marTop w:val="0"/>
              <w:marBottom w:val="0"/>
              <w:divBdr>
                <w:top w:val="none" w:sz="0" w:space="0" w:color="auto"/>
                <w:left w:val="none" w:sz="0" w:space="0" w:color="auto"/>
                <w:bottom w:val="none" w:sz="0" w:space="0" w:color="auto"/>
                <w:right w:val="none" w:sz="0" w:space="0" w:color="auto"/>
              </w:divBdr>
            </w:div>
            <w:div w:id="1184368921">
              <w:marLeft w:val="0"/>
              <w:marRight w:val="0"/>
              <w:marTop w:val="0"/>
              <w:marBottom w:val="0"/>
              <w:divBdr>
                <w:top w:val="none" w:sz="0" w:space="0" w:color="auto"/>
                <w:left w:val="none" w:sz="0" w:space="0" w:color="auto"/>
                <w:bottom w:val="none" w:sz="0" w:space="0" w:color="auto"/>
                <w:right w:val="none" w:sz="0" w:space="0" w:color="auto"/>
              </w:divBdr>
            </w:div>
            <w:div w:id="1193231877">
              <w:marLeft w:val="0"/>
              <w:marRight w:val="0"/>
              <w:marTop w:val="0"/>
              <w:marBottom w:val="0"/>
              <w:divBdr>
                <w:top w:val="none" w:sz="0" w:space="0" w:color="auto"/>
                <w:left w:val="none" w:sz="0" w:space="0" w:color="auto"/>
                <w:bottom w:val="none" w:sz="0" w:space="0" w:color="auto"/>
                <w:right w:val="none" w:sz="0" w:space="0" w:color="auto"/>
              </w:divBdr>
            </w:div>
          </w:divsChild>
        </w:div>
        <w:div w:id="1288971453">
          <w:marLeft w:val="0"/>
          <w:marRight w:val="0"/>
          <w:marTop w:val="0"/>
          <w:marBottom w:val="0"/>
          <w:divBdr>
            <w:top w:val="none" w:sz="0" w:space="0" w:color="auto"/>
            <w:left w:val="none" w:sz="0" w:space="0" w:color="auto"/>
            <w:bottom w:val="none" w:sz="0" w:space="0" w:color="auto"/>
            <w:right w:val="none" w:sz="0" w:space="0" w:color="auto"/>
          </w:divBdr>
        </w:div>
        <w:div w:id="1408917833">
          <w:marLeft w:val="0"/>
          <w:marRight w:val="0"/>
          <w:marTop w:val="0"/>
          <w:marBottom w:val="0"/>
          <w:divBdr>
            <w:top w:val="none" w:sz="0" w:space="0" w:color="auto"/>
            <w:left w:val="none" w:sz="0" w:space="0" w:color="auto"/>
            <w:bottom w:val="none" w:sz="0" w:space="0" w:color="auto"/>
            <w:right w:val="none" w:sz="0" w:space="0" w:color="auto"/>
          </w:divBdr>
          <w:divsChild>
            <w:div w:id="494104650">
              <w:marLeft w:val="0"/>
              <w:marRight w:val="0"/>
              <w:marTop w:val="0"/>
              <w:marBottom w:val="0"/>
              <w:divBdr>
                <w:top w:val="none" w:sz="0" w:space="0" w:color="auto"/>
                <w:left w:val="none" w:sz="0" w:space="0" w:color="auto"/>
                <w:bottom w:val="none" w:sz="0" w:space="0" w:color="auto"/>
                <w:right w:val="none" w:sz="0" w:space="0" w:color="auto"/>
              </w:divBdr>
            </w:div>
            <w:div w:id="536284832">
              <w:marLeft w:val="0"/>
              <w:marRight w:val="0"/>
              <w:marTop w:val="0"/>
              <w:marBottom w:val="0"/>
              <w:divBdr>
                <w:top w:val="none" w:sz="0" w:space="0" w:color="auto"/>
                <w:left w:val="none" w:sz="0" w:space="0" w:color="auto"/>
                <w:bottom w:val="none" w:sz="0" w:space="0" w:color="auto"/>
                <w:right w:val="none" w:sz="0" w:space="0" w:color="auto"/>
              </w:divBdr>
            </w:div>
            <w:div w:id="2138405121">
              <w:marLeft w:val="0"/>
              <w:marRight w:val="0"/>
              <w:marTop w:val="0"/>
              <w:marBottom w:val="0"/>
              <w:divBdr>
                <w:top w:val="none" w:sz="0" w:space="0" w:color="auto"/>
                <w:left w:val="none" w:sz="0" w:space="0" w:color="auto"/>
                <w:bottom w:val="none" w:sz="0" w:space="0" w:color="auto"/>
                <w:right w:val="none" w:sz="0" w:space="0" w:color="auto"/>
              </w:divBdr>
            </w:div>
          </w:divsChild>
        </w:div>
        <w:div w:id="1421484516">
          <w:marLeft w:val="0"/>
          <w:marRight w:val="0"/>
          <w:marTop w:val="0"/>
          <w:marBottom w:val="0"/>
          <w:divBdr>
            <w:top w:val="none" w:sz="0" w:space="0" w:color="auto"/>
            <w:left w:val="none" w:sz="0" w:space="0" w:color="auto"/>
            <w:bottom w:val="none" w:sz="0" w:space="0" w:color="auto"/>
            <w:right w:val="none" w:sz="0" w:space="0" w:color="auto"/>
          </w:divBdr>
        </w:div>
        <w:div w:id="1705910493">
          <w:marLeft w:val="0"/>
          <w:marRight w:val="0"/>
          <w:marTop w:val="0"/>
          <w:marBottom w:val="0"/>
          <w:divBdr>
            <w:top w:val="none" w:sz="0" w:space="0" w:color="auto"/>
            <w:left w:val="none" w:sz="0" w:space="0" w:color="auto"/>
            <w:bottom w:val="none" w:sz="0" w:space="0" w:color="auto"/>
            <w:right w:val="none" w:sz="0" w:space="0" w:color="auto"/>
          </w:divBdr>
          <w:divsChild>
            <w:div w:id="263734670">
              <w:marLeft w:val="0"/>
              <w:marRight w:val="0"/>
              <w:marTop w:val="0"/>
              <w:marBottom w:val="0"/>
              <w:divBdr>
                <w:top w:val="none" w:sz="0" w:space="0" w:color="auto"/>
                <w:left w:val="none" w:sz="0" w:space="0" w:color="auto"/>
                <w:bottom w:val="none" w:sz="0" w:space="0" w:color="auto"/>
                <w:right w:val="none" w:sz="0" w:space="0" w:color="auto"/>
              </w:divBdr>
            </w:div>
            <w:div w:id="356152911">
              <w:marLeft w:val="0"/>
              <w:marRight w:val="0"/>
              <w:marTop w:val="0"/>
              <w:marBottom w:val="0"/>
              <w:divBdr>
                <w:top w:val="none" w:sz="0" w:space="0" w:color="auto"/>
                <w:left w:val="none" w:sz="0" w:space="0" w:color="auto"/>
                <w:bottom w:val="none" w:sz="0" w:space="0" w:color="auto"/>
                <w:right w:val="none" w:sz="0" w:space="0" w:color="auto"/>
              </w:divBdr>
            </w:div>
            <w:div w:id="186713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728637">
      <w:bodyDiv w:val="1"/>
      <w:marLeft w:val="0"/>
      <w:marRight w:val="0"/>
      <w:marTop w:val="0"/>
      <w:marBottom w:val="0"/>
      <w:divBdr>
        <w:top w:val="none" w:sz="0" w:space="0" w:color="auto"/>
        <w:left w:val="none" w:sz="0" w:space="0" w:color="auto"/>
        <w:bottom w:val="none" w:sz="0" w:space="0" w:color="auto"/>
        <w:right w:val="none" w:sz="0" w:space="0" w:color="auto"/>
      </w:divBdr>
      <w:divsChild>
        <w:div w:id="433132268">
          <w:marLeft w:val="0"/>
          <w:marRight w:val="0"/>
          <w:marTop w:val="0"/>
          <w:marBottom w:val="0"/>
          <w:divBdr>
            <w:top w:val="none" w:sz="0" w:space="0" w:color="auto"/>
            <w:left w:val="none" w:sz="0" w:space="0" w:color="auto"/>
            <w:bottom w:val="none" w:sz="0" w:space="0" w:color="auto"/>
            <w:right w:val="none" w:sz="0" w:space="0" w:color="auto"/>
          </w:divBdr>
        </w:div>
        <w:div w:id="600070612">
          <w:marLeft w:val="0"/>
          <w:marRight w:val="0"/>
          <w:marTop w:val="0"/>
          <w:marBottom w:val="0"/>
          <w:divBdr>
            <w:top w:val="none" w:sz="0" w:space="0" w:color="auto"/>
            <w:left w:val="none" w:sz="0" w:space="0" w:color="auto"/>
            <w:bottom w:val="none" w:sz="0" w:space="0" w:color="auto"/>
            <w:right w:val="none" w:sz="0" w:space="0" w:color="auto"/>
          </w:divBdr>
        </w:div>
        <w:div w:id="1642079583">
          <w:marLeft w:val="0"/>
          <w:marRight w:val="0"/>
          <w:marTop w:val="0"/>
          <w:marBottom w:val="0"/>
          <w:divBdr>
            <w:top w:val="none" w:sz="0" w:space="0" w:color="auto"/>
            <w:left w:val="none" w:sz="0" w:space="0" w:color="auto"/>
            <w:bottom w:val="none" w:sz="0" w:space="0" w:color="auto"/>
            <w:right w:val="none" w:sz="0" w:space="0" w:color="auto"/>
          </w:divBdr>
        </w:div>
      </w:divsChild>
    </w:div>
    <w:div w:id="1731925603">
      <w:bodyDiv w:val="1"/>
      <w:marLeft w:val="0"/>
      <w:marRight w:val="0"/>
      <w:marTop w:val="0"/>
      <w:marBottom w:val="0"/>
      <w:divBdr>
        <w:top w:val="none" w:sz="0" w:space="0" w:color="auto"/>
        <w:left w:val="none" w:sz="0" w:space="0" w:color="auto"/>
        <w:bottom w:val="none" w:sz="0" w:space="0" w:color="auto"/>
        <w:right w:val="none" w:sz="0" w:space="0" w:color="auto"/>
      </w:divBdr>
      <w:divsChild>
        <w:div w:id="1213809293">
          <w:marLeft w:val="0"/>
          <w:marRight w:val="0"/>
          <w:marTop w:val="0"/>
          <w:marBottom w:val="0"/>
          <w:divBdr>
            <w:top w:val="none" w:sz="0" w:space="0" w:color="auto"/>
            <w:left w:val="none" w:sz="0" w:space="0" w:color="auto"/>
            <w:bottom w:val="none" w:sz="0" w:space="0" w:color="auto"/>
            <w:right w:val="none" w:sz="0" w:space="0" w:color="auto"/>
          </w:divBdr>
        </w:div>
        <w:div w:id="1061487334">
          <w:marLeft w:val="0"/>
          <w:marRight w:val="0"/>
          <w:marTop w:val="0"/>
          <w:marBottom w:val="0"/>
          <w:divBdr>
            <w:top w:val="none" w:sz="0" w:space="0" w:color="auto"/>
            <w:left w:val="none" w:sz="0" w:space="0" w:color="auto"/>
            <w:bottom w:val="none" w:sz="0" w:space="0" w:color="auto"/>
            <w:right w:val="none" w:sz="0" w:space="0" w:color="auto"/>
          </w:divBdr>
        </w:div>
        <w:div w:id="938294229">
          <w:marLeft w:val="0"/>
          <w:marRight w:val="0"/>
          <w:marTop w:val="0"/>
          <w:marBottom w:val="0"/>
          <w:divBdr>
            <w:top w:val="none" w:sz="0" w:space="0" w:color="auto"/>
            <w:left w:val="none" w:sz="0" w:space="0" w:color="auto"/>
            <w:bottom w:val="none" w:sz="0" w:space="0" w:color="auto"/>
            <w:right w:val="none" w:sz="0" w:space="0" w:color="auto"/>
          </w:divBdr>
        </w:div>
        <w:div w:id="2061175154">
          <w:marLeft w:val="0"/>
          <w:marRight w:val="0"/>
          <w:marTop w:val="0"/>
          <w:marBottom w:val="0"/>
          <w:divBdr>
            <w:top w:val="none" w:sz="0" w:space="0" w:color="auto"/>
            <w:left w:val="none" w:sz="0" w:space="0" w:color="auto"/>
            <w:bottom w:val="none" w:sz="0" w:space="0" w:color="auto"/>
            <w:right w:val="none" w:sz="0" w:space="0" w:color="auto"/>
          </w:divBdr>
        </w:div>
        <w:div w:id="231163298">
          <w:marLeft w:val="0"/>
          <w:marRight w:val="0"/>
          <w:marTop w:val="0"/>
          <w:marBottom w:val="0"/>
          <w:divBdr>
            <w:top w:val="none" w:sz="0" w:space="0" w:color="auto"/>
            <w:left w:val="none" w:sz="0" w:space="0" w:color="auto"/>
            <w:bottom w:val="none" w:sz="0" w:space="0" w:color="auto"/>
            <w:right w:val="none" w:sz="0" w:space="0" w:color="auto"/>
          </w:divBdr>
          <w:divsChild>
            <w:div w:id="1866744126">
              <w:marLeft w:val="0"/>
              <w:marRight w:val="0"/>
              <w:marTop w:val="0"/>
              <w:marBottom w:val="0"/>
              <w:divBdr>
                <w:top w:val="none" w:sz="0" w:space="0" w:color="auto"/>
                <w:left w:val="none" w:sz="0" w:space="0" w:color="auto"/>
                <w:bottom w:val="none" w:sz="0" w:space="0" w:color="auto"/>
                <w:right w:val="none" w:sz="0" w:space="0" w:color="auto"/>
              </w:divBdr>
            </w:div>
            <w:div w:id="2007706753">
              <w:marLeft w:val="0"/>
              <w:marRight w:val="0"/>
              <w:marTop w:val="0"/>
              <w:marBottom w:val="0"/>
              <w:divBdr>
                <w:top w:val="none" w:sz="0" w:space="0" w:color="auto"/>
                <w:left w:val="none" w:sz="0" w:space="0" w:color="auto"/>
                <w:bottom w:val="none" w:sz="0" w:space="0" w:color="auto"/>
                <w:right w:val="none" w:sz="0" w:space="0" w:color="auto"/>
              </w:divBdr>
            </w:div>
            <w:div w:id="1163009716">
              <w:marLeft w:val="0"/>
              <w:marRight w:val="0"/>
              <w:marTop w:val="0"/>
              <w:marBottom w:val="0"/>
              <w:divBdr>
                <w:top w:val="none" w:sz="0" w:space="0" w:color="auto"/>
                <w:left w:val="none" w:sz="0" w:space="0" w:color="auto"/>
                <w:bottom w:val="none" w:sz="0" w:space="0" w:color="auto"/>
                <w:right w:val="none" w:sz="0" w:space="0" w:color="auto"/>
              </w:divBdr>
            </w:div>
            <w:div w:id="188377910">
              <w:marLeft w:val="0"/>
              <w:marRight w:val="0"/>
              <w:marTop w:val="0"/>
              <w:marBottom w:val="0"/>
              <w:divBdr>
                <w:top w:val="none" w:sz="0" w:space="0" w:color="auto"/>
                <w:left w:val="none" w:sz="0" w:space="0" w:color="auto"/>
                <w:bottom w:val="none" w:sz="0" w:space="0" w:color="auto"/>
                <w:right w:val="none" w:sz="0" w:space="0" w:color="auto"/>
              </w:divBdr>
            </w:div>
            <w:div w:id="399522736">
              <w:marLeft w:val="0"/>
              <w:marRight w:val="0"/>
              <w:marTop w:val="0"/>
              <w:marBottom w:val="0"/>
              <w:divBdr>
                <w:top w:val="none" w:sz="0" w:space="0" w:color="auto"/>
                <w:left w:val="none" w:sz="0" w:space="0" w:color="auto"/>
                <w:bottom w:val="none" w:sz="0" w:space="0" w:color="auto"/>
                <w:right w:val="none" w:sz="0" w:space="0" w:color="auto"/>
              </w:divBdr>
            </w:div>
            <w:div w:id="1708293910">
              <w:marLeft w:val="0"/>
              <w:marRight w:val="0"/>
              <w:marTop w:val="0"/>
              <w:marBottom w:val="0"/>
              <w:divBdr>
                <w:top w:val="none" w:sz="0" w:space="0" w:color="auto"/>
                <w:left w:val="none" w:sz="0" w:space="0" w:color="auto"/>
                <w:bottom w:val="none" w:sz="0" w:space="0" w:color="auto"/>
                <w:right w:val="none" w:sz="0" w:space="0" w:color="auto"/>
              </w:divBdr>
            </w:div>
            <w:div w:id="800271911">
              <w:marLeft w:val="0"/>
              <w:marRight w:val="0"/>
              <w:marTop w:val="0"/>
              <w:marBottom w:val="0"/>
              <w:divBdr>
                <w:top w:val="none" w:sz="0" w:space="0" w:color="auto"/>
                <w:left w:val="none" w:sz="0" w:space="0" w:color="auto"/>
                <w:bottom w:val="none" w:sz="0" w:space="0" w:color="auto"/>
                <w:right w:val="none" w:sz="0" w:space="0" w:color="auto"/>
              </w:divBdr>
            </w:div>
            <w:div w:id="1409309960">
              <w:marLeft w:val="0"/>
              <w:marRight w:val="0"/>
              <w:marTop w:val="0"/>
              <w:marBottom w:val="0"/>
              <w:divBdr>
                <w:top w:val="none" w:sz="0" w:space="0" w:color="auto"/>
                <w:left w:val="none" w:sz="0" w:space="0" w:color="auto"/>
                <w:bottom w:val="none" w:sz="0" w:space="0" w:color="auto"/>
                <w:right w:val="none" w:sz="0" w:space="0" w:color="auto"/>
              </w:divBdr>
            </w:div>
            <w:div w:id="428352364">
              <w:marLeft w:val="0"/>
              <w:marRight w:val="0"/>
              <w:marTop w:val="0"/>
              <w:marBottom w:val="0"/>
              <w:divBdr>
                <w:top w:val="none" w:sz="0" w:space="0" w:color="auto"/>
                <w:left w:val="none" w:sz="0" w:space="0" w:color="auto"/>
                <w:bottom w:val="none" w:sz="0" w:space="0" w:color="auto"/>
                <w:right w:val="none" w:sz="0" w:space="0" w:color="auto"/>
              </w:divBdr>
            </w:div>
            <w:div w:id="2018271013">
              <w:marLeft w:val="0"/>
              <w:marRight w:val="0"/>
              <w:marTop w:val="0"/>
              <w:marBottom w:val="0"/>
              <w:divBdr>
                <w:top w:val="none" w:sz="0" w:space="0" w:color="auto"/>
                <w:left w:val="none" w:sz="0" w:space="0" w:color="auto"/>
                <w:bottom w:val="none" w:sz="0" w:space="0" w:color="auto"/>
                <w:right w:val="none" w:sz="0" w:space="0" w:color="auto"/>
              </w:divBdr>
            </w:div>
            <w:div w:id="617034318">
              <w:marLeft w:val="0"/>
              <w:marRight w:val="0"/>
              <w:marTop w:val="0"/>
              <w:marBottom w:val="0"/>
              <w:divBdr>
                <w:top w:val="none" w:sz="0" w:space="0" w:color="auto"/>
                <w:left w:val="none" w:sz="0" w:space="0" w:color="auto"/>
                <w:bottom w:val="none" w:sz="0" w:space="0" w:color="auto"/>
                <w:right w:val="none" w:sz="0" w:space="0" w:color="auto"/>
              </w:divBdr>
            </w:div>
            <w:div w:id="342973832">
              <w:marLeft w:val="0"/>
              <w:marRight w:val="0"/>
              <w:marTop w:val="0"/>
              <w:marBottom w:val="0"/>
              <w:divBdr>
                <w:top w:val="none" w:sz="0" w:space="0" w:color="auto"/>
                <w:left w:val="none" w:sz="0" w:space="0" w:color="auto"/>
                <w:bottom w:val="none" w:sz="0" w:space="0" w:color="auto"/>
                <w:right w:val="none" w:sz="0" w:space="0" w:color="auto"/>
              </w:divBdr>
            </w:div>
            <w:div w:id="800196416">
              <w:marLeft w:val="0"/>
              <w:marRight w:val="0"/>
              <w:marTop w:val="0"/>
              <w:marBottom w:val="0"/>
              <w:divBdr>
                <w:top w:val="none" w:sz="0" w:space="0" w:color="auto"/>
                <w:left w:val="none" w:sz="0" w:space="0" w:color="auto"/>
                <w:bottom w:val="none" w:sz="0" w:space="0" w:color="auto"/>
                <w:right w:val="none" w:sz="0" w:space="0" w:color="auto"/>
              </w:divBdr>
            </w:div>
            <w:div w:id="935286101">
              <w:marLeft w:val="0"/>
              <w:marRight w:val="0"/>
              <w:marTop w:val="0"/>
              <w:marBottom w:val="0"/>
              <w:divBdr>
                <w:top w:val="none" w:sz="0" w:space="0" w:color="auto"/>
                <w:left w:val="none" w:sz="0" w:space="0" w:color="auto"/>
                <w:bottom w:val="none" w:sz="0" w:space="0" w:color="auto"/>
                <w:right w:val="none" w:sz="0" w:space="0" w:color="auto"/>
              </w:divBdr>
            </w:div>
            <w:div w:id="1125924166">
              <w:marLeft w:val="0"/>
              <w:marRight w:val="0"/>
              <w:marTop w:val="0"/>
              <w:marBottom w:val="0"/>
              <w:divBdr>
                <w:top w:val="none" w:sz="0" w:space="0" w:color="auto"/>
                <w:left w:val="none" w:sz="0" w:space="0" w:color="auto"/>
                <w:bottom w:val="none" w:sz="0" w:space="0" w:color="auto"/>
                <w:right w:val="none" w:sz="0" w:space="0" w:color="auto"/>
              </w:divBdr>
            </w:div>
            <w:div w:id="1366905764">
              <w:marLeft w:val="0"/>
              <w:marRight w:val="0"/>
              <w:marTop w:val="0"/>
              <w:marBottom w:val="0"/>
              <w:divBdr>
                <w:top w:val="none" w:sz="0" w:space="0" w:color="auto"/>
                <w:left w:val="none" w:sz="0" w:space="0" w:color="auto"/>
                <w:bottom w:val="none" w:sz="0" w:space="0" w:color="auto"/>
                <w:right w:val="none" w:sz="0" w:space="0" w:color="auto"/>
              </w:divBdr>
            </w:div>
            <w:div w:id="1526601078">
              <w:marLeft w:val="0"/>
              <w:marRight w:val="0"/>
              <w:marTop w:val="0"/>
              <w:marBottom w:val="0"/>
              <w:divBdr>
                <w:top w:val="none" w:sz="0" w:space="0" w:color="auto"/>
                <w:left w:val="none" w:sz="0" w:space="0" w:color="auto"/>
                <w:bottom w:val="none" w:sz="0" w:space="0" w:color="auto"/>
                <w:right w:val="none" w:sz="0" w:space="0" w:color="auto"/>
              </w:divBdr>
            </w:div>
            <w:div w:id="1581793539">
              <w:marLeft w:val="0"/>
              <w:marRight w:val="0"/>
              <w:marTop w:val="0"/>
              <w:marBottom w:val="0"/>
              <w:divBdr>
                <w:top w:val="none" w:sz="0" w:space="0" w:color="auto"/>
                <w:left w:val="none" w:sz="0" w:space="0" w:color="auto"/>
                <w:bottom w:val="none" w:sz="0" w:space="0" w:color="auto"/>
                <w:right w:val="none" w:sz="0" w:space="0" w:color="auto"/>
              </w:divBdr>
            </w:div>
            <w:div w:id="667102006">
              <w:marLeft w:val="0"/>
              <w:marRight w:val="0"/>
              <w:marTop w:val="0"/>
              <w:marBottom w:val="0"/>
              <w:divBdr>
                <w:top w:val="none" w:sz="0" w:space="0" w:color="auto"/>
                <w:left w:val="none" w:sz="0" w:space="0" w:color="auto"/>
                <w:bottom w:val="none" w:sz="0" w:space="0" w:color="auto"/>
                <w:right w:val="none" w:sz="0" w:space="0" w:color="auto"/>
              </w:divBdr>
            </w:div>
            <w:div w:id="1035353763">
              <w:marLeft w:val="0"/>
              <w:marRight w:val="0"/>
              <w:marTop w:val="0"/>
              <w:marBottom w:val="0"/>
              <w:divBdr>
                <w:top w:val="none" w:sz="0" w:space="0" w:color="auto"/>
                <w:left w:val="none" w:sz="0" w:space="0" w:color="auto"/>
                <w:bottom w:val="none" w:sz="0" w:space="0" w:color="auto"/>
                <w:right w:val="none" w:sz="0" w:space="0" w:color="auto"/>
              </w:divBdr>
            </w:div>
          </w:divsChild>
        </w:div>
        <w:div w:id="2139758307">
          <w:marLeft w:val="0"/>
          <w:marRight w:val="0"/>
          <w:marTop w:val="0"/>
          <w:marBottom w:val="0"/>
          <w:divBdr>
            <w:top w:val="none" w:sz="0" w:space="0" w:color="auto"/>
            <w:left w:val="none" w:sz="0" w:space="0" w:color="auto"/>
            <w:bottom w:val="none" w:sz="0" w:space="0" w:color="auto"/>
            <w:right w:val="none" w:sz="0" w:space="0" w:color="auto"/>
          </w:divBdr>
        </w:div>
        <w:div w:id="3633973">
          <w:marLeft w:val="0"/>
          <w:marRight w:val="0"/>
          <w:marTop w:val="0"/>
          <w:marBottom w:val="0"/>
          <w:divBdr>
            <w:top w:val="none" w:sz="0" w:space="0" w:color="auto"/>
            <w:left w:val="none" w:sz="0" w:space="0" w:color="auto"/>
            <w:bottom w:val="none" w:sz="0" w:space="0" w:color="auto"/>
            <w:right w:val="none" w:sz="0" w:space="0" w:color="auto"/>
          </w:divBdr>
        </w:div>
        <w:div w:id="1629779339">
          <w:marLeft w:val="0"/>
          <w:marRight w:val="0"/>
          <w:marTop w:val="0"/>
          <w:marBottom w:val="0"/>
          <w:divBdr>
            <w:top w:val="none" w:sz="0" w:space="0" w:color="auto"/>
            <w:left w:val="none" w:sz="0" w:space="0" w:color="auto"/>
            <w:bottom w:val="none" w:sz="0" w:space="0" w:color="auto"/>
            <w:right w:val="none" w:sz="0" w:space="0" w:color="auto"/>
          </w:divBdr>
        </w:div>
        <w:div w:id="1988436394">
          <w:marLeft w:val="0"/>
          <w:marRight w:val="0"/>
          <w:marTop w:val="0"/>
          <w:marBottom w:val="0"/>
          <w:divBdr>
            <w:top w:val="none" w:sz="0" w:space="0" w:color="auto"/>
            <w:left w:val="none" w:sz="0" w:space="0" w:color="auto"/>
            <w:bottom w:val="none" w:sz="0" w:space="0" w:color="auto"/>
            <w:right w:val="none" w:sz="0" w:space="0" w:color="auto"/>
          </w:divBdr>
        </w:div>
        <w:div w:id="21320467">
          <w:marLeft w:val="0"/>
          <w:marRight w:val="0"/>
          <w:marTop w:val="0"/>
          <w:marBottom w:val="0"/>
          <w:divBdr>
            <w:top w:val="none" w:sz="0" w:space="0" w:color="auto"/>
            <w:left w:val="none" w:sz="0" w:space="0" w:color="auto"/>
            <w:bottom w:val="none" w:sz="0" w:space="0" w:color="auto"/>
            <w:right w:val="none" w:sz="0" w:space="0" w:color="auto"/>
          </w:divBdr>
        </w:div>
        <w:div w:id="644555612">
          <w:marLeft w:val="0"/>
          <w:marRight w:val="0"/>
          <w:marTop w:val="0"/>
          <w:marBottom w:val="0"/>
          <w:divBdr>
            <w:top w:val="none" w:sz="0" w:space="0" w:color="auto"/>
            <w:left w:val="none" w:sz="0" w:space="0" w:color="auto"/>
            <w:bottom w:val="none" w:sz="0" w:space="0" w:color="auto"/>
            <w:right w:val="none" w:sz="0" w:space="0" w:color="auto"/>
          </w:divBdr>
        </w:div>
        <w:div w:id="66539915">
          <w:marLeft w:val="0"/>
          <w:marRight w:val="0"/>
          <w:marTop w:val="0"/>
          <w:marBottom w:val="0"/>
          <w:divBdr>
            <w:top w:val="none" w:sz="0" w:space="0" w:color="auto"/>
            <w:left w:val="none" w:sz="0" w:space="0" w:color="auto"/>
            <w:bottom w:val="none" w:sz="0" w:space="0" w:color="auto"/>
            <w:right w:val="none" w:sz="0" w:space="0" w:color="auto"/>
          </w:divBdr>
        </w:div>
      </w:divsChild>
    </w:div>
    <w:div w:id="1749573666">
      <w:bodyDiv w:val="1"/>
      <w:marLeft w:val="0"/>
      <w:marRight w:val="0"/>
      <w:marTop w:val="0"/>
      <w:marBottom w:val="0"/>
      <w:divBdr>
        <w:top w:val="none" w:sz="0" w:space="0" w:color="auto"/>
        <w:left w:val="none" w:sz="0" w:space="0" w:color="auto"/>
        <w:bottom w:val="none" w:sz="0" w:space="0" w:color="auto"/>
        <w:right w:val="none" w:sz="0" w:space="0" w:color="auto"/>
      </w:divBdr>
      <w:divsChild>
        <w:div w:id="1790660616">
          <w:marLeft w:val="0"/>
          <w:marRight w:val="0"/>
          <w:marTop w:val="0"/>
          <w:marBottom w:val="0"/>
          <w:divBdr>
            <w:top w:val="none" w:sz="0" w:space="0" w:color="auto"/>
            <w:left w:val="none" w:sz="0" w:space="0" w:color="auto"/>
            <w:bottom w:val="none" w:sz="0" w:space="0" w:color="auto"/>
            <w:right w:val="none" w:sz="0" w:space="0" w:color="auto"/>
          </w:divBdr>
          <w:divsChild>
            <w:div w:id="755446457">
              <w:marLeft w:val="0"/>
              <w:marRight w:val="0"/>
              <w:marTop w:val="0"/>
              <w:marBottom w:val="0"/>
              <w:divBdr>
                <w:top w:val="none" w:sz="0" w:space="0" w:color="auto"/>
                <w:left w:val="none" w:sz="0" w:space="0" w:color="auto"/>
                <w:bottom w:val="none" w:sz="0" w:space="0" w:color="auto"/>
                <w:right w:val="none" w:sz="0" w:space="0" w:color="auto"/>
              </w:divBdr>
            </w:div>
            <w:div w:id="2087725352">
              <w:marLeft w:val="0"/>
              <w:marRight w:val="0"/>
              <w:marTop w:val="0"/>
              <w:marBottom w:val="0"/>
              <w:divBdr>
                <w:top w:val="none" w:sz="0" w:space="0" w:color="auto"/>
                <w:left w:val="none" w:sz="0" w:space="0" w:color="auto"/>
                <w:bottom w:val="none" w:sz="0" w:space="0" w:color="auto"/>
                <w:right w:val="none" w:sz="0" w:space="0" w:color="auto"/>
              </w:divBdr>
            </w:div>
            <w:div w:id="1781531457">
              <w:marLeft w:val="0"/>
              <w:marRight w:val="0"/>
              <w:marTop w:val="0"/>
              <w:marBottom w:val="0"/>
              <w:divBdr>
                <w:top w:val="none" w:sz="0" w:space="0" w:color="auto"/>
                <w:left w:val="none" w:sz="0" w:space="0" w:color="auto"/>
                <w:bottom w:val="none" w:sz="0" w:space="0" w:color="auto"/>
                <w:right w:val="none" w:sz="0" w:space="0" w:color="auto"/>
              </w:divBdr>
            </w:div>
            <w:div w:id="1493986500">
              <w:marLeft w:val="0"/>
              <w:marRight w:val="0"/>
              <w:marTop w:val="0"/>
              <w:marBottom w:val="0"/>
              <w:divBdr>
                <w:top w:val="none" w:sz="0" w:space="0" w:color="auto"/>
                <w:left w:val="none" w:sz="0" w:space="0" w:color="auto"/>
                <w:bottom w:val="none" w:sz="0" w:space="0" w:color="auto"/>
                <w:right w:val="none" w:sz="0" w:space="0" w:color="auto"/>
              </w:divBdr>
            </w:div>
            <w:div w:id="1199929598">
              <w:marLeft w:val="0"/>
              <w:marRight w:val="0"/>
              <w:marTop w:val="0"/>
              <w:marBottom w:val="0"/>
              <w:divBdr>
                <w:top w:val="none" w:sz="0" w:space="0" w:color="auto"/>
                <w:left w:val="none" w:sz="0" w:space="0" w:color="auto"/>
                <w:bottom w:val="none" w:sz="0" w:space="0" w:color="auto"/>
                <w:right w:val="none" w:sz="0" w:space="0" w:color="auto"/>
              </w:divBdr>
            </w:div>
            <w:div w:id="1734886500">
              <w:marLeft w:val="0"/>
              <w:marRight w:val="0"/>
              <w:marTop w:val="0"/>
              <w:marBottom w:val="0"/>
              <w:divBdr>
                <w:top w:val="none" w:sz="0" w:space="0" w:color="auto"/>
                <w:left w:val="none" w:sz="0" w:space="0" w:color="auto"/>
                <w:bottom w:val="none" w:sz="0" w:space="0" w:color="auto"/>
                <w:right w:val="none" w:sz="0" w:space="0" w:color="auto"/>
              </w:divBdr>
            </w:div>
            <w:div w:id="680931766">
              <w:marLeft w:val="0"/>
              <w:marRight w:val="0"/>
              <w:marTop w:val="0"/>
              <w:marBottom w:val="0"/>
              <w:divBdr>
                <w:top w:val="none" w:sz="0" w:space="0" w:color="auto"/>
                <w:left w:val="none" w:sz="0" w:space="0" w:color="auto"/>
                <w:bottom w:val="none" w:sz="0" w:space="0" w:color="auto"/>
                <w:right w:val="none" w:sz="0" w:space="0" w:color="auto"/>
              </w:divBdr>
            </w:div>
            <w:div w:id="1735007028">
              <w:marLeft w:val="0"/>
              <w:marRight w:val="0"/>
              <w:marTop w:val="0"/>
              <w:marBottom w:val="0"/>
              <w:divBdr>
                <w:top w:val="none" w:sz="0" w:space="0" w:color="auto"/>
                <w:left w:val="none" w:sz="0" w:space="0" w:color="auto"/>
                <w:bottom w:val="none" w:sz="0" w:space="0" w:color="auto"/>
                <w:right w:val="none" w:sz="0" w:space="0" w:color="auto"/>
              </w:divBdr>
            </w:div>
            <w:div w:id="464545177">
              <w:marLeft w:val="0"/>
              <w:marRight w:val="0"/>
              <w:marTop w:val="0"/>
              <w:marBottom w:val="0"/>
              <w:divBdr>
                <w:top w:val="none" w:sz="0" w:space="0" w:color="auto"/>
                <w:left w:val="none" w:sz="0" w:space="0" w:color="auto"/>
                <w:bottom w:val="none" w:sz="0" w:space="0" w:color="auto"/>
                <w:right w:val="none" w:sz="0" w:space="0" w:color="auto"/>
              </w:divBdr>
            </w:div>
            <w:div w:id="1002515741">
              <w:marLeft w:val="0"/>
              <w:marRight w:val="0"/>
              <w:marTop w:val="0"/>
              <w:marBottom w:val="0"/>
              <w:divBdr>
                <w:top w:val="none" w:sz="0" w:space="0" w:color="auto"/>
                <w:left w:val="none" w:sz="0" w:space="0" w:color="auto"/>
                <w:bottom w:val="none" w:sz="0" w:space="0" w:color="auto"/>
                <w:right w:val="none" w:sz="0" w:space="0" w:color="auto"/>
              </w:divBdr>
            </w:div>
            <w:div w:id="1156266860">
              <w:marLeft w:val="0"/>
              <w:marRight w:val="0"/>
              <w:marTop w:val="0"/>
              <w:marBottom w:val="0"/>
              <w:divBdr>
                <w:top w:val="none" w:sz="0" w:space="0" w:color="auto"/>
                <w:left w:val="none" w:sz="0" w:space="0" w:color="auto"/>
                <w:bottom w:val="none" w:sz="0" w:space="0" w:color="auto"/>
                <w:right w:val="none" w:sz="0" w:space="0" w:color="auto"/>
              </w:divBdr>
            </w:div>
            <w:div w:id="1446121563">
              <w:marLeft w:val="0"/>
              <w:marRight w:val="0"/>
              <w:marTop w:val="0"/>
              <w:marBottom w:val="0"/>
              <w:divBdr>
                <w:top w:val="none" w:sz="0" w:space="0" w:color="auto"/>
                <w:left w:val="none" w:sz="0" w:space="0" w:color="auto"/>
                <w:bottom w:val="none" w:sz="0" w:space="0" w:color="auto"/>
                <w:right w:val="none" w:sz="0" w:space="0" w:color="auto"/>
              </w:divBdr>
            </w:div>
            <w:div w:id="480079648">
              <w:marLeft w:val="0"/>
              <w:marRight w:val="0"/>
              <w:marTop w:val="0"/>
              <w:marBottom w:val="0"/>
              <w:divBdr>
                <w:top w:val="none" w:sz="0" w:space="0" w:color="auto"/>
                <w:left w:val="none" w:sz="0" w:space="0" w:color="auto"/>
                <w:bottom w:val="none" w:sz="0" w:space="0" w:color="auto"/>
                <w:right w:val="none" w:sz="0" w:space="0" w:color="auto"/>
              </w:divBdr>
            </w:div>
            <w:div w:id="1999840847">
              <w:marLeft w:val="0"/>
              <w:marRight w:val="0"/>
              <w:marTop w:val="0"/>
              <w:marBottom w:val="0"/>
              <w:divBdr>
                <w:top w:val="none" w:sz="0" w:space="0" w:color="auto"/>
                <w:left w:val="none" w:sz="0" w:space="0" w:color="auto"/>
                <w:bottom w:val="none" w:sz="0" w:space="0" w:color="auto"/>
                <w:right w:val="none" w:sz="0" w:space="0" w:color="auto"/>
              </w:divBdr>
            </w:div>
            <w:div w:id="1061172889">
              <w:marLeft w:val="0"/>
              <w:marRight w:val="0"/>
              <w:marTop w:val="0"/>
              <w:marBottom w:val="0"/>
              <w:divBdr>
                <w:top w:val="none" w:sz="0" w:space="0" w:color="auto"/>
                <w:left w:val="none" w:sz="0" w:space="0" w:color="auto"/>
                <w:bottom w:val="none" w:sz="0" w:space="0" w:color="auto"/>
                <w:right w:val="none" w:sz="0" w:space="0" w:color="auto"/>
              </w:divBdr>
            </w:div>
            <w:div w:id="836187944">
              <w:marLeft w:val="0"/>
              <w:marRight w:val="0"/>
              <w:marTop w:val="0"/>
              <w:marBottom w:val="0"/>
              <w:divBdr>
                <w:top w:val="none" w:sz="0" w:space="0" w:color="auto"/>
                <w:left w:val="none" w:sz="0" w:space="0" w:color="auto"/>
                <w:bottom w:val="none" w:sz="0" w:space="0" w:color="auto"/>
                <w:right w:val="none" w:sz="0" w:space="0" w:color="auto"/>
              </w:divBdr>
            </w:div>
            <w:div w:id="1685747373">
              <w:marLeft w:val="0"/>
              <w:marRight w:val="0"/>
              <w:marTop w:val="0"/>
              <w:marBottom w:val="0"/>
              <w:divBdr>
                <w:top w:val="none" w:sz="0" w:space="0" w:color="auto"/>
                <w:left w:val="none" w:sz="0" w:space="0" w:color="auto"/>
                <w:bottom w:val="none" w:sz="0" w:space="0" w:color="auto"/>
                <w:right w:val="none" w:sz="0" w:space="0" w:color="auto"/>
              </w:divBdr>
            </w:div>
            <w:div w:id="427892420">
              <w:marLeft w:val="0"/>
              <w:marRight w:val="0"/>
              <w:marTop w:val="0"/>
              <w:marBottom w:val="0"/>
              <w:divBdr>
                <w:top w:val="none" w:sz="0" w:space="0" w:color="auto"/>
                <w:left w:val="none" w:sz="0" w:space="0" w:color="auto"/>
                <w:bottom w:val="none" w:sz="0" w:space="0" w:color="auto"/>
                <w:right w:val="none" w:sz="0" w:space="0" w:color="auto"/>
              </w:divBdr>
            </w:div>
            <w:div w:id="1884319212">
              <w:marLeft w:val="0"/>
              <w:marRight w:val="0"/>
              <w:marTop w:val="0"/>
              <w:marBottom w:val="0"/>
              <w:divBdr>
                <w:top w:val="none" w:sz="0" w:space="0" w:color="auto"/>
                <w:left w:val="none" w:sz="0" w:space="0" w:color="auto"/>
                <w:bottom w:val="none" w:sz="0" w:space="0" w:color="auto"/>
                <w:right w:val="none" w:sz="0" w:space="0" w:color="auto"/>
              </w:divBdr>
            </w:div>
            <w:div w:id="488182014">
              <w:marLeft w:val="0"/>
              <w:marRight w:val="0"/>
              <w:marTop w:val="0"/>
              <w:marBottom w:val="0"/>
              <w:divBdr>
                <w:top w:val="none" w:sz="0" w:space="0" w:color="auto"/>
                <w:left w:val="none" w:sz="0" w:space="0" w:color="auto"/>
                <w:bottom w:val="none" w:sz="0" w:space="0" w:color="auto"/>
                <w:right w:val="none" w:sz="0" w:space="0" w:color="auto"/>
              </w:divBdr>
            </w:div>
          </w:divsChild>
        </w:div>
        <w:div w:id="1730231300">
          <w:marLeft w:val="0"/>
          <w:marRight w:val="0"/>
          <w:marTop w:val="0"/>
          <w:marBottom w:val="0"/>
          <w:divBdr>
            <w:top w:val="none" w:sz="0" w:space="0" w:color="auto"/>
            <w:left w:val="none" w:sz="0" w:space="0" w:color="auto"/>
            <w:bottom w:val="none" w:sz="0" w:space="0" w:color="auto"/>
            <w:right w:val="none" w:sz="0" w:space="0" w:color="auto"/>
          </w:divBdr>
        </w:div>
        <w:div w:id="196703075">
          <w:marLeft w:val="0"/>
          <w:marRight w:val="0"/>
          <w:marTop w:val="0"/>
          <w:marBottom w:val="0"/>
          <w:divBdr>
            <w:top w:val="none" w:sz="0" w:space="0" w:color="auto"/>
            <w:left w:val="none" w:sz="0" w:space="0" w:color="auto"/>
            <w:bottom w:val="none" w:sz="0" w:space="0" w:color="auto"/>
            <w:right w:val="none" w:sz="0" w:space="0" w:color="auto"/>
          </w:divBdr>
        </w:div>
        <w:div w:id="1090200646">
          <w:marLeft w:val="0"/>
          <w:marRight w:val="0"/>
          <w:marTop w:val="0"/>
          <w:marBottom w:val="0"/>
          <w:divBdr>
            <w:top w:val="none" w:sz="0" w:space="0" w:color="auto"/>
            <w:left w:val="none" w:sz="0" w:space="0" w:color="auto"/>
            <w:bottom w:val="none" w:sz="0" w:space="0" w:color="auto"/>
            <w:right w:val="none" w:sz="0" w:space="0" w:color="auto"/>
          </w:divBdr>
        </w:div>
        <w:div w:id="326177384">
          <w:marLeft w:val="0"/>
          <w:marRight w:val="0"/>
          <w:marTop w:val="0"/>
          <w:marBottom w:val="0"/>
          <w:divBdr>
            <w:top w:val="none" w:sz="0" w:space="0" w:color="auto"/>
            <w:left w:val="none" w:sz="0" w:space="0" w:color="auto"/>
            <w:bottom w:val="none" w:sz="0" w:space="0" w:color="auto"/>
            <w:right w:val="none" w:sz="0" w:space="0" w:color="auto"/>
          </w:divBdr>
        </w:div>
        <w:div w:id="581256853">
          <w:marLeft w:val="0"/>
          <w:marRight w:val="0"/>
          <w:marTop w:val="0"/>
          <w:marBottom w:val="0"/>
          <w:divBdr>
            <w:top w:val="none" w:sz="0" w:space="0" w:color="auto"/>
            <w:left w:val="none" w:sz="0" w:space="0" w:color="auto"/>
            <w:bottom w:val="none" w:sz="0" w:space="0" w:color="auto"/>
            <w:right w:val="none" w:sz="0" w:space="0" w:color="auto"/>
          </w:divBdr>
        </w:div>
      </w:divsChild>
    </w:div>
    <w:div w:id="1759248488">
      <w:bodyDiv w:val="1"/>
      <w:marLeft w:val="0"/>
      <w:marRight w:val="0"/>
      <w:marTop w:val="0"/>
      <w:marBottom w:val="0"/>
      <w:divBdr>
        <w:top w:val="none" w:sz="0" w:space="0" w:color="auto"/>
        <w:left w:val="none" w:sz="0" w:space="0" w:color="auto"/>
        <w:bottom w:val="none" w:sz="0" w:space="0" w:color="auto"/>
        <w:right w:val="none" w:sz="0" w:space="0" w:color="auto"/>
      </w:divBdr>
      <w:divsChild>
        <w:div w:id="1371222197">
          <w:marLeft w:val="0"/>
          <w:marRight w:val="0"/>
          <w:marTop w:val="0"/>
          <w:marBottom w:val="0"/>
          <w:divBdr>
            <w:top w:val="none" w:sz="0" w:space="0" w:color="auto"/>
            <w:left w:val="none" w:sz="0" w:space="0" w:color="auto"/>
            <w:bottom w:val="none" w:sz="0" w:space="0" w:color="auto"/>
            <w:right w:val="none" w:sz="0" w:space="0" w:color="auto"/>
          </w:divBdr>
        </w:div>
        <w:div w:id="545218100">
          <w:marLeft w:val="0"/>
          <w:marRight w:val="0"/>
          <w:marTop w:val="0"/>
          <w:marBottom w:val="0"/>
          <w:divBdr>
            <w:top w:val="none" w:sz="0" w:space="0" w:color="auto"/>
            <w:left w:val="none" w:sz="0" w:space="0" w:color="auto"/>
            <w:bottom w:val="none" w:sz="0" w:space="0" w:color="auto"/>
            <w:right w:val="none" w:sz="0" w:space="0" w:color="auto"/>
          </w:divBdr>
        </w:div>
        <w:div w:id="151453740">
          <w:marLeft w:val="0"/>
          <w:marRight w:val="0"/>
          <w:marTop w:val="0"/>
          <w:marBottom w:val="0"/>
          <w:divBdr>
            <w:top w:val="none" w:sz="0" w:space="0" w:color="auto"/>
            <w:left w:val="none" w:sz="0" w:space="0" w:color="auto"/>
            <w:bottom w:val="none" w:sz="0" w:space="0" w:color="auto"/>
            <w:right w:val="none" w:sz="0" w:space="0" w:color="auto"/>
          </w:divBdr>
        </w:div>
        <w:div w:id="662857074">
          <w:marLeft w:val="0"/>
          <w:marRight w:val="0"/>
          <w:marTop w:val="0"/>
          <w:marBottom w:val="0"/>
          <w:divBdr>
            <w:top w:val="none" w:sz="0" w:space="0" w:color="auto"/>
            <w:left w:val="none" w:sz="0" w:space="0" w:color="auto"/>
            <w:bottom w:val="none" w:sz="0" w:space="0" w:color="auto"/>
            <w:right w:val="none" w:sz="0" w:space="0" w:color="auto"/>
          </w:divBdr>
        </w:div>
        <w:div w:id="1971587936">
          <w:marLeft w:val="0"/>
          <w:marRight w:val="0"/>
          <w:marTop w:val="0"/>
          <w:marBottom w:val="0"/>
          <w:divBdr>
            <w:top w:val="none" w:sz="0" w:space="0" w:color="auto"/>
            <w:left w:val="none" w:sz="0" w:space="0" w:color="auto"/>
            <w:bottom w:val="none" w:sz="0" w:space="0" w:color="auto"/>
            <w:right w:val="none" w:sz="0" w:space="0" w:color="auto"/>
          </w:divBdr>
        </w:div>
        <w:div w:id="1924996371">
          <w:marLeft w:val="0"/>
          <w:marRight w:val="0"/>
          <w:marTop w:val="0"/>
          <w:marBottom w:val="0"/>
          <w:divBdr>
            <w:top w:val="none" w:sz="0" w:space="0" w:color="auto"/>
            <w:left w:val="none" w:sz="0" w:space="0" w:color="auto"/>
            <w:bottom w:val="none" w:sz="0" w:space="0" w:color="auto"/>
            <w:right w:val="none" w:sz="0" w:space="0" w:color="auto"/>
          </w:divBdr>
          <w:divsChild>
            <w:div w:id="1569808536">
              <w:marLeft w:val="0"/>
              <w:marRight w:val="0"/>
              <w:marTop w:val="0"/>
              <w:marBottom w:val="0"/>
              <w:divBdr>
                <w:top w:val="none" w:sz="0" w:space="0" w:color="auto"/>
                <w:left w:val="none" w:sz="0" w:space="0" w:color="auto"/>
                <w:bottom w:val="none" w:sz="0" w:space="0" w:color="auto"/>
                <w:right w:val="none" w:sz="0" w:space="0" w:color="auto"/>
              </w:divBdr>
            </w:div>
            <w:div w:id="1394815119">
              <w:marLeft w:val="0"/>
              <w:marRight w:val="0"/>
              <w:marTop w:val="0"/>
              <w:marBottom w:val="0"/>
              <w:divBdr>
                <w:top w:val="none" w:sz="0" w:space="0" w:color="auto"/>
                <w:left w:val="none" w:sz="0" w:space="0" w:color="auto"/>
                <w:bottom w:val="none" w:sz="0" w:space="0" w:color="auto"/>
                <w:right w:val="none" w:sz="0" w:space="0" w:color="auto"/>
              </w:divBdr>
            </w:div>
            <w:div w:id="1943026288">
              <w:marLeft w:val="0"/>
              <w:marRight w:val="0"/>
              <w:marTop w:val="0"/>
              <w:marBottom w:val="0"/>
              <w:divBdr>
                <w:top w:val="none" w:sz="0" w:space="0" w:color="auto"/>
                <w:left w:val="none" w:sz="0" w:space="0" w:color="auto"/>
                <w:bottom w:val="none" w:sz="0" w:space="0" w:color="auto"/>
                <w:right w:val="none" w:sz="0" w:space="0" w:color="auto"/>
              </w:divBdr>
            </w:div>
            <w:div w:id="1099836213">
              <w:marLeft w:val="0"/>
              <w:marRight w:val="0"/>
              <w:marTop w:val="0"/>
              <w:marBottom w:val="0"/>
              <w:divBdr>
                <w:top w:val="none" w:sz="0" w:space="0" w:color="auto"/>
                <w:left w:val="none" w:sz="0" w:space="0" w:color="auto"/>
                <w:bottom w:val="none" w:sz="0" w:space="0" w:color="auto"/>
                <w:right w:val="none" w:sz="0" w:space="0" w:color="auto"/>
              </w:divBdr>
            </w:div>
            <w:div w:id="49153759">
              <w:marLeft w:val="0"/>
              <w:marRight w:val="0"/>
              <w:marTop w:val="0"/>
              <w:marBottom w:val="0"/>
              <w:divBdr>
                <w:top w:val="none" w:sz="0" w:space="0" w:color="auto"/>
                <w:left w:val="none" w:sz="0" w:space="0" w:color="auto"/>
                <w:bottom w:val="none" w:sz="0" w:space="0" w:color="auto"/>
                <w:right w:val="none" w:sz="0" w:space="0" w:color="auto"/>
              </w:divBdr>
            </w:div>
            <w:div w:id="1219046898">
              <w:marLeft w:val="0"/>
              <w:marRight w:val="0"/>
              <w:marTop w:val="0"/>
              <w:marBottom w:val="0"/>
              <w:divBdr>
                <w:top w:val="none" w:sz="0" w:space="0" w:color="auto"/>
                <w:left w:val="none" w:sz="0" w:space="0" w:color="auto"/>
                <w:bottom w:val="none" w:sz="0" w:space="0" w:color="auto"/>
                <w:right w:val="none" w:sz="0" w:space="0" w:color="auto"/>
              </w:divBdr>
            </w:div>
            <w:div w:id="921723627">
              <w:marLeft w:val="0"/>
              <w:marRight w:val="0"/>
              <w:marTop w:val="0"/>
              <w:marBottom w:val="0"/>
              <w:divBdr>
                <w:top w:val="none" w:sz="0" w:space="0" w:color="auto"/>
                <w:left w:val="none" w:sz="0" w:space="0" w:color="auto"/>
                <w:bottom w:val="none" w:sz="0" w:space="0" w:color="auto"/>
                <w:right w:val="none" w:sz="0" w:space="0" w:color="auto"/>
              </w:divBdr>
            </w:div>
            <w:div w:id="1911961421">
              <w:marLeft w:val="0"/>
              <w:marRight w:val="0"/>
              <w:marTop w:val="0"/>
              <w:marBottom w:val="0"/>
              <w:divBdr>
                <w:top w:val="none" w:sz="0" w:space="0" w:color="auto"/>
                <w:left w:val="none" w:sz="0" w:space="0" w:color="auto"/>
                <w:bottom w:val="none" w:sz="0" w:space="0" w:color="auto"/>
                <w:right w:val="none" w:sz="0" w:space="0" w:color="auto"/>
              </w:divBdr>
            </w:div>
            <w:div w:id="1549103880">
              <w:marLeft w:val="0"/>
              <w:marRight w:val="0"/>
              <w:marTop w:val="0"/>
              <w:marBottom w:val="0"/>
              <w:divBdr>
                <w:top w:val="none" w:sz="0" w:space="0" w:color="auto"/>
                <w:left w:val="none" w:sz="0" w:space="0" w:color="auto"/>
                <w:bottom w:val="none" w:sz="0" w:space="0" w:color="auto"/>
                <w:right w:val="none" w:sz="0" w:space="0" w:color="auto"/>
              </w:divBdr>
            </w:div>
            <w:div w:id="590508565">
              <w:marLeft w:val="0"/>
              <w:marRight w:val="0"/>
              <w:marTop w:val="0"/>
              <w:marBottom w:val="0"/>
              <w:divBdr>
                <w:top w:val="none" w:sz="0" w:space="0" w:color="auto"/>
                <w:left w:val="none" w:sz="0" w:space="0" w:color="auto"/>
                <w:bottom w:val="none" w:sz="0" w:space="0" w:color="auto"/>
                <w:right w:val="none" w:sz="0" w:space="0" w:color="auto"/>
              </w:divBdr>
            </w:div>
            <w:div w:id="867568817">
              <w:marLeft w:val="0"/>
              <w:marRight w:val="0"/>
              <w:marTop w:val="0"/>
              <w:marBottom w:val="0"/>
              <w:divBdr>
                <w:top w:val="none" w:sz="0" w:space="0" w:color="auto"/>
                <w:left w:val="none" w:sz="0" w:space="0" w:color="auto"/>
                <w:bottom w:val="none" w:sz="0" w:space="0" w:color="auto"/>
                <w:right w:val="none" w:sz="0" w:space="0" w:color="auto"/>
              </w:divBdr>
            </w:div>
            <w:div w:id="1921988543">
              <w:marLeft w:val="0"/>
              <w:marRight w:val="0"/>
              <w:marTop w:val="0"/>
              <w:marBottom w:val="0"/>
              <w:divBdr>
                <w:top w:val="none" w:sz="0" w:space="0" w:color="auto"/>
                <w:left w:val="none" w:sz="0" w:space="0" w:color="auto"/>
                <w:bottom w:val="none" w:sz="0" w:space="0" w:color="auto"/>
                <w:right w:val="none" w:sz="0" w:space="0" w:color="auto"/>
              </w:divBdr>
            </w:div>
            <w:div w:id="1488666950">
              <w:marLeft w:val="0"/>
              <w:marRight w:val="0"/>
              <w:marTop w:val="0"/>
              <w:marBottom w:val="0"/>
              <w:divBdr>
                <w:top w:val="none" w:sz="0" w:space="0" w:color="auto"/>
                <w:left w:val="none" w:sz="0" w:space="0" w:color="auto"/>
                <w:bottom w:val="none" w:sz="0" w:space="0" w:color="auto"/>
                <w:right w:val="none" w:sz="0" w:space="0" w:color="auto"/>
              </w:divBdr>
            </w:div>
            <w:div w:id="2121483777">
              <w:marLeft w:val="0"/>
              <w:marRight w:val="0"/>
              <w:marTop w:val="0"/>
              <w:marBottom w:val="0"/>
              <w:divBdr>
                <w:top w:val="none" w:sz="0" w:space="0" w:color="auto"/>
                <w:left w:val="none" w:sz="0" w:space="0" w:color="auto"/>
                <w:bottom w:val="none" w:sz="0" w:space="0" w:color="auto"/>
                <w:right w:val="none" w:sz="0" w:space="0" w:color="auto"/>
              </w:divBdr>
            </w:div>
            <w:div w:id="638000792">
              <w:marLeft w:val="0"/>
              <w:marRight w:val="0"/>
              <w:marTop w:val="0"/>
              <w:marBottom w:val="0"/>
              <w:divBdr>
                <w:top w:val="none" w:sz="0" w:space="0" w:color="auto"/>
                <w:left w:val="none" w:sz="0" w:space="0" w:color="auto"/>
                <w:bottom w:val="none" w:sz="0" w:space="0" w:color="auto"/>
                <w:right w:val="none" w:sz="0" w:space="0" w:color="auto"/>
              </w:divBdr>
            </w:div>
            <w:div w:id="945386950">
              <w:marLeft w:val="0"/>
              <w:marRight w:val="0"/>
              <w:marTop w:val="0"/>
              <w:marBottom w:val="0"/>
              <w:divBdr>
                <w:top w:val="none" w:sz="0" w:space="0" w:color="auto"/>
                <w:left w:val="none" w:sz="0" w:space="0" w:color="auto"/>
                <w:bottom w:val="none" w:sz="0" w:space="0" w:color="auto"/>
                <w:right w:val="none" w:sz="0" w:space="0" w:color="auto"/>
              </w:divBdr>
            </w:div>
            <w:div w:id="1704750515">
              <w:marLeft w:val="0"/>
              <w:marRight w:val="0"/>
              <w:marTop w:val="0"/>
              <w:marBottom w:val="0"/>
              <w:divBdr>
                <w:top w:val="none" w:sz="0" w:space="0" w:color="auto"/>
                <w:left w:val="none" w:sz="0" w:space="0" w:color="auto"/>
                <w:bottom w:val="none" w:sz="0" w:space="0" w:color="auto"/>
                <w:right w:val="none" w:sz="0" w:space="0" w:color="auto"/>
              </w:divBdr>
            </w:div>
            <w:div w:id="1050417053">
              <w:marLeft w:val="0"/>
              <w:marRight w:val="0"/>
              <w:marTop w:val="0"/>
              <w:marBottom w:val="0"/>
              <w:divBdr>
                <w:top w:val="none" w:sz="0" w:space="0" w:color="auto"/>
                <w:left w:val="none" w:sz="0" w:space="0" w:color="auto"/>
                <w:bottom w:val="none" w:sz="0" w:space="0" w:color="auto"/>
                <w:right w:val="none" w:sz="0" w:space="0" w:color="auto"/>
              </w:divBdr>
            </w:div>
            <w:div w:id="317850238">
              <w:marLeft w:val="0"/>
              <w:marRight w:val="0"/>
              <w:marTop w:val="0"/>
              <w:marBottom w:val="0"/>
              <w:divBdr>
                <w:top w:val="none" w:sz="0" w:space="0" w:color="auto"/>
                <w:left w:val="none" w:sz="0" w:space="0" w:color="auto"/>
                <w:bottom w:val="none" w:sz="0" w:space="0" w:color="auto"/>
                <w:right w:val="none" w:sz="0" w:space="0" w:color="auto"/>
              </w:divBdr>
            </w:div>
            <w:div w:id="1594315838">
              <w:marLeft w:val="0"/>
              <w:marRight w:val="0"/>
              <w:marTop w:val="0"/>
              <w:marBottom w:val="0"/>
              <w:divBdr>
                <w:top w:val="none" w:sz="0" w:space="0" w:color="auto"/>
                <w:left w:val="none" w:sz="0" w:space="0" w:color="auto"/>
                <w:bottom w:val="none" w:sz="0" w:space="0" w:color="auto"/>
                <w:right w:val="none" w:sz="0" w:space="0" w:color="auto"/>
              </w:divBdr>
            </w:div>
          </w:divsChild>
        </w:div>
        <w:div w:id="1730882366">
          <w:marLeft w:val="0"/>
          <w:marRight w:val="0"/>
          <w:marTop w:val="0"/>
          <w:marBottom w:val="0"/>
          <w:divBdr>
            <w:top w:val="none" w:sz="0" w:space="0" w:color="auto"/>
            <w:left w:val="none" w:sz="0" w:space="0" w:color="auto"/>
            <w:bottom w:val="none" w:sz="0" w:space="0" w:color="auto"/>
            <w:right w:val="none" w:sz="0" w:space="0" w:color="auto"/>
          </w:divBdr>
        </w:div>
        <w:div w:id="24332410">
          <w:marLeft w:val="0"/>
          <w:marRight w:val="0"/>
          <w:marTop w:val="0"/>
          <w:marBottom w:val="0"/>
          <w:divBdr>
            <w:top w:val="none" w:sz="0" w:space="0" w:color="auto"/>
            <w:left w:val="none" w:sz="0" w:space="0" w:color="auto"/>
            <w:bottom w:val="none" w:sz="0" w:space="0" w:color="auto"/>
            <w:right w:val="none" w:sz="0" w:space="0" w:color="auto"/>
          </w:divBdr>
        </w:div>
        <w:div w:id="178004965">
          <w:marLeft w:val="0"/>
          <w:marRight w:val="0"/>
          <w:marTop w:val="0"/>
          <w:marBottom w:val="0"/>
          <w:divBdr>
            <w:top w:val="none" w:sz="0" w:space="0" w:color="auto"/>
            <w:left w:val="none" w:sz="0" w:space="0" w:color="auto"/>
            <w:bottom w:val="none" w:sz="0" w:space="0" w:color="auto"/>
            <w:right w:val="none" w:sz="0" w:space="0" w:color="auto"/>
          </w:divBdr>
        </w:div>
        <w:div w:id="719327935">
          <w:marLeft w:val="0"/>
          <w:marRight w:val="0"/>
          <w:marTop w:val="0"/>
          <w:marBottom w:val="0"/>
          <w:divBdr>
            <w:top w:val="none" w:sz="0" w:space="0" w:color="auto"/>
            <w:left w:val="none" w:sz="0" w:space="0" w:color="auto"/>
            <w:bottom w:val="none" w:sz="0" w:space="0" w:color="auto"/>
            <w:right w:val="none" w:sz="0" w:space="0" w:color="auto"/>
          </w:divBdr>
        </w:div>
        <w:div w:id="993028725">
          <w:marLeft w:val="0"/>
          <w:marRight w:val="0"/>
          <w:marTop w:val="0"/>
          <w:marBottom w:val="0"/>
          <w:divBdr>
            <w:top w:val="none" w:sz="0" w:space="0" w:color="auto"/>
            <w:left w:val="none" w:sz="0" w:space="0" w:color="auto"/>
            <w:bottom w:val="none" w:sz="0" w:space="0" w:color="auto"/>
            <w:right w:val="none" w:sz="0" w:space="0" w:color="auto"/>
          </w:divBdr>
        </w:div>
        <w:div w:id="1133018991">
          <w:marLeft w:val="0"/>
          <w:marRight w:val="0"/>
          <w:marTop w:val="0"/>
          <w:marBottom w:val="0"/>
          <w:divBdr>
            <w:top w:val="none" w:sz="0" w:space="0" w:color="auto"/>
            <w:left w:val="none" w:sz="0" w:space="0" w:color="auto"/>
            <w:bottom w:val="none" w:sz="0" w:space="0" w:color="auto"/>
            <w:right w:val="none" w:sz="0" w:space="0" w:color="auto"/>
          </w:divBdr>
        </w:div>
      </w:divsChild>
    </w:div>
    <w:div w:id="1767076284">
      <w:bodyDiv w:val="1"/>
      <w:marLeft w:val="0"/>
      <w:marRight w:val="0"/>
      <w:marTop w:val="0"/>
      <w:marBottom w:val="0"/>
      <w:divBdr>
        <w:top w:val="none" w:sz="0" w:space="0" w:color="auto"/>
        <w:left w:val="none" w:sz="0" w:space="0" w:color="auto"/>
        <w:bottom w:val="none" w:sz="0" w:space="0" w:color="auto"/>
        <w:right w:val="none" w:sz="0" w:space="0" w:color="auto"/>
      </w:divBdr>
      <w:divsChild>
        <w:div w:id="888759210">
          <w:marLeft w:val="0"/>
          <w:marRight w:val="0"/>
          <w:marTop w:val="0"/>
          <w:marBottom w:val="0"/>
          <w:divBdr>
            <w:top w:val="none" w:sz="0" w:space="0" w:color="auto"/>
            <w:left w:val="none" w:sz="0" w:space="0" w:color="auto"/>
            <w:bottom w:val="none" w:sz="0" w:space="0" w:color="auto"/>
            <w:right w:val="none" w:sz="0" w:space="0" w:color="auto"/>
          </w:divBdr>
        </w:div>
        <w:div w:id="67921900">
          <w:marLeft w:val="0"/>
          <w:marRight w:val="0"/>
          <w:marTop w:val="0"/>
          <w:marBottom w:val="0"/>
          <w:divBdr>
            <w:top w:val="none" w:sz="0" w:space="0" w:color="auto"/>
            <w:left w:val="none" w:sz="0" w:space="0" w:color="auto"/>
            <w:bottom w:val="none" w:sz="0" w:space="0" w:color="auto"/>
            <w:right w:val="none" w:sz="0" w:space="0" w:color="auto"/>
          </w:divBdr>
        </w:div>
        <w:div w:id="2142336020">
          <w:marLeft w:val="0"/>
          <w:marRight w:val="0"/>
          <w:marTop w:val="0"/>
          <w:marBottom w:val="0"/>
          <w:divBdr>
            <w:top w:val="none" w:sz="0" w:space="0" w:color="auto"/>
            <w:left w:val="none" w:sz="0" w:space="0" w:color="auto"/>
            <w:bottom w:val="none" w:sz="0" w:space="0" w:color="auto"/>
            <w:right w:val="none" w:sz="0" w:space="0" w:color="auto"/>
          </w:divBdr>
        </w:div>
        <w:div w:id="1579630190">
          <w:marLeft w:val="0"/>
          <w:marRight w:val="0"/>
          <w:marTop w:val="0"/>
          <w:marBottom w:val="0"/>
          <w:divBdr>
            <w:top w:val="none" w:sz="0" w:space="0" w:color="auto"/>
            <w:left w:val="none" w:sz="0" w:space="0" w:color="auto"/>
            <w:bottom w:val="none" w:sz="0" w:space="0" w:color="auto"/>
            <w:right w:val="none" w:sz="0" w:space="0" w:color="auto"/>
          </w:divBdr>
        </w:div>
        <w:div w:id="214660711">
          <w:marLeft w:val="0"/>
          <w:marRight w:val="0"/>
          <w:marTop w:val="0"/>
          <w:marBottom w:val="0"/>
          <w:divBdr>
            <w:top w:val="none" w:sz="0" w:space="0" w:color="auto"/>
            <w:left w:val="none" w:sz="0" w:space="0" w:color="auto"/>
            <w:bottom w:val="none" w:sz="0" w:space="0" w:color="auto"/>
            <w:right w:val="none" w:sz="0" w:space="0" w:color="auto"/>
          </w:divBdr>
        </w:div>
        <w:div w:id="1703819614">
          <w:marLeft w:val="0"/>
          <w:marRight w:val="0"/>
          <w:marTop w:val="0"/>
          <w:marBottom w:val="0"/>
          <w:divBdr>
            <w:top w:val="none" w:sz="0" w:space="0" w:color="auto"/>
            <w:left w:val="none" w:sz="0" w:space="0" w:color="auto"/>
            <w:bottom w:val="none" w:sz="0" w:space="0" w:color="auto"/>
            <w:right w:val="none" w:sz="0" w:space="0" w:color="auto"/>
          </w:divBdr>
          <w:divsChild>
            <w:div w:id="1883900579">
              <w:marLeft w:val="0"/>
              <w:marRight w:val="0"/>
              <w:marTop w:val="0"/>
              <w:marBottom w:val="0"/>
              <w:divBdr>
                <w:top w:val="none" w:sz="0" w:space="0" w:color="auto"/>
                <w:left w:val="none" w:sz="0" w:space="0" w:color="auto"/>
                <w:bottom w:val="none" w:sz="0" w:space="0" w:color="auto"/>
                <w:right w:val="none" w:sz="0" w:space="0" w:color="auto"/>
              </w:divBdr>
            </w:div>
            <w:div w:id="1451431319">
              <w:marLeft w:val="0"/>
              <w:marRight w:val="0"/>
              <w:marTop w:val="0"/>
              <w:marBottom w:val="0"/>
              <w:divBdr>
                <w:top w:val="none" w:sz="0" w:space="0" w:color="auto"/>
                <w:left w:val="none" w:sz="0" w:space="0" w:color="auto"/>
                <w:bottom w:val="none" w:sz="0" w:space="0" w:color="auto"/>
                <w:right w:val="none" w:sz="0" w:space="0" w:color="auto"/>
              </w:divBdr>
            </w:div>
            <w:div w:id="1838492962">
              <w:marLeft w:val="0"/>
              <w:marRight w:val="0"/>
              <w:marTop w:val="0"/>
              <w:marBottom w:val="0"/>
              <w:divBdr>
                <w:top w:val="none" w:sz="0" w:space="0" w:color="auto"/>
                <w:left w:val="none" w:sz="0" w:space="0" w:color="auto"/>
                <w:bottom w:val="none" w:sz="0" w:space="0" w:color="auto"/>
                <w:right w:val="none" w:sz="0" w:space="0" w:color="auto"/>
              </w:divBdr>
            </w:div>
            <w:div w:id="1982731591">
              <w:marLeft w:val="0"/>
              <w:marRight w:val="0"/>
              <w:marTop w:val="0"/>
              <w:marBottom w:val="0"/>
              <w:divBdr>
                <w:top w:val="none" w:sz="0" w:space="0" w:color="auto"/>
                <w:left w:val="none" w:sz="0" w:space="0" w:color="auto"/>
                <w:bottom w:val="none" w:sz="0" w:space="0" w:color="auto"/>
                <w:right w:val="none" w:sz="0" w:space="0" w:color="auto"/>
              </w:divBdr>
            </w:div>
            <w:div w:id="1319965739">
              <w:marLeft w:val="0"/>
              <w:marRight w:val="0"/>
              <w:marTop w:val="0"/>
              <w:marBottom w:val="0"/>
              <w:divBdr>
                <w:top w:val="none" w:sz="0" w:space="0" w:color="auto"/>
                <w:left w:val="none" w:sz="0" w:space="0" w:color="auto"/>
                <w:bottom w:val="none" w:sz="0" w:space="0" w:color="auto"/>
                <w:right w:val="none" w:sz="0" w:space="0" w:color="auto"/>
              </w:divBdr>
            </w:div>
            <w:div w:id="987974669">
              <w:marLeft w:val="0"/>
              <w:marRight w:val="0"/>
              <w:marTop w:val="0"/>
              <w:marBottom w:val="0"/>
              <w:divBdr>
                <w:top w:val="none" w:sz="0" w:space="0" w:color="auto"/>
                <w:left w:val="none" w:sz="0" w:space="0" w:color="auto"/>
                <w:bottom w:val="none" w:sz="0" w:space="0" w:color="auto"/>
                <w:right w:val="none" w:sz="0" w:space="0" w:color="auto"/>
              </w:divBdr>
            </w:div>
            <w:div w:id="270865240">
              <w:marLeft w:val="0"/>
              <w:marRight w:val="0"/>
              <w:marTop w:val="0"/>
              <w:marBottom w:val="0"/>
              <w:divBdr>
                <w:top w:val="none" w:sz="0" w:space="0" w:color="auto"/>
                <w:left w:val="none" w:sz="0" w:space="0" w:color="auto"/>
                <w:bottom w:val="none" w:sz="0" w:space="0" w:color="auto"/>
                <w:right w:val="none" w:sz="0" w:space="0" w:color="auto"/>
              </w:divBdr>
            </w:div>
            <w:div w:id="1473594256">
              <w:marLeft w:val="0"/>
              <w:marRight w:val="0"/>
              <w:marTop w:val="0"/>
              <w:marBottom w:val="0"/>
              <w:divBdr>
                <w:top w:val="none" w:sz="0" w:space="0" w:color="auto"/>
                <w:left w:val="none" w:sz="0" w:space="0" w:color="auto"/>
                <w:bottom w:val="none" w:sz="0" w:space="0" w:color="auto"/>
                <w:right w:val="none" w:sz="0" w:space="0" w:color="auto"/>
              </w:divBdr>
            </w:div>
            <w:div w:id="228224020">
              <w:marLeft w:val="0"/>
              <w:marRight w:val="0"/>
              <w:marTop w:val="0"/>
              <w:marBottom w:val="0"/>
              <w:divBdr>
                <w:top w:val="none" w:sz="0" w:space="0" w:color="auto"/>
                <w:left w:val="none" w:sz="0" w:space="0" w:color="auto"/>
                <w:bottom w:val="none" w:sz="0" w:space="0" w:color="auto"/>
                <w:right w:val="none" w:sz="0" w:space="0" w:color="auto"/>
              </w:divBdr>
            </w:div>
            <w:div w:id="1471289310">
              <w:marLeft w:val="0"/>
              <w:marRight w:val="0"/>
              <w:marTop w:val="0"/>
              <w:marBottom w:val="0"/>
              <w:divBdr>
                <w:top w:val="none" w:sz="0" w:space="0" w:color="auto"/>
                <w:left w:val="none" w:sz="0" w:space="0" w:color="auto"/>
                <w:bottom w:val="none" w:sz="0" w:space="0" w:color="auto"/>
                <w:right w:val="none" w:sz="0" w:space="0" w:color="auto"/>
              </w:divBdr>
            </w:div>
            <w:div w:id="1030300075">
              <w:marLeft w:val="0"/>
              <w:marRight w:val="0"/>
              <w:marTop w:val="0"/>
              <w:marBottom w:val="0"/>
              <w:divBdr>
                <w:top w:val="none" w:sz="0" w:space="0" w:color="auto"/>
                <w:left w:val="none" w:sz="0" w:space="0" w:color="auto"/>
                <w:bottom w:val="none" w:sz="0" w:space="0" w:color="auto"/>
                <w:right w:val="none" w:sz="0" w:space="0" w:color="auto"/>
              </w:divBdr>
            </w:div>
            <w:div w:id="872377279">
              <w:marLeft w:val="0"/>
              <w:marRight w:val="0"/>
              <w:marTop w:val="0"/>
              <w:marBottom w:val="0"/>
              <w:divBdr>
                <w:top w:val="none" w:sz="0" w:space="0" w:color="auto"/>
                <w:left w:val="none" w:sz="0" w:space="0" w:color="auto"/>
                <w:bottom w:val="none" w:sz="0" w:space="0" w:color="auto"/>
                <w:right w:val="none" w:sz="0" w:space="0" w:color="auto"/>
              </w:divBdr>
            </w:div>
            <w:div w:id="567958114">
              <w:marLeft w:val="0"/>
              <w:marRight w:val="0"/>
              <w:marTop w:val="0"/>
              <w:marBottom w:val="0"/>
              <w:divBdr>
                <w:top w:val="none" w:sz="0" w:space="0" w:color="auto"/>
                <w:left w:val="none" w:sz="0" w:space="0" w:color="auto"/>
                <w:bottom w:val="none" w:sz="0" w:space="0" w:color="auto"/>
                <w:right w:val="none" w:sz="0" w:space="0" w:color="auto"/>
              </w:divBdr>
            </w:div>
            <w:div w:id="2029215459">
              <w:marLeft w:val="0"/>
              <w:marRight w:val="0"/>
              <w:marTop w:val="0"/>
              <w:marBottom w:val="0"/>
              <w:divBdr>
                <w:top w:val="none" w:sz="0" w:space="0" w:color="auto"/>
                <w:left w:val="none" w:sz="0" w:space="0" w:color="auto"/>
                <w:bottom w:val="none" w:sz="0" w:space="0" w:color="auto"/>
                <w:right w:val="none" w:sz="0" w:space="0" w:color="auto"/>
              </w:divBdr>
            </w:div>
            <w:div w:id="150851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340491">
      <w:bodyDiv w:val="1"/>
      <w:marLeft w:val="0"/>
      <w:marRight w:val="0"/>
      <w:marTop w:val="0"/>
      <w:marBottom w:val="0"/>
      <w:divBdr>
        <w:top w:val="none" w:sz="0" w:space="0" w:color="auto"/>
        <w:left w:val="none" w:sz="0" w:space="0" w:color="auto"/>
        <w:bottom w:val="none" w:sz="0" w:space="0" w:color="auto"/>
        <w:right w:val="none" w:sz="0" w:space="0" w:color="auto"/>
      </w:divBdr>
      <w:divsChild>
        <w:div w:id="1505777292">
          <w:marLeft w:val="0"/>
          <w:marRight w:val="0"/>
          <w:marTop w:val="0"/>
          <w:marBottom w:val="0"/>
          <w:divBdr>
            <w:top w:val="none" w:sz="0" w:space="0" w:color="auto"/>
            <w:left w:val="none" w:sz="0" w:space="0" w:color="auto"/>
            <w:bottom w:val="none" w:sz="0" w:space="0" w:color="auto"/>
            <w:right w:val="none" w:sz="0" w:space="0" w:color="auto"/>
          </w:divBdr>
          <w:divsChild>
            <w:div w:id="1761562925">
              <w:marLeft w:val="0"/>
              <w:marRight w:val="0"/>
              <w:marTop w:val="0"/>
              <w:marBottom w:val="0"/>
              <w:divBdr>
                <w:top w:val="none" w:sz="0" w:space="0" w:color="auto"/>
                <w:left w:val="none" w:sz="0" w:space="0" w:color="auto"/>
                <w:bottom w:val="none" w:sz="0" w:space="0" w:color="auto"/>
                <w:right w:val="none" w:sz="0" w:space="0" w:color="auto"/>
              </w:divBdr>
              <w:divsChild>
                <w:div w:id="1573198519">
                  <w:marLeft w:val="0"/>
                  <w:marRight w:val="0"/>
                  <w:marTop w:val="0"/>
                  <w:marBottom w:val="0"/>
                  <w:divBdr>
                    <w:top w:val="none" w:sz="0" w:space="0" w:color="auto"/>
                    <w:left w:val="none" w:sz="0" w:space="0" w:color="auto"/>
                    <w:bottom w:val="none" w:sz="0" w:space="0" w:color="auto"/>
                    <w:right w:val="none" w:sz="0" w:space="0" w:color="auto"/>
                  </w:divBdr>
                  <w:divsChild>
                    <w:div w:id="191307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786450">
      <w:bodyDiv w:val="1"/>
      <w:marLeft w:val="0"/>
      <w:marRight w:val="0"/>
      <w:marTop w:val="0"/>
      <w:marBottom w:val="0"/>
      <w:divBdr>
        <w:top w:val="none" w:sz="0" w:space="0" w:color="auto"/>
        <w:left w:val="none" w:sz="0" w:space="0" w:color="auto"/>
        <w:bottom w:val="none" w:sz="0" w:space="0" w:color="auto"/>
        <w:right w:val="none" w:sz="0" w:space="0" w:color="auto"/>
      </w:divBdr>
      <w:divsChild>
        <w:div w:id="735905354">
          <w:marLeft w:val="0"/>
          <w:marRight w:val="0"/>
          <w:marTop w:val="0"/>
          <w:marBottom w:val="0"/>
          <w:divBdr>
            <w:top w:val="none" w:sz="0" w:space="0" w:color="auto"/>
            <w:left w:val="none" w:sz="0" w:space="0" w:color="auto"/>
            <w:bottom w:val="none" w:sz="0" w:space="0" w:color="auto"/>
            <w:right w:val="none" w:sz="0" w:space="0" w:color="auto"/>
          </w:divBdr>
          <w:divsChild>
            <w:div w:id="2130081919">
              <w:marLeft w:val="0"/>
              <w:marRight w:val="0"/>
              <w:marTop w:val="0"/>
              <w:marBottom w:val="0"/>
              <w:divBdr>
                <w:top w:val="none" w:sz="0" w:space="0" w:color="auto"/>
                <w:left w:val="none" w:sz="0" w:space="0" w:color="auto"/>
                <w:bottom w:val="none" w:sz="0" w:space="0" w:color="auto"/>
                <w:right w:val="none" w:sz="0" w:space="0" w:color="auto"/>
              </w:divBdr>
            </w:div>
            <w:div w:id="1364398314">
              <w:marLeft w:val="0"/>
              <w:marRight w:val="0"/>
              <w:marTop w:val="0"/>
              <w:marBottom w:val="0"/>
              <w:divBdr>
                <w:top w:val="none" w:sz="0" w:space="0" w:color="auto"/>
                <w:left w:val="none" w:sz="0" w:space="0" w:color="auto"/>
                <w:bottom w:val="none" w:sz="0" w:space="0" w:color="auto"/>
                <w:right w:val="none" w:sz="0" w:space="0" w:color="auto"/>
              </w:divBdr>
            </w:div>
            <w:div w:id="1621767674">
              <w:marLeft w:val="0"/>
              <w:marRight w:val="0"/>
              <w:marTop w:val="0"/>
              <w:marBottom w:val="0"/>
              <w:divBdr>
                <w:top w:val="none" w:sz="0" w:space="0" w:color="auto"/>
                <w:left w:val="none" w:sz="0" w:space="0" w:color="auto"/>
                <w:bottom w:val="none" w:sz="0" w:space="0" w:color="auto"/>
                <w:right w:val="none" w:sz="0" w:space="0" w:color="auto"/>
              </w:divBdr>
            </w:div>
            <w:div w:id="1526164571">
              <w:marLeft w:val="0"/>
              <w:marRight w:val="0"/>
              <w:marTop w:val="0"/>
              <w:marBottom w:val="0"/>
              <w:divBdr>
                <w:top w:val="none" w:sz="0" w:space="0" w:color="auto"/>
                <w:left w:val="none" w:sz="0" w:space="0" w:color="auto"/>
                <w:bottom w:val="none" w:sz="0" w:space="0" w:color="auto"/>
                <w:right w:val="none" w:sz="0" w:space="0" w:color="auto"/>
              </w:divBdr>
            </w:div>
            <w:div w:id="2038895002">
              <w:marLeft w:val="0"/>
              <w:marRight w:val="0"/>
              <w:marTop w:val="0"/>
              <w:marBottom w:val="0"/>
              <w:divBdr>
                <w:top w:val="none" w:sz="0" w:space="0" w:color="auto"/>
                <w:left w:val="none" w:sz="0" w:space="0" w:color="auto"/>
                <w:bottom w:val="none" w:sz="0" w:space="0" w:color="auto"/>
                <w:right w:val="none" w:sz="0" w:space="0" w:color="auto"/>
              </w:divBdr>
            </w:div>
            <w:div w:id="1555240625">
              <w:marLeft w:val="0"/>
              <w:marRight w:val="0"/>
              <w:marTop w:val="0"/>
              <w:marBottom w:val="0"/>
              <w:divBdr>
                <w:top w:val="none" w:sz="0" w:space="0" w:color="auto"/>
                <w:left w:val="none" w:sz="0" w:space="0" w:color="auto"/>
                <w:bottom w:val="none" w:sz="0" w:space="0" w:color="auto"/>
                <w:right w:val="none" w:sz="0" w:space="0" w:color="auto"/>
              </w:divBdr>
            </w:div>
            <w:div w:id="322245606">
              <w:marLeft w:val="0"/>
              <w:marRight w:val="0"/>
              <w:marTop w:val="0"/>
              <w:marBottom w:val="0"/>
              <w:divBdr>
                <w:top w:val="none" w:sz="0" w:space="0" w:color="auto"/>
                <w:left w:val="none" w:sz="0" w:space="0" w:color="auto"/>
                <w:bottom w:val="none" w:sz="0" w:space="0" w:color="auto"/>
                <w:right w:val="none" w:sz="0" w:space="0" w:color="auto"/>
              </w:divBdr>
            </w:div>
            <w:div w:id="554782153">
              <w:marLeft w:val="0"/>
              <w:marRight w:val="0"/>
              <w:marTop w:val="0"/>
              <w:marBottom w:val="0"/>
              <w:divBdr>
                <w:top w:val="none" w:sz="0" w:space="0" w:color="auto"/>
                <w:left w:val="none" w:sz="0" w:space="0" w:color="auto"/>
                <w:bottom w:val="none" w:sz="0" w:space="0" w:color="auto"/>
                <w:right w:val="none" w:sz="0" w:space="0" w:color="auto"/>
              </w:divBdr>
            </w:div>
          </w:divsChild>
        </w:div>
        <w:div w:id="1939291416">
          <w:marLeft w:val="0"/>
          <w:marRight w:val="0"/>
          <w:marTop w:val="0"/>
          <w:marBottom w:val="0"/>
          <w:divBdr>
            <w:top w:val="none" w:sz="0" w:space="0" w:color="auto"/>
            <w:left w:val="none" w:sz="0" w:space="0" w:color="auto"/>
            <w:bottom w:val="none" w:sz="0" w:space="0" w:color="auto"/>
            <w:right w:val="none" w:sz="0" w:space="0" w:color="auto"/>
          </w:divBdr>
          <w:divsChild>
            <w:div w:id="1131171289">
              <w:marLeft w:val="0"/>
              <w:marRight w:val="0"/>
              <w:marTop w:val="0"/>
              <w:marBottom w:val="0"/>
              <w:divBdr>
                <w:top w:val="none" w:sz="0" w:space="0" w:color="auto"/>
                <w:left w:val="none" w:sz="0" w:space="0" w:color="auto"/>
                <w:bottom w:val="none" w:sz="0" w:space="0" w:color="auto"/>
                <w:right w:val="none" w:sz="0" w:space="0" w:color="auto"/>
              </w:divBdr>
            </w:div>
            <w:div w:id="190804243">
              <w:marLeft w:val="0"/>
              <w:marRight w:val="0"/>
              <w:marTop w:val="0"/>
              <w:marBottom w:val="0"/>
              <w:divBdr>
                <w:top w:val="none" w:sz="0" w:space="0" w:color="auto"/>
                <w:left w:val="none" w:sz="0" w:space="0" w:color="auto"/>
                <w:bottom w:val="none" w:sz="0" w:space="0" w:color="auto"/>
                <w:right w:val="none" w:sz="0" w:space="0" w:color="auto"/>
              </w:divBdr>
            </w:div>
            <w:div w:id="1560552740">
              <w:marLeft w:val="0"/>
              <w:marRight w:val="0"/>
              <w:marTop w:val="0"/>
              <w:marBottom w:val="0"/>
              <w:divBdr>
                <w:top w:val="none" w:sz="0" w:space="0" w:color="auto"/>
                <w:left w:val="none" w:sz="0" w:space="0" w:color="auto"/>
                <w:bottom w:val="none" w:sz="0" w:space="0" w:color="auto"/>
                <w:right w:val="none" w:sz="0" w:space="0" w:color="auto"/>
              </w:divBdr>
            </w:div>
            <w:div w:id="1938439565">
              <w:marLeft w:val="0"/>
              <w:marRight w:val="0"/>
              <w:marTop w:val="0"/>
              <w:marBottom w:val="0"/>
              <w:divBdr>
                <w:top w:val="none" w:sz="0" w:space="0" w:color="auto"/>
                <w:left w:val="none" w:sz="0" w:space="0" w:color="auto"/>
                <w:bottom w:val="none" w:sz="0" w:space="0" w:color="auto"/>
                <w:right w:val="none" w:sz="0" w:space="0" w:color="auto"/>
              </w:divBdr>
            </w:div>
            <w:div w:id="880095987">
              <w:marLeft w:val="0"/>
              <w:marRight w:val="0"/>
              <w:marTop w:val="0"/>
              <w:marBottom w:val="0"/>
              <w:divBdr>
                <w:top w:val="none" w:sz="0" w:space="0" w:color="auto"/>
                <w:left w:val="none" w:sz="0" w:space="0" w:color="auto"/>
                <w:bottom w:val="none" w:sz="0" w:space="0" w:color="auto"/>
                <w:right w:val="none" w:sz="0" w:space="0" w:color="auto"/>
              </w:divBdr>
            </w:div>
            <w:div w:id="445005115">
              <w:marLeft w:val="0"/>
              <w:marRight w:val="0"/>
              <w:marTop w:val="0"/>
              <w:marBottom w:val="0"/>
              <w:divBdr>
                <w:top w:val="none" w:sz="0" w:space="0" w:color="auto"/>
                <w:left w:val="none" w:sz="0" w:space="0" w:color="auto"/>
                <w:bottom w:val="none" w:sz="0" w:space="0" w:color="auto"/>
                <w:right w:val="none" w:sz="0" w:space="0" w:color="auto"/>
              </w:divBdr>
            </w:div>
            <w:div w:id="397826539">
              <w:marLeft w:val="0"/>
              <w:marRight w:val="0"/>
              <w:marTop w:val="0"/>
              <w:marBottom w:val="0"/>
              <w:divBdr>
                <w:top w:val="none" w:sz="0" w:space="0" w:color="auto"/>
                <w:left w:val="none" w:sz="0" w:space="0" w:color="auto"/>
                <w:bottom w:val="none" w:sz="0" w:space="0" w:color="auto"/>
                <w:right w:val="none" w:sz="0" w:space="0" w:color="auto"/>
              </w:divBdr>
            </w:div>
            <w:div w:id="79706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666283">
      <w:bodyDiv w:val="1"/>
      <w:marLeft w:val="0"/>
      <w:marRight w:val="0"/>
      <w:marTop w:val="0"/>
      <w:marBottom w:val="0"/>
      <w:divBdr>
        <w:top w:val="none" w:sz="0" w:space="0" w:color="auto"/>
        <w:left w:val="none" w:sz="0" w:space="0" w:color="auto"/>
        <w:bottom w:val="none" w:sz="0" w:space="0" w:color="auto"/>
        <w:right w:val="none" w:sz="0" w:space="0" w:color="auto"/>
      </w:divBdr>
      <w:divsChild>
        <w:div w:id="969357881">
          <w:marLeft w:val="0"/>
          <w:marRight w:val="0"/>
          <w:marTop w:val="0"/>
          <w:marBottom w:val="0"/>
          <w:divBdr>
            <w:top w:val="none" w:sz="0" w:space="0" w:color="auto"/>
            <w:left w:val="none" w:sz="0" w:space="0" w:color="auto"/>
            <w:bottom w:val="none" w:sz="0" w:space="0" w:color="auto"/>
            <w:right w:val="none" w:sz="0" w:space="0" w:color="auto"/>
          </w:divBdr>
          <w:divsChild>
            <w:div w:id="1859587207">
              <w:marLeft w:val="0"/>
              <w:marRight w:val="0"/>
              <w:marTop w:val="0"/>
              <w:marBottom w:val="0"/>
              <w:divBdr>
                <w:top w:val="none" w:sz="0" w:space="0" w:color="auto"/>
                <w:left w:val="none" w:sz="0" w:space="0" w:color="auto"/>
                <w:bottom w:val="none" w:sz="0" w:space="0" w:color="auto"/>
                <w:right w:val="none" w:sz="0" w:space="0" w:color="auto"/>
              </w:divBdr>
            </w:div>
            <w:div w:id="316612476">
              <w:marLeft w:val="0"/>
              <w:marRight w:val="0"/>
              <w:marTop w:val="0"/>
              <w:marBottom w:val="0"/>
              <w:divBdr>
                <w:top w:val="none" w:sz="0" w:space="0" w:color="auto"/>
                <w:left w:val="none" w:sz="0" w:space="0" w:color="auto"/>
                <w:bottom w:val="none" w:sz="0" w:space="0" w:color="auto"/>
                <w:right w:val="none" w:sz="0" w:space="0" w:color="auto"/>
              </w:divBdr>
            </w:div>
            <w:div w:id="1480263166">
              <w:marLeft w:val="0"/>
              <w:marRight w:val="0"/>
              <w:marTop w:val="0"/>
              <w:marBottom w:val="0"/>
              <w:divBdr>
                <w:top w:val="none" w:sz="0" w:space="0" w:color="auto"/>
                <w:left w:val="none" w:sz="0" w:space="0" w:color="auto"/>
                <w:bottom w:val="none" w:sz="0" w:space="0" w:color="auto"/>
                <w:right w:val="none" w:sz="0" w:space="0" w:color="auto"/>
              </w:divBdr>
            </w:div>
            <w:div w:id="2099321886">
              <w:marLeft w:val="0"/>
              <w:marRight w:val="0"/>
              <w:marTop w:val="0"/>
              <w:marBottom w:val="0"/>
              <w:divBdr>
                <w:top w:val="none" w:sz="0" w:space="0" w:color="auto"/>
                <w:left w:val="none" w:sz="0" w:space="0" w:color="auto"/>
                <w:bottom w:val="none" w:sz="0" w:space="0" w:color="auto"/>
                <w:right w:val="none" w:sz="0" w:space="0" w:color="auto"/>
              </w:divBdr>
            </w:div>
            <w:div w:id="751849649">
              <w:marLeft w:val="0"/>
              <w:marRight w:val="0"/>
              <w:marTop w:val="0"/>
              <w:marBottom w:val="0"/>
              <w:divBdr>
                <w:top w:val="none" w:sz="0" w:space="0" w:color="auto"/>
                <w:left w:val="none" w:sz="0" w:space="0" w:color="auto"/>
                <w:bottom w:val="none" w:sz="0" w:space="0" w:color="auto"/>
                <w:right w:val="none" w:sz="0" w:space="0" w:color="auto"/>
              </w:divBdr>
            </w:div>
            <w:div w:id="994839673">
              <w:marLeft w:val="0"/>
              <w:marRight w:val="0"/>
              <w:marTop w:val="0"/>
              <w:marBottom w:val="0"/>
              <w:divBdr>
                <w:top w:val="none" w:sz="0" w:space="0" w:color="auto"/>
                <w:left w:val="none" w:sz="0" w:space="0" w:color="auto"/>
                <w:bottom w:val="none" w:sz="0" w:space="0" w:color="auto"/>
                <w:right w:val="none" w:sz="0" w:space="0" w:color="auto"/>
              </w:divBdr>
            </w:div>
            <w:div w:id="1620840043">
              <w:marLeft w:val="0"/>
              <w:marRight w:val="0"/>
              <w:marTop w:val="0"/>
              <w:marBottom w:val="0"/>
              <w:divBdr>
                <w:top w:val="none" w:sz="0" w:space="0" w:color="auto"/>
                <w:left w:val="none" w:sz="0" w:space="0" w:color="auto"/>
                <w:bottom w:val="none" w:sz="0" w:space="0" w:color="auto"/>
                <w:right w:val="none" w:sz="0" w:space="0" w:color="auto"/>
              </w:divBdr>
            </w:div>
            <w:div w:id="2058628303">
              <w:marLeft w:val="0"/>
              <w:marRight w:val="0"/>
              <w:marTop w:val="0"/>
              <w:marBottom w:val="0"/>
              <w:divBdr>
                <w:top w:val="none" w:sz="0" w:space="0" w:color="auto"/>
                <w:left w:val="none" w:sz="0" w:space="0" w:color="auto"/>
                <w:bottom w:val="none" w:sz="0" w:space="0" w:color="auto"/>
                <w:right w:val="none" w:sz="0" w:space="0" w:color="auto"/>
              </w:divBdr>
            </w:div>
            <w:div w:id="820391650">
              <w:marLeft w:val="0"/>
              <w:marRight w:val="0"/>
              <w:marTop w:val="0"/>
              <w:marBottom w:val="0"/>
              <w:divBdr>
                <w:top w:val="none" w:sz="0" w:space="0" w:color="auto"/>
                <w:left w:val="none" w:sz="0" w:space="0" w:color="auto"/>
                <w:bottom w:val="none" w:sz="0" w:space="0" w:color="auto"/>
                <w:right w:val="none" w:sz="0" w:space="0" w:color="auto"/>
              </w:divBdr>
            </w:div>
            <w:div w:id="610867408">
              <w:marLeft w:val="0"/>
              <w:marRight w:val="0"/>
              <w:marTop w:val="0"/>
              <w:marBottom w:val="0"/>
              <w:divBdr>
                <w:top w:val="none" w:sz="0" w:space="0" w:color="auto"/>
                <w:left w:val="none" w:sz="0" w:space="0" w:color="auto"/>
                <w:bottom w:val="none" w:sz="0" w:space="0" w:color="auto"/>
                <w:right w:val="none" w:sz="0" w:space="0" w:color="auto"/>
              </w:divBdr>
            </w:div>
            <w:div w:id="2074352122">
              <w:marLeft w:val="0"/>
              <w:marRight w:val="0"/>
              <w:marTop w:val="0"/>
              <w:marBottom w:val="0"/>
              <w:divBdr>
                <w:top w:val="none" w:sz="0" w:space="0" w:color="auto"/>
                <w:left w:val="none" w:sz="0" w:space="0" w:color="auto"/>
                <w:bottom w:val="none" w:sz="0" w:space="0" w:color="auto"/>
                <w:right w:val="none" w:sz="0" w:space="0" w:color="auto"/>
              </w:divBdr>
            </w:div>
            <w:div w:id="1976258388">
              <w:marLeft w:val="0"/>
              <w:marRight w:val="0"/>
              <w:marTop w:val="0"/>
              <w:marBottom w:val="0"/>
              <w:divBdr>
                <w:top w:val="none" w:sz="0" w:space="0" w:color="auto"/>
                <w:left w:val="none" w:sz="0" w:space="0" w:color="auto"/>
                <w:bottom w:val="none" w:sz="0" w:space="0" w:color="auto"/>
                <w:right w:val="none" w:sz="0" w:space="0" w:color="auto"/>
              </w:divBdr>
            </w:div>
            <w:div w:id="1548831578">
              <w:marLeft w:val="0"/>
              <w:marRight w:val="0"/>
              <w:marTop w:val="0"/>
              <w:marBottom w:val="0"/>
              <w:divBdr>
                <w:top w:val="none" w:sz="0" w:space="0" w:color="auto"/>
                <w:left w:val="none" w:sz="0" w:space="0" w:color="auto"/>
                <w:bottom w:val="none" w:sz="0" w:space="0" w:color="auto"/>
                <w:right w:val="none" w:sz="0" w:space="0" w:color="auto"/>
              </w:divBdr>
            </w:div>
            <w:div w:id="1564174387">
              <w:marLeft w:val="0"/>
              <w:marRight w:val="0"/>
              <w:marTop w:val="0"/>
              <w:marBottom w:val="0"/>
              <w:divBdr>
                <w:top w:val="none" w:sz="0" w:space="0" w:color="auto"/>
                <w:left w:val="none" w:sz="0" w:space="0" w:color="auto"/>
                <w:bottom w:val="none" w:sz="0" w:space="0" w:color="auto"/>
                <w:right w:val="none" w:sz="0" w:space="0" w:color="auto"/>
              </w:divBdr>
            </w:div>
            <w:div w:id="980422515">
              <w:marLeft w:val="0"/>
              <w:marRight w:val="0"/>
              <w:marTop w:val="0"/>
              <w:marBottom w:val="0"/>
              <w:divBdr>
                <w:top w:val="none" w:sz="0" w:space="0" w:color="auto"/>
                <w:left w:val="none" w:sz="0" w:space="0" w:color="auto"/>
                <w:bottom w:val="none" w:sz="0" w:space="0" w:color="auto"/>
                <w:right w:val="none" w:sz="0" w:space="0" w:color="auto"/>
              </w:divBdr>
            </w:div>
            <w:div w:id="1017847136">
              <w:marLeft w:val="0"/>
              <w:marRight w:val="0"/>
              <w:marTop w:val="0"/>
              <w:marBottom w:val="0"/>
              <w:divBdr>
                <w:top w:val="none" w:sz="0" w:space="0" w:color="auto"/>
                <w:left w:val="none" w:sz="0" w:space="0" w:color="auto"/>
                <w:bottom w:val="none" w:sz="0" w:space="0" w:color="auto"/>
                <w:right w:val="none" w:sz="0" w:space="0" w:color="auto"/>
              </w:divBdr>
            </w:div>
            <w:div w:id="1936788692">
              <w:marLeft w:val="0"/>
              <w:marRight w:val="0"/>
              <w:marTop w:val="0"/>
              <w:marBottom w:val="0"/>
              <w:divBdr>
                <w:top w:val="none" w:sz="0" w:space="0" w:color="auto"/>
                <w:left w:val="none" w:sz="0" w:space="0" w:color="auto"/>
                <w:bottom w:val="none" w:sz="0" w:space="0" w:color="auto"/>
                <w:right w:val="none" w:sz="0" w:space="0" w:color="auto"/>
              </w:divBdr>
            </w:div>
          </w:divsChild>
        </w:div>
        <w:div w:id="595555005">
          <w:marLeft w:val="0"/>
          <w:marRight w:val="0"/>
          <w:marTop w:val="0"/>
          <w:marBottom w:val="0"/>
          <w:divBdr>
            <w:top w:val="none" w:sz="0" w:space="0" w:color="auto"/>
            <w:left w:val="none" w:sz="0" w:space="0" w:color="auto"/>
            <w:bottom w:val="none" w:sz="0" w:space="0" w:color="auto"/>
            <w:right w:val="none" w:sz="0" w:space="0" w:color="auto"/>
          </w:divBdr>
        </w:div>
      </w:divsChild>
    </w:div>
    <w:div w:id="1795102172">
      <w:bodyDiv w:val="1"/>
      <w:marLeft w:val="0"/>
      <w:marRight w:val="0"/>
      <w:marTop w:val="0"/>
      <w:marBottom w:val="0"/>
      <w:divBdr>
        <w:top w:val="none" w:sz="0" w:space="0" w:color="auto"/>
        <w:left w:val="none" w:sz="0" w:space="0" w:color="auto"/>
        <w:bottom w:val="none" w:sz="0" w:space="0" w:color="auto"/>
        <w:right w:val="none" w:sz="0" w:space="0" w:color="auto"/>
      </w:divBdr>
      <w:divsChild>
        <w:div w:id="24642904">
          <w:marLeft w:val="0"/>
          <w:marRight w:val="0"/>
          <w:marTop w:val="0"/>
          <w:marBottom w:val="0"/>
          <w:divBdr>
            <w:top w:val="none" w:sz="0" w:space="0" w:color="auto"/>
            <w:left w:val="none" w:sz="0" w:space="0" w:color="auto"/>
            <w:bottom w:val="none" w:sz="0" w:space="0" w:color="auto"/>
            <w:right w:val="none" w:sz="0" w:space="0" w:color="auto"/>
          </w:divBdr>
        </w:div>
        <w:div w:id="345903798">
          <w:marLeft w:val="0"/>
          <w:marRight w:val="0"/>
          <w:marTop w:val="0"/>
          <w:marBottom w:val="0"/>
          <w:divBdr>
            <w:top w:val="none" w:sz="0" w:space="0" w:color="auto"/>
            <w:left w:val="none" w:sz="0" w:space="0" w:color="auto"/>
            <w:bottom w:val="none" w:sz="0" w:space="0" w:color="auto"/>
            <w:right w:val="none" w:sz="0" w:space="0" w:color="auto"/>
          </w:divBdr>
        </w:div>
        <w:div w:id="825129706">
          <w:marLeft w:val="0"/>
          <w:marRight w:val="0"/>
          <w:marTop w:val="0"/>
          <w:marBottom w:val="0"/>
          <w:divBdr>
            <w:top w:val="none" w:sz="0" w:space="0" w:color="auto"/>
            <w:left w:val="none" w:sz="0" w:space="0" w:color="auto"/>
            <w:bottom w:val="none" w:sz="0" w:space="0" w:color="auto"/>
            <w:right w:val="none" w:sz="0" w:space="0" w:color="auto"/>
          </w:divBdr>
        </w:div>
        <w:div w:id="994604286">
          <w:marLeft w:val="0"/>
          <w:marRight w:val="0"/>
          <w:marTop w:val="0"/>
          <w:marBottom w:val="0"/>
          <w:divBdr>
            <w:top w:val="none" w:sz="0" w:space="0" w:color="auto"/>
            <w:left w:val="none" w:sz="0" w:space="0" w:color="auto"/>
            <w:bottom w:val="none" w:sz="0" w:space="0" w:color="auto"/>
            <w:right w:val="none" w:sz="0" w:space="0" w:color="auto"/>
          </w:divBdr>
        </w:div>
        <w:div w:id="1183664736">
          <w:marLeft w:val="0"/>
          <w:marRight w:val="0"/>
          <w:marTop w:val="0"/>
          <w:marBottom w:val="0"/>
          <w:divBdr>
            <w:top w:val="none" w:sz="0" w:space="0" w:color="auto"/>
            <w:left w:val="none" w:sz="0" w:space="0" w:color="auto"/>
            <w:bottom w:val="none" w:sz="0" w:space="0" w:color="auto"/>
            <w:right w:val="none" w:sz="0" w:space="0" w:color="auto"/>
          </w:divBdr>
        </w:div>
        <w:div w:id="1254784038">
          <w:marLeft w:val="0"/>
          <w:marRight w:val="0"/>
          <w:marTop w:val="0"/>
          <w:marBottom w:val="0"/>
          <w:divBdr>
            <w:top w:val="none" w:sz="0" w:space="0" w:color="auto"/>
            <w:left w:val="none" w:sz="0" w:space="0" w:color="auto"/>
            <w:bottom w:val="none" w:sz="0" w:space="0" w:color="auto"/>
            <w:right w:val="none" w:sz="0" w:space="0" w:color="auto"/>
          </w:divBdr>
        </w:div>
        <w:div w:id="1338264052">
          <w:marLeft w:val="0"/>
          <w:marRight w:val="0"/>
          <w:marTop w:val="0"/>
          <w:marBottom w:val="0"/>
          <w:divBdr>
            <w:top w:val="none" w:sz="0" w:space="0" w:color="auto"/>
            <w:left w:val="none" w:sz="0" w:space="0" w:color="auto"/>
            <w:bottom w:val="none" w:sz="0" w:space="0" w:color="auto"/>
            <w:right w:val="none" w:sz="0" w:space="0" w:color="auto"/>
          </w:divBdr>
        </w:div>
        <w:div w:id="1497571655">
          <w:marLeft w:val="0"/>
          <w:marRight w:val="0"/>
          <w:marTop w:val="0"/>
          <w:marBottom w:val="0"/>
          <w:divBdr>
            <w:top w:val="none" w:sz="0" w:space="0" w:color="auto"/>
            <w:left w:val="none" w:sz="0" w:space="0" w:color="auto"/>
            <w:bottom w:val="none" w:sz="0" w:space="0" w:color="auto"/>
            <w:right w:val="none" w:sz="0" w:space="0" w:color="auto"/>
          </w:divBdr>
        </w:div>
        <w:div w:id="1860117456">
          <w:marLeft w:val="0"/>
          <w:marRight w:val="0"/>
          <w:marTop w:val="0"/>
          <w:marBottom w:val="0"/>
          <w:divBdr>
            <w:top w:val="none" w:sz="0" w:space="0" w:color="auto"/>
            <w:left w:val="none" w:sz="0" w:space="0" w:color="auto"/>
            <w:bottom w:val="none" w:sz="0" w:space="0" w:color="auto"/>
            <w:right w:val="none" w:sz="0" w:space="0" w:color="auto"/>
          </w:divBdr>
        </w:div>
      </w:divsChild>
    </w:div>
    <w:div w:id="1813669443">
      <w:bodyDiv w:val="1"/>
      <w:marLeft w:val="0"/>
      <w:marRight w:val="0"/>
      <w:marTop w:val="0"/>
      <w:marBottom w:val="0"/>
      <w:divBdr>
        <w:top w:val="none" w:sz="0" w:space="0" w:color="auto"/>
        <w:left w:val="none" w:sz="0" w:space="0" w:color="auto"/>
        <w:bottom w:val="none" w:sz="0" w:space="0" w:color="auto"/>
        <w:right w:val="none" w:sz="0" w:space="0" w:color="auto"/>
      </w:divBdr>
      <w:divsChild>
        <w:div w:id="1366326939">
          <w:marLeft w:val="0"/>
          <w:marRight w:val="0"/>
          <w:marTop w:val="0"/>
          <w:marBottom w:val="0"/>
          <w:divBdr>
            <w:top w:val="none" w:sz="0" w:space="0" w:color="auto"/>
            <w:left w:val="none" w:sz="0" w:space="0" w:color="auto"/>
            <w:bottom w:val="none" w:sz="0" w:space="0" w:color="auto"/>
            <w:right w:val="none" w:sz="0" w:space="0" w:color="auto"/>
          </w:divBdr>
          <w:divsChild>
            <w:div w:id="429202923">
              <w:marLeft w:val="0"/>
              <w:marRight w:val="0"/>
              <w:marTop w:val="0"/>
              <w:marBottom w:val="0"/>
              <w:divBdr>
                <w:top w:val="none" w:sz="0" w:space="0" w:color="auto"/>
                <w:left w:val="none" w:sz="0" w:space="0" w:color="auto"/>
                <w:bottom w:val="none" w:sz="0" w:space="0" w:color="auto"/>
                <w:right w:val="none" w:sz="0" w:space="0" w:color="auto"/>
              </w:divBdr>
            </w:div>
            <w:div w:id="1271743156">
              <w:marLeft w:val="0"/>
              <w:marRight w:val="0"/>
              <w:marTop w:val="0"/>
              <w:marBottom w:val="0"/>
              <w:divBdr>
                <w:top w:val="none" w:sz="0" w:space="0" w:color="auto"/>
                <w:left w:val="none" w:sz="0" w:space="0" w:color="auto"/>
                <w:bottom w:val="none" w:sz="0" w:space="0" w:color="auto"/>
                <w:right w:val="none" w:sz="0" w:space="0" w:color="auto"/>
              </w:divBdr>
            </w:div>
            <w:div w:id="125196673">
              <w:marLeft w:val="0"/>
              <w:marRight w:val="0"/>
              <w:marTop w:val="0"/>
              <w:marBottom w:val="0"/>
              <w:divBdr>
                <w:top w:val="none" w:sz="0" w:space="0" w:color="auto"/>
                <w:left w:val="none" w:sz="0" w:space="0" w:color="auto"/>
                <w:bottom w:val="none" w:sz="0" w:space="0" w:color="auto"/>
                <w:right w:val="none" w:sz="0" w:space="0" w:color="auto"/>
              </w:divBdr>
            </w:div>
            <w:div w:id="997154469">
              <w:marLeft w:val="0"/>
              <w:marRight w:val="0"/>
              <w:marTop w:val="0"/>
              <w:marBottom w:val="0"/>
              <w:divBdr>
                <w:top w:val="none" w:sz="0" w:space="0" w:color="auto"/>
                <w:left w:val="none" w:sz="0" w:space="0" w:color="auto"/>
                <w:bottom w:val="none" w:sz="0" w:space="0" w:color="auto"/>
                <w:right w:val="none" w:sz="0" w:space="0" w:color="auto"/>
              </w:divBdr>
            </w:div>
            <w:div w:id="355425835">
              <w:marLeft w:val="0"/>
              <w:marRight w:val="0"/>
              <w:marTop w:val="0"/>
              <w:marBottom w:val="0"/>
              <w:divBdr>
                <w:top w:val="none" w:sz="0" w:space="0" w:color="auto"/>
                <w:left w:val="none" w:sz="0" w:space="0" w:color="auto"/>
                <w:bottom w:val="none" w:sz="0" w:space="0" w:color="auto"/>
                <w:right w:val="none" w:sz="0" w:space="0" w:color="auto"/>
              </w:divBdr>
            </w:div>
            <w:div w:id="1109159532">
              <w:marLeft w:val="0"/>
              <w:marRight w:val="0"/>
              <w:marTop w:val="0"/>
              <w:marBottom w:val="0"/>
              <w:divBdr>
                <w:top w:val="none" w:sz="0" w:space="0" w:color="auto"/>
                <w:left w:val="none" w:sz="0" w:space="0" w:color="auto"/>
                <w:bottom w:val="none" w:sz="0" w:space="0" w:color="auto"/>
                <w:right w:val="none" w:sz="0" w:space="0" w:color="auto"/>
              </w:divBdr>
            </w:div>
            <w:div w:id="1136945155">
              <w:marLeft w:val="0"/>
              <w:marRight w:val="0"/>
              <w:marTop w:val="0"/>
              <w:marBottom w:val="0"/>
              <w:divBdr>
                <w:top w:val="none" w:sz="0" w:space="0" w:color="auto"/>
                <w:left w:val="none" w:sz="0" w:space="0" w:color="auto"/>
                <w:bottom w:val="none" w:sz="0" w:space="0" w:color="auto"/>
                <w:right w:val="none" w:sz="0" w:space="0" w:color="auto"/>
              </w:divBdr>
            </w:div>
            <w:div w:id="1350374707">
              <w:marLeft w:val="0"/>
              <w:marRight w:val="0"/>
              <w:marTop w:val="0"/>
              <w:marBottom w:val="0"/>
              <w:divBdr>
                <w:top w:val="none" w:sz="0" w:space="0" w:color="auto"/>
                <w:left w:val="none" w:sz="0" w:space="0" w:color="auto"/>
                <w:bottom w:val="none" w:sz="0" w:space="0" w:color="auto"/>
                <w:right w:val="none" w:sz="0" w:space="0" w:color="auto"/>
              </w:divBdr>
            </w:div>
            <w:div w:id="593590480">
              <w:marLeft w:val="0"/>
              <w:marRight w:val="0"/>
              <w:marTop w:val="0"/>
              <w:marBottom w:val="0"/>
              <w:divBdr>
                <w:top w:val="none" w:sz="0" w:space="0" w:color="auto"/>
                <w:left w:val="none" w:sz="0" w:space="0" w:color="auto"/>
                <w:bottom w:val="none" w:sz="0" w:space="0" w:color="auto"/>
                <w:right w:val="none" w:sz="0" w:space="0" w:color="auto"/>
              </w:divBdr>
            </w:div>
            <w:div w:id="405305176">
              <w:marLeft w:val="0"/>
              <w:marRight w:val="0"/>
              <w:marTop w:val="0"/>
              <w:marBottom w:val="0"/>
              <w:divBdr>
                <w:top w:val="none" w:sz="0" w:space="0" w:color="auto"/>
                <w:left w:val="none" w:sz="0" w:space="0" w:color="auto"/>
                <w:bottom w:val="none" w:sz="0" w:space="0" w:color="auto"/>
                <w:right w:val="none" w:sz="0" w:space="0" w:color="auto"/>
              </w:divBdr>
            </w:div>
            <w:div w:id="671419253">
              <w:marLeft w:val="0"/>
              <w:marRight w:val="0"/>
              <w:marTop w:val="0"/>
              <w:marBottom w:val="0"/>
              <w:divBdr>
                <w:top w:val="none" w:sz="0" w:space="0" w:color="auto"/>
                <w:left w:val="none" w:sz="0" w:space="0" w:color="auto"/>
                <w:bottom w:val="none" w:sz="0" w:space="0" w:color="auto"/>
                <w:right w:val="none" w:sz="0" w:space="0" w:color="auto"/>
              </w:divBdr>
            </w:div>
            <w:div w:id="1921719560">
              <w:marLeft w:val="0"/>
              <w:marRight w:val="0"/>
              <w:marTop w:val="0"/>
              <w:marBottom w:val="0"/>
              <w:divBdr>
                <w:top w:val="none" w:sz="0" w:space="0" w:color="auto"/>
                <w:left w:val="none" w:sz="0" w:space="0" w:color="auto"/>
                <w:bottom w:val="none" w:sz="0" w:space="0" w:color="auto"/>
                <w:right w:val="none" w:sz="0" w:space="0" w:color="auto"/>
              </w:divBdr>
            </w:div>
            <w:div w:id="2095585020">
              <w:marLeft w:val="0"/>
              <w:marRight w:val="0"/>
              <w:marTop w:val="0"/>
              <w:marBottom w:val="0"/>
              <w:divBdr>
                <w:top w:val="none" w:sz="0" w:space="0" w:color="auto"/>
                <w:left w:val="none" w:sz="0" w:space="0" w:color="auto"/>
                <w:bottom w:val="none" w:sz="0" w:space="0" w:color="auto"/>
                <w:right w:val="none" w:sz="0" w:space="0" w:color="auto"/>
              </w:divBdr>
            </w:div>
            <w:div w:id="2001734842">
              <w:marLeft w:val="0"/>
              <w:marRight w:val="0"/>
              <w:marTop w:val="0"/>
              <w:marBottom w:val="0"/>
              <w:divBdr>
                <w:top w:val="none" w:sz="0" w:space="0" w:color="auto"/>
                <w:left w:val="none" w:sz="0" w:space="0" w:color="auto"/>
                <w:bottom w:val="none" w:sz="0" w:space="0" w:color="auto"/>
                <w:right w:val="none" w:sz="0" w:space="0" w:color="auto"/>
              </w:divBdr>
            </w:div>
            <w:div w:id="1010066751">
              <w:marLeft w:val="0"/>
              <w:marRight w:val="0"/>
              <w:marTop w:val="0"/>
              <w:marBottom w:val="0"/>
              <w:divBdr>
                <w:top w:val="none" w:sz="0" w:space="0" w:color="auto"/>
                <w:left w:val="none" w:sz="0" w:space="0" w:color="auto"/>
                <w:bottom w:val="none" w:sz="0" w:space="0" w:color="auto"/>
                <w:right w:val="none" w:sz="0" w:space="0" w:color="auto"/>
              </w:divBdr>
            </w:div>
            <w:div w:id="1431511049">
              <w:marLeft w:val="0"/>
              <w:marRight w:val="0"/>
              <w:marTop w:val="0"/>
              <w:marBottom w:val="0"/>
              <w:divBdr>
                <w:top w:val="none" w:sz="0" w:space="0" w:color="auto"/>
                <w:left w:val="none" w:sz="0" w:space="0" w:color="auto"/>
                <w:bottom w:val="none" w:sz="0" w:space="0" w:color="auto"/>
                <w:right w:val="none" w:sz="0" w:space="0" w:color="auto"/>
              </w:divBdr>
            </w:div>
            <w:div w:id="459498495">
              <w:marLeft w:val="0"/>
              <w:marRight w:val="0"/>
              <w:marTop w:val="0"/>
              <w:marBottom w:val="0"/>
              <w:divBdr>
                <w:top w:val="none" w:sz="0" w:space="0" w:color="auto"/>
                <w:left w:val="none" w:sz="0" w:space="0" w:color="auto"/>
                <w:bottom w:val="none" w:sz="0" w:space="0" w:color="auto"/>
                <w:right w:val="none" w:sz="0" w:space="0" w:color="auto"/>
              </w:divBdr>
            </w:div>
            <w:div w:id="620695301">
              <w:marLeft w:val="0"/>
              <w:marRight w:val="0"/>
              <w:marTop w:val="0"/>
              <w:marBottom w:val="0"/>
              <w:divBdr>
                <w:top w:val="none" w:sz="0" w:space="0" w:color="auto"/>
                <w:left w:val="none" w:sz="0" w:space="0" w:color="auto"/>
                <w:bottom w:val="none" w:sz="0" w:space="0" w:color="auto"/>
                <w:right w:val="none" w:sz="0" w:space="0" w:color="auto"/>
              </w:divBdr>
            </w:div>
          </w:divsChild>
        </w:div>
        <w:div w:id="1142425809">
          <w:marLeft w:val="0"/>
          <w:marRight w:val="0"/>
          <w:marTop w:val="0"/>
          <w:marBottom w:val="0"/>
          <w:divBdr>
            <w:top w:val="none" w:sz="0" w:space="0" w:color="auto"/>
            <w:left w:val="none" w:sz="0" w:space="0" w:color="auto"/>
            <w:bottom w:val="none" w:sz="0" w:space="0" w:color="auto"/>
            <w:right w:val="none" w:sz="0" w:space="0" w:color="auto"/>
          </w:divBdr>
          <w:divsChild>
            <w:div w:id="311099532">
              <w:marLeft w:val="0"/>
              <w:marRight w:val="0"/>
              <w:marTop w:val="0"/>
              <w:marBottom w:val="0"/>
              <w:divBdr>
                <w:top w:val="none" w:sz="0" w:space="0" w:color="auto"/>
                <w:left w:val="none" w:sz="0" w:space="0" w:color="auto"/>
                <w:bottom w:val="none" w:sz="0" w:space="0" w:color="auto"/>
                <w:right w:val="none" w:sz="0" w:space="0" w:color="auto"/>
              </w:divBdr>
            </w:div>
            <w:div w:id="601377465">
              <w:marLeft w:val="0"/>
              <w:marRight w:val="0"/>
              <w:marTop w:val="0"/>
              <w:marBottom w:val="0"/>
              <w:divBdr>
                <w:top w:val="none" w:sz="0" w:space="0" w:color="auto"/>
                <w:left w:val="none" w:sz="0" w:space="0" w:color="auto"/>
                <w:bottom w:val="none" w:sz="0" w:space="0" w:color="auto"/>
                <w:right w:val="none" w:sz="0" w:space="0" w:color="auto"/>
              </w:divBdr>
            </w:div>
            <w:div w:id="1719817953">
              <w:marLeft w:val="0"/>
              <w:marRight w:val="0"/>
              <w:marTop w:val="0"/>
              <w:marBottom w:val="0"/>
              <w:divBdr>
                <w:top w:val="none" w:sz="0" w:space="0" w:color="auto"/>
                <w:left w:val="none" w:sz="0" w:space="0" w:color="auto"/>
                <w:bottom w:val="none" w:sz="0" w:space="0" w:color="auto"/>
                <w:right w:val="none" w:sz="0" w:space="0" w:color="auto"/>
              </w:divBdr>
            </w:div>
            <w:div w:id="323513530">
              <w:marLeft w:val="0"/>
              <w:marRight w:val="0"/>
              <w:marTop w:val="0"/>
              <w:marBottom w:val="0"/>
              <w:divBdr>
                <w:top w:val="none" w:sz="0" w:space="0" w:color="auto"/>
                <w:left w:val="none" w:sz="0" w:space="0" w:color="auto"/>
                <w:bottom w:val="none" w:sz="0" w:space="0" w:color="auto"/>
                <w:right w:val="none" w:sz="0" w:space="0" w:color="auto"/>
              </w:divBdr>
            </w:div>
            <w:div w:id="971642844">
              <w:marLeft w:val="0"/>
              <w:marRight w:val="0"/>
              <w:marTop w:val="0"/>
              <w:marBottom w:val="0"/>
              <w:divBdr>
                <w:top w:val="none" w:sz="0" w:space="0" w:color="auto"/>
                <w:left w:val="none" w:sz="0" w:space="0" w:color="auto"/>
                <w:bottom w:val="none" w:sz="0" w:space="0" w:color="auto"/>
                <w:right w:val="none" w:sz="0" w:space="0" w:color="auto"/>
              </w:divBdr>
            </w:div>
            <w:div w:id="990671455">
              <w:marLeft w:val="0"/>
              <w:marRight w:val="0"/>
              <w:marTop w:val="0"/>
              <w:marBottom w:val="0"/>
              <w:divBdr>
                <w:top w:val="none" w:sz="0" w:space="0" w:color="auto"/>
                <w:left w:val="none" w:sz="0" w:space="0" w:color="auto"/>
                <w:bottom w:val="none" w:sz="0" w:space="0" w:color="auto"/>
                <w:right w:val="none" w:sz="0" w:space="0" w:color="auto"/>
              </w:divBdr>
            </w:div>
            <w:div w:id="723259000">
              <w:marLeft w:val="0"/>
              <w:marRight w:val="0"/>
              <w:marTop w:val="0"/>
              <w:marBottom w:val="0"/>
              <w:divBdr>
                <w:top w:val="none" w:sz="0" w:space="0" w:color="auto"/>
                <w:left w:val="none" w:sz="0" w:space="0" w:color="auto"/>
                <w:bottom w:val="none" w:sz="0" w:space="0" w:color="auto"/>
                <w:right w:val="none" w:sz="0" w:space="0" w:color="auto"/>
              </w:divBdr>
            </w:div>
            <w:div w:id="433134402">
              <w:marLeft w:val="0"/>
              <w:marRight w:val="0"/>
              <w:marTop w:val="0"/>
              <w:marBottom w:val="0"/>
              <w:divBdr>
                <w:top w:val="none" w:sz="0" w:space="0" w:color="auto"/>
                <w:left w:val="none" w:sz="0" w:space="0" w:color="auto"/>
                <w:bottom w:val="none" w:sz="0" w:space="0" w:color="auto"/>
                <w:right w:val="none" w:sz="0" w:space="0" w:color="auto"/>
              </w:divBdr>
            </w:div>
            <w:div w:id="921567406">
              <w:marLeft w:val="0"/>
              <w:marRight w:val="0"/>
              <w:marTop w:val="0"/>
              <w:marBottom w:val="0"/>
              <w:divBdr>
                <w:top w:val="none" w:sz="0" w:space="0" w:color="auto"/>
                <w:left w:val="none" w:sz="0" w:space="0" w:color="auto"/>
                <w:bottom w:val="none" w:sz="0" w:space="0" w:color="auto"/>
                <w:right w:val="none" w:sz="0" w:space="0" w:color="auto"/>
              </w:divBdr>
            </w:div>
            <w:div w:id="445276487">
              <w:marLeft w:val="0"/>
              <w:marRight w:val="0"/>
              <w:marTop w:val="0"/>
              <w:marBottom w:val="0"/>
              <w:divBdr>
                <w:top w:val="none" w:sz="0" w:space="0" w:color="auto"/>
                <w:left w:val="none" w:sz="0" w:space="0" w:color="auto"/>
                <w:bottom w:val="none" w:sz="0" w:space="0" w:color="auto"/>
                <w:right w:val="none" w:sz="0" w:space="0" w:color="auto"/>
              </w:divBdr>
            </w:div>
            <w:div w:id="299850194">
              <w:marLeft w:val="0"/>
              <w:marRight w:val="0"/>
              <w:marTop w:val="0"/>
              <w:marBottom w:val="0"/>
              <w:divBdr>
                <w:top w:val="none" w:sz="0" w:space="0" w:color="auto"/>
                <w:left w:val="none" w:sz="0" w:space="0" w:color="auto"/>
                <w:bottom w:val="none" w:sz="0" w:space="0" w:color="auto"/>
                <w:right w:val="none" w:sz="0" w:space="0" w:color="auto"/>
              </w:divBdr>
            </w:div>
            <w:div w:id="1859156683">
              <w:marLeft w:val="0"/>
              <w:marRight w:val="0"/>
              <w:marTop w:val="0"/>
              <w:marBottom w:val="0"/>
              <w:divBdr>
                <w:top w:val="none" w:sz="0" w:space="0" w:color="auto"/>
                <w:left w:val="none" w:sz="0" w:space="0" w:color="auto"/>
                <w:bottom w:val="none" w:sz="0" w:space="0" w:color="auto"/>
                <w:right w:val="none" w:sz="0" w:space="0" w:color="auto"/>
              </w:divBdr>
            </w:div>
            <w:div w:id="1870102445">
              <w:marLeft w:val="0"/>
              <w:marRight w:val="0"/>
              <w:marTop w:val="0"/>
              <w:marBottom w:val="0"/>
              <w:divBdr>
                <w:top w:val="none" w:sz="0" w:space="0" w:color="auto"/>
                <w:left w:val="none" w:sz="0" w:space="0" w:color="auto"/>
                <w:bottom w:val="none" w:sz="0" w:space="0" w:color="auto"/>
                <w:right w:val="none" w:sz="0" w:space="0" w:color="auto"/>
              </w:divBdr>
            </w:div>
            <w:div w:id="1006134114">
              <w:marLeft w:val="0"/>
              <w:marRight w:val="0"/>
              <w:marTop w:val="0"/>
              <w:marBottom w:val="0"/>
              <w:divBdr>
                <w:top w:val="none" w:sz="0" w:space="0" w:color="auto"/>
                <w:left w:val="none" w:sz="0" w:space="0" w:color="auto"/>
                <w:bottom w:val="none" w:sz="0" w:space="0" w:color="auto"/>
                <w:right w:val="none" w:sz="0" w:space="0" w:color="auto"/>
              </w:divBdr>
            </w:div>
            <w:div w:id="1351301216">
              <w:marLeft w:val="0"/>
              <w:marRight w:val="0"/>
              <w:marTop w:val="0"/>
              <w:marBottom w:val="0"/>
              <w:divBdr>
                <w:top w:val="none" w:sz="0" w:space="0" w:color="auto"/>
                <w:left w:val="none" w:sz="0" w:space="0" w:color="auto"/>
                <w:bottom w:val="none" w:sz="0" w:space="0" w:color="auto"/>
                <w:right w:val="none" w:sz="0" w:space="0" w:color="auto"/>
              </w:divBdr>
            </w:div>
            <w:div w:id="1561865503">
              <w:marLeft w:val="0"/>
              <w:marRight w:val="0"/>
              <w:marTop w:val="0"/>
              <w:marBottom w:val="0"/>
              <w:divBdr>
                <w:top w:val="none" w:sz="0" w:space="0" w:color="auto"/>
                <w:left w:val="none" w:sz="0" w:space="0" w:color="auto"/>
                <w:bottom w:val="none" w:sz="0" w:space="0" w:color="auto"/>
                <w:right w:val="none" w:sz="0" w:space="0" w:color="auto"/>
              </w:divBdr>
            </w:div>
            <w:div w:id="174419871">
              <w:marLeft w:val="0"/>
              <w:marRight w:val="0"/>
              <w:marTop w:val="0"/>
              <w:marBottom w:val="0"/>
              <w:divBdr>
                <w:top w:val="none" w:sz="0" w:space="0" w:color="auto"/>
                <w:left w:val="none" w:sz="0" w:space="0" w:color="auto"/>
                <w:bottom w:val="none" w:sz="0" w:space="0" w:color="auto"/>
                <w:right w:val="none" w:sz="0" w:space="0" w:color="auto"/>
              </w:divBdr>
            </w:div>
            <w:div w:id="1489908087">
              <w:marLeft w:val="0"/>
              <w:marRight w:val="0"/>
              <w:marTop w:val="0"/>
              <w:marBottom w:val="0"/>
              <w:divBdr>
                <w:top w:val="none" w:sz="0" w:space="0" w:color="auto"/>
                <w:left w:val="none" w:sz="0" w:space="0" w:color="auto"/>
                <w:bottom w:val="none" w:sz="0" w:space="0" w:color="auto"/>
                <w:right w:val="none" w:sz="0" w:space="0" w:color="auto"/>
              </w:divBdr>
            </w:div>
            <w:div w:id="654257101">
              <w:marLeft w:val="0"/>
              <w:marRight w:val="0"/>
              <w:marTop w:val="0"/>
              <w:marBottom w:val="0"/>
              <w:divBdr>
                <w:top w:val="none" w:sz="0" w:space="0" w:color="auto"/>
                <w:left w:val="none" w:sz="0" w:space="0" w:color="auto"/>
                <w:bottom w:val="none" w:sz="0" w:space="0" w:color="auto"/>
                <w:right w:val="none" w:sz="0" w:space="0" w:color="auto"/>
              </w:divBdr>
            </w:div>
            <w:div w:id="1597128587">
              <w:marLeft w:val="0"/>
              <w:marRight w:val="0"/>
              <w:marTop w:val="0"/>
              <w:marBottom w:val="0"/>
              <w:divBdr>
                <w:top w:val="none" w:sz="0" w:space="0" w:color="auto"/>
                <w:left w:val="none" w:sz="0" w:space="0" w:color="auto"/>
                <w:bottom w:val="none" w:sz="0" w:space="0" w:color="auto"/>
                <w:right w:val="none" w:sz="0" w:space="0" w:color="auto"/>
              </w:divBdr>
            </w:div>
          </w:divsChild>
        </w:div>
        <w:div w:id="500655579">
          <w:marLeft w:val="0"/>
          <w:marRight w:val="0"/>
          <w:marTop w:val="0"/>
          <w:marBottom w:val="0"/>
          <w:divBdr>
            <w:top w:val="none" w:sz="0" w:space="0" w:color="auto"/>
            <w:left w:val="none" w:sz="0" w:space="0" w:color="auto"/>
            <w:bottom w:val="none" w:sz="0" w:space="0" w:color="auto"/>
            <w:right w:val="none" w:sz="0" w:space="0" w:color="auto"/>
          </w:divBdr>
          <w:divsChild>
            <w:div w:id="1061248754">
              <w:marLeft w:val="0"/>
              <w:marRight w:val="0"/>
              <w:marTop w:val="0"/>
              <w:marBottom w:val="0"/>
              <w:divBdr>
                <w:top w:val="none" w:sz="0" w:space="0" w:color="auto"/>
                <w:left w:val="none" w:sz="0" w:space="0" w:color="auto"/>
                <w:bottom w:val="none" w:sz="0" w:space="0" w:color="auto"/>
                <w:right w:val="none" w:sz="0" w:space="0" w:color="auto"/>
              </w:divBdr>
            </w:div>
            <w:div w:id="85423632">
              <w:marLeft w:val="0"/>
              <w:marRight w:val="0"/>
              <w:marTop w:val="0"/>
              <w:marBottom w:val="0"/>
              <w:divBdr>
                <w:top w:val="none" w:sz="0" w:space="0" w:color="auto"/>
                <w:left w:val="none" w:sz="0" w:space="0" w:color="auto"/>
                <w:bottom w:val="none" w:sz="0" w:space="0" w:color="auto"/>
                <w:right w:val="none" w:sz="0" w:space="0" w:color="auto"/>
              </w:divBdr>
            </w:div>
            <w:div w:id="1619481716">
              <w:marLeft w:val="0"/>
              <w:marRight w:val="0"/>
              <w:marTop w:val="0"/>
              <w:marBottom w:val="0"/>
              <w:divBdr>
                <w:top w:val="none" w:sz="0" w:space="0" w:color="auto"/>
                <w:left w:val="none" w:sz="0" w:space="0" w:color="auto"/>
                <w:bottom w:val="none" w:sz="0" w:space="0" w:color="auto"/>
                <w:right w:val="none" w:sz="0" w:space="0" w:color="auto"/>
              </w:divBdr>
            </w:div>
            <w:div w:id="633411954">
              <w:marLeft w:val="0"/>
              <w:marRight w:val="0"/>
              <w:marTop w:val="0"/>
              <w:marBottom w:val="0"/>
              <w:divBdr>
                <w:top w:val="none" w:sz="0" w:space="0" w:color="auto"/>
                <w:left w:val="none" w:sz="0" w:space="0" w:color="auto"/>
                <w:bottom w:val="none" w:sz="0" w:space="0" w:color="auto"/>
                <w:right w:val="none" w:sz="0" w:space="0" w:color="auto"/>
              </w:divBdr>
            </w:div>
            <w:div w:id="7295811">
              <w:marLeft w:val="0"/>
              <w:marRight w:val="0"/>
              <w:marTop w:val="0"/>
              <w:marBottom w:val="0"/>
              <w:divBdr>
                <w:top w:val="none" w:sz="0" w:space="0" w:color="auto"/>
                <w:left w:val="none" w:sz="0" w:space="0" w:color="auto"/>
                <w:bottom w:val="none" w:sz="0" w:space="0" w:color="auto"/>
                <w:right w:val="none" w:sz="0" w:space="0" w:color="auto"/>
              </w:divBdr>
            </w:div>
            <w:div w:id="678391161">
              <w:marLeft w:val="0"/>
              <w:marRight w:val="0"/>
              <w:marTop w:val="0"/>
              <w:marBottom w:val="0"/>
              <w:divBdr>
                <w:top w:val="none" w:sz="0" w:space="0" w:color="auto"/>
                <w:left w:val="none" w:sz="0" w:space="0" w:color="auto"/>
                <w:bottom w:val="none" w:sz="0" w:space="0" w:color="auto"/>
                <w:right w:val="none" w:sz="0" w:space="0" w:color="auto"/>
              </w:divBdr>
            </w:div>
            <w:div w:id="1380589037">
              <w:marLeft w:val="0"/>
              <w:marRight w:val="0"/>
              <w:marTop w:val="0"/>
              <w:marBottom w:val="0"/>
              <w:divBdr>
                <w:top w:val="none" w:sz="0" w:space="0" w:color="auto"/>
                <w:left w:val="none" w:sz="0" w:space="0" w:color="auto"/>
                <w:bottom w:val="none" w:sz="0" w:space="0" w:color="auto"/>
                <w:right w:val="none" w:sz="0" w:space="0" w:color="auto"/>
              </w:divBdr>
            </w:div>
            <w:div w:id="872226272">
              <w:marLeft w:val="0"/>
              <w:marRight w:val="0"/>
              <w:marTop w:val="0"/>
              <w:marBottom w:val="0"/>
              <w:divBdr>
                <w:top w:val="none" w:sz="0" w:space="0" w:color="auto"/>
                <w:left w:val="none" w:sz="0" w:space="0" w:color="auto"/>
                <w:bottom w:val="none" w:sz="0" w:space="0" w:color="auto"/>
                <w:right w:val="none" w:sz="0" w:space="0" w:color="auto"/>
              </w:divBdr>
            </w:div>
            <w:div w:id="495848559">
              <w:marLeft w:val="0"/>
              <w:marRight w:val="0"/>
              <w:marTop w:val="0"/>
              <w:marBottom w:val="0"/>
              <w:divBdr>
                <w:top w:val="none" w:sz="0" w:space="0" w:color="auto"/>
                <w:left w:val="none" w:sz="0" w:space="0" w:color="auto"/>
                <w:bottom w:val="none" w:sz="0" w:space="0" w:color="auto"/>
                <w:right w:val="none" w:sz="0" w:space="0" w:color="auto"/>
              </w:divBdr>
            </w:div>
            <w:div w:id="1616402112">
              <w:marLeft w:val="0"/>
              <w:marRight w:val="0"/>
              <w:marTop w:val="0"/>
              <w:marBottom w:val="0"/>
              <w:divBdr>
                <w:top w:val="none" w:sz="0" w:space="0" w:color="auto"/>
                <w:left w:val="none" w:sz="0" w:space="0" w:color="auto"/>
                <w:bottom w:val="none" w:sz="0" w:space="0" w:color="auto"/>
                <w:right w:val="none" w:sz="0" w:space="0" w:color="auto"/>
              </w:divBdr>
            </w:div>
            <w:div w:id="727843520">
              <w:marLeft w:val="0"/>
              <w:marRight w:val="0"/>
              <w:marTop w:val="0"/>
              <w:marBottom w:val="0"/>
              <w:divBdr>
                <w:top w:val="none" w:sz="0" w:space="0" w:color="auto"/>
                <w:left w:val="none" w:sz="0" w:space="0" w:color="auto"/>
                <w:bottom w:val="none" w:sz="0" w:space="0" w:color="auto"/>
                <w:right w:val="none" w:sz="0" w:space="0" w:color="auto"/>
              </w:divBdr>
            </w:div>
            <w:div w:id="1007888">
              <w:marLeft w:val="0"/>
              <w:marRight w:val="0"/>
              <w:marTop w:val="0"/>
              <w:marBottom w:val="0"/>
              <w:divBdr>
                <w:top w:val="none" w:sz="0" w:space="0" w:color="auto"/>
                <w:left w:val="none" w:sz="0" w:space="0" w:color="auto"/>
                <w:bottom w:val="none" w:sz="0" w:space="0" w:color="auto"/>
                <w:right w:val="none" w:sz="0" w:space="0" w:color="auto"/>
              </w:divBdr>
            </w:div>
            <w:div w:id="268507082">
              <w:marLeft w:val="0"/>
              <w:marRight w:val="0"/>
              <w:marTop w:val="0"/>
              <w:marBottom w:val="0"/>
              <w:divBdr>
                <w:top w:val="none" w:sz="0" w:space="0" w:color="auto"/>
                <w:left w:val="none" w:sz="0" w:space="0" w:color="auto"/>
                <w:bottom w:val="none" w:sz="0" w:space="0" w:color="auto"/>
                <w:right w:val="none" w:sz="0" w:space="0" w:color="auto"/>
              </w:divBdr>
            </w:div>
            <w:div w:id="794913366">
              <w:marLeft w:val="0"/>
              <w:marRight w:val="0"/>
              <w:marTop w:val="0"/>
              <w:marBottom w:val="0"/>
              <w:divBdr>
                <w:top w:val="none" w:sz="0" w:space="0" w:color="auto"/>
                <w:left w:val="none" w:sz="0" w:space="0" w:color="auto"/>
                <w:bottom w:val="none" w:sz="0" w:space="0" w:color="auto"/>
                <w:right w:val="none" w:sz="0" w:space="0" w:color="auto"/>
              </w:divBdr>
            </w:div>
            <w:div w:id="238367437">
              <w:marLeft w:val="0"/>
              <w:marRight w:val="0"/>
              <w:marTop w:val="0"/>
              <w:marBottom w:val="0"/>
              <w:divBdr>
                <w:top w:val="none" w:sz="0" w:space="0" w:color="auto"/>
                <w:left w:val="none" w:sz="0" w:space="0" w:color="auto"/>
                <w:bottom w:val="none" w:sz="0" w:space="0" w:color="auto"/>
                <w:right w:val="none" w:sz="0" w:space="0" w:color="auto"/>
              </w:divBdr>
            </w:div>
            <w:div w:id="1098676276">
              <w:marLeft w:val="0"/>
              <w:marRight w:val="0"/>
              <w:marTop w:val="0"/>
              <w:marBottom w:val="0"/>
              <w:divBdr>
                <w:top w:val="none" w:sz="0" w:space="0" w:color="auto"/>
                <w:left w:val="none" w:sz="0" w:space="0" w:color="auto"/>
                <w:bottom w:val="none" w:sz="0" w:space="0" w:color="auto"/>
                <w:right w:val="none" w:sz="0" w:space="0" w:color="auto"/>
              </w:divBdr>
            </w:div>
            <w:div w:id="255871675">
              <w:marLeft w:val="0"/>
              <w:marRight w:val="0"/>
              <w:marTop w:val="0"/>
              <w:marBottom w:val="0"/>
              <w:divBdr>
                <w:top w:val="none" w:sz="0" w:space="0" w:color="auto"/>
                <w:left w:val="none" w:sz="0" w:space="0" w:color="auto"/>
                <w:bottom w:val="none" w:sz="0" w:space="0" w:color="auto"/>
                <w:right w:val="none" w:sz="0" w:space="0" w:color="auto"/>
              </w:divBdr>
            </w:div>
            <w:div w:id="158933502">
              <w:marLeft w:val="0"/>
              <w:marRight w:val="0"/>
              <w:marTop w:val="0"/>
              <w:marBottom w:val="0"/>
              <w:divBdr>
                <w:top w:val="none" w:sz="0" w:space="0" w:color="auto"/>
                <w:left w:val="none" w:sz="0" w:space="0" w:color="auto"/>
                <w:bottom w:val="none" w:sz="0" w:space="0" w:color="auto"/>
                <w:right w:val="none" w:sz="0" w:space="0" w:color="auto"/>
              </w:divBdr>
            </w:div>
            <w:div w:id="625432609">
              <w:marLeft w:val="0"/>
              <w:marRight w:val="0"/>
              <w:marTop w:val="0"/>
              <w:marBottom w:val="0"/>
              <w:divBdr>
                <w:top w:val="none" w:sz="0" w:space="0" w:color="auto"/>
                <w:left w:val="none" w:sz="0" w:space="0" w:color="auto"/>
                <w:bottom w:val="none" w:sz="0" w:space="0" w:color="auto"/>
                <w:right w:val="none" w:sz="0" w:space="0" w:color="auto"/>
              </w:divBdr>
            </w:div>
            <w:div w:id="375207093">
              <w:marLeft w:val="0"/>
              <w:marRight w:val="0"/>
              <w:marTop w:val="0"/>
              <w:marBottom w:val="0"/>
              <w:divBdr>
                <w:top w:val="none" w:sz="0" w:space="0" w:color="auto"/>
                <w:left w:val="none" w:sz="0" w:space="0" w:color="auto"/>
                <w:bottom w:val="none" w:sz="0" w:space="0" w:color="auto"/>
                <w:right w:val="none" w:sz="0" w:space="0" w:color="auto"/>
              </w:divBdr>
            </w:div>
          </w:divsChild>
        </w:div>
        <w:div w:id="736325966">
          <w:marLeft w:val="0"/>
          <w:marRight w:val="0"/>
          <w:marTop w:val="0"/>
          <w:marBottom w:val="0"/>
          <w:divBdr>
            <w:top w:val="none" w:sz="0" w:space="0" w:color="auto"/>
            <w:left w:val="none" w:sz="0" w:space="0" w:color="auto"/>
            <w:bottom w:val="none" w:sz="0" w:space="0" w:color="auto"/>
            <w:right w:val="none" w:sz="0" w:space="0" w:color="auto"/>
          </w:divBdr>
        </w:div>
        <w:div w:id="1765954187">
          <w:marLeft w:val="0"/>
          <w:marRight w:val="0"/>
          <w:marTop w:val="0"/>
          <w:marBottom w:val="0"/>
          <w:divBdr>
            <w:top w:val="none" w:sz="0" w:space="0" w:color="auto"/>
            <w:left w:val="none" w:sz="0" w:space="0" w:color="auto"/>
            <w:bottom w:val="none" w:sz="0" w:space="0" w:color="auto"/>
            <w:right w:val="none" w:sz="0" w:space="0" w:color="auto"/>
          </w:divBdr>
        </w:div>
        <w:div w:id="1172186789">
          <w:marLeft w:val="0"/>
          <w:marRight w:val="0"/>
          <w:marTop w:val="0"/>
          <w:marBottom w:val="0"/>
          <w:divBdr>
            <w:top w:val="none" w:sz="0" w:space="0" w:color="auto"/>
            <w:left w:val="none" w:sz="0" w:space="0" w:color="auto"/>
            <w:bottom w:val="none" w:sz="0" w:space="0" w:color="auto"/>
            <w:right w:val="none" w:sz="0" w:space="0" w:color="auto"/>
          </w:divBdr>
        </w:div>
        <w:div w:id="279189816">
          <w:marLeft w:val="0"/>
          <w:marRight w:val="0"/>
          <w:marTop w:val="0"/>
          <w:marBottom w:val="0"/>
          <w:divBdr>
            <w:top w:val="none" w:sz="0" w:space="0" w:color="auto"/>
            <w:left w:val="none" w:sz="0" w:space="0" w:color="auto"/>
            <w:bottom w:val="none" w:sz="0" w:space="0" w:color="auto"/>
            <w:right w:val="none" w:sz="0" w:space="0" w:color="auto"/>
          </w:divBdr>
        </w:div>
        <w:div w:id="353461331">
          <w:marLeft w:val="0"/>
          <w:marRight w:val="0"/>
          <w:marTop w:val="0"/>
          <w:marBottom w:val="0"/>
          <w:divBdr>
            <w:top w:val="none" w:sz="0" w:space="0" w:color="auto"/>
            <w:left w:val="none" w:sz="0" w:space="0" w:color="auto"/>
            <w:bottom w:val="none" w:sz="0" w:space="0" w:color="auto"/>
            <w:right w:val="none" w:sz="0" w:space="0" w:color="auto"/>
          </w:divBdr>
        </w:div>
        <w:div w:id="1663194282">
          <w:marLeft w:val="0"/>
          <w:marRight w:val="0"/>
          <w:marTop w:val="0"/>
          <w:marBottom w:val="0"/>
          <w:divBdr>
            <w:top w:val="none" w:sz="0" w:space="0" w:color="auto"/>
            <w:left w:val="none" w:sz="0" w:space="0" w:color="auto"/>
            <w:bottom w:val="none" w:sz="0" w:space="0" w:color="auto"/>
            <w:right w:val="none" w:sz="0" w:space="0" w:color="auto"/>
          </w:divBdr>
        </w:div>
        <w:div w:id="245774524">
          <w:marLeft w:val="0"/>
          <w:marRight w:val="0"/>
          <w:marTop w:val="0"/>
          <w:marBottom w:val="0"/>
          <w:divBdr>
            <w:top w:val="none" w:sz="0" w:space="0" w:color="auto"/>
            <w:left w:val="none" w:sz="0" w:space="0" w:color="auto"/>
            <w:bottom w:val="none" w:sz="0" w:space="0" w:color="auto"/>
            <w:right w:val="none" w:sz="0" w:space="0" w:color="auto"/>
          </w:divBdr>
        </w:div>
        <w:div w:id="706101469">
          <w:marLeft w:val="0"/>
          <w:marRight w:val="0"/>
          <w:marTop w:val="0"/>
          <w:marBottom w:val="0"/>
          <w:divBdr>
            <w:top w:val="none" w:sz="0" w:space="0" w:color="auto"/>
            <w:left w:val="none" w:sz="0" w:space="0" w:color="auto"/>
            <w:bottom w:val="none" w:sz="0" w:space="0" w:color="auto"/>
            <w:right w:val="none" w:sz="0" w:space="0" w:color="auto"/>
          </w:divBdr>
        </w:div>
      </w:divsChild>
    </w:div>
    <w:div w:id="1829010547">
      <w:bodyDiv w:val="1"/>
      <w:marLeft w:val="0"/>
      <w:marRight w:val="0"/>
      <w:marTop w:val="0"/>
      <w:marBottom w:val="0"/>
      <w:divBdr>
        <w:top w:val="none" w:sz="0" w:space="0" w:color="auto"/>
        <w:left w:val="none" w:sz="0" w:space="0" w:color="auto"/>
        <w:bottom w:val="none" w:sz="0" w:space="0" w:color="auto"/>
        <w:right w:val="none" w:sz="0" w:space="0" w:color="auto"/>
      </w:divBdr>
      <w:divsChild>
        <w:div w:id="364797358">
          <w:marLeft w:val="0"/>
          <w:marRight w:val="0"/>
          <w:marTop w:val="0"/>
          <w:marBottom w:val="0"/>
          <w:divBdr>
            <w:top w:val="none" w:sz="0" w:space="0" w:color="auto"/>
            <w:left w:val="none" w:sz="0" w:space="0" w:color="auto"/>
            <w:bottom w:val="none" w:sz="0" w:space="0" w:color="auto"/>
            <w:right w:val="none" w:sz="0" w:space="0" w:color="auto"/>
          </w:divBdr>
          <w:divsChild>
            <w:div w:id="69429876">
              <w:marLeft w:val="0"/>
              <w:marRight w:val="0"/>
              <w:marTop w:val="0"/>
              <w:marBottom w:val="0"/>
              <w:divBdr>
                <w:top w:val="none" w:sz="0" w:space="0" w:color="auto"/>
                <w:left w:val="none" w:sz="0" w:space="0" w:color="auto"/>
                <w:bottom w:val="none" w:sz="0" w:space="0" w:color="auto"/>
                <w:right w:val="none" w:sz="0" w:space="0" w:color="auto"/>
              </w:divBdr>
            </w:div>
          </w:divsChild>
        </w:div>
        <w:div w:id="869339690">
          <w:marLeft w:val="0"/>
          <w:marRight w:val="0"/>
          <w:marTop w:val="0"/>
          <w:marBottom w:val="0"/>
          <w:divBdr>
            <w:top w:val="none" w:sz="0" w:space="0" w:color="auto"/>
            <w:left w:val="none" w:sz="0" w:space="0" w:color="auto"/>
            <w:bottom w:val="none" w:sz="0" w:space="0" w:color="auto"/>
            <w:right w:val="none" w:sz="0" w:space="0" w:color="auto"/>
          </w:divBdr>
          <w:divsChild>
            <w:div w:id="909077226">
              <w:marLeft w:val="0"/>
              <w:marRight w:val="0"/>
              <w:marTop w:val="0"/>
              <w:marBottom w:val="0"/>
              <w:divBdr>
                <w:top w:val="none" w:sz="0" w:space="0" w:color="auto"/>
                <w:left w:val="none" w:sz="0" w:space="0" w:color="auto"/>
                <w:bottom w:val="none" w:sz="0" w:space="0" w:color="auto"/>
                <w:right w:val="none" w:sz="0" w:space="0" w:color="auto"/>
              </w:divBdr>
            </w:div>
            <w:div w:id="1164391813">
              <w:marLeft w:val="0"/>
              <w:marRight w:val="0"/>
              <w:marTop w:val="0"/>
              <w:marBottom w:val="0"/>
              <w:divBdr>
                <w:top w:val="none" w:sz="0" w:space="0" w:color="auto"/>
                <w:left w:val="none" w:sz="0" w:space="0" w:color="auto"/>
                <w:bottom w:val="none" w:sz="0" w:space="0" w:color="auto"/>
                <w:right w:val="none" w:sz="0" w:space="0" w:color="auto"/>
              </w:divBdr>
            </w:div>
            <w:div w:id="1576894261">
              <w:marLeft w:val="0"/>
              <w:marRight w:val="0"/>
              <w:marTop w:val="0"/>
              <w:marBottom w:val="0"/>
              <w:divBdr>
                <w:top w:val="none" w:sz="0" w:space="0" w:color="auto"/>
                <w:left w:val="none" w:sz="0" w:space="0" w:color="auto"/>
                <w:bottom w:val="none" w:sz="0" w:space="0" w:color="auto"/>
                <w:right w:val="none" w:sz="0" w:space="0" w:color="auto"/>
              </w:divBdr>
            </w:div>
            <w:div w:id="1662344543">
              <w:marLeft w:val="0"/>
              <w:marRight w:val="0"/>
              <w:marTop w:val="0"/>
              <w:marBottom w:val="0"/>
              <w:divBdr>
                <w:top w:val="none" w:sz="0" w:space="0" w:color="auto"/>
                <w:left w:val="none" w:sz="0" w:space="0" w:color="auto"/>
                <w:bottom w:val="none" w:sz="0" w:space="0" w:color="auto"/>
                <w:right w:val="none" w:sz="0" w:space="0" w:color="auto"/>
              </w:divBdr>
            </w:div>
          </w:divsChild>
        </w:div>
        <w:div w:id="915939710">
          <w:marLeft w:val="0"/>
          <w:marRight w:val="0"/>
          <w:marTop w:val="0"/>
          <w:marBottom w:val="0"/>
          <w:divBdr>
            <w:top w:val="none" w:sz="0" w:space="0" w:color="auto"/>
            <w:left w:val="none" w:sz="0" w:space="0" w:color="auto"/>
            <w:bottom w:val="none" w:sz="0" w:space="0" w:color="auto"/>
            <w:right w:val="none" w:sz="0" w:space="0" w:color="auto"/>
          </w:divBdr>
        </w:div>
        <w:div w:id="1999528421">
          <w:marLeft w:val="0"/>
          <w:marRight w:val="0"/>
          <w:marTop w:val="0"/>
          <w:marBottom w:val="0"/>
          <w:divBdr>
            <w:top w:val="none" w:sz="0" w:space="0" w:color="auto"/>
            <w:left w:val="none" w:sz="0" w:space="0" w:color="auto"/>
            <w:bottom w:val="none" w:sz="0" w:space="0" w:color="auto"/>
            <w:right w:val="none" w:sz="0" w:space="0" w:color="auto"/>
          </w:divBdr>
        </w:div>
        <w:div w:id="2087677775">
          <w:marLeft w:val="0"/>
          <w:marRight w:val="0"/>
          <w:marTop w:val="0"/>
          <w:marBottom w:val="0"/>
          <w:divBdr>
            <w:top w:val="none" w:sz="0" w:space="0" w:color="auto"/>
            <w:left w:val="none" w:sz="0" w:space="0" w:color="auto"/>
            <w:bottom w:val="none" w:sz="0" w:space="0" w:color="auto"/>
            <w:right w:val="none" w:sz="0" w:space="0" w:color="auto"/>
          </w:divBdr>
        </w:div>
      </w:divsChild>
    </w:div>
    <w:div w:id="1841848226">
      <w:bodyDiv w:val="1"/>
      <w:marLeft w:val="0"/>
      <w:marRight w:val="0"/>
      <w:marTop w:val="0"/>
      <w:marBottom w:val="0"/>
      <w:divBdr>
        <w:top w:val="none" w:sz="0" w:space="0" w:color="auto"/>
        <w:left w:val="none" w:sz="0" w:space="0" w:color="auto"/>
        <w:bottom w:val="none" w:sz="0" w:space="0" w:color="auto"/>
        <w:right w:val="none" w:sz="0" w:space="0" w:color="auto"/>
      </w:divBdr>
    </w:div>
    <w:div w:id="1848325110">
      <w:bodyDiv w:val="1"/>
      <w:marLeft w:val="0"/>
      <w:marRight w:val="0"/>
      <w:marTop w:val="0"/>
      <w:marBottom w:val="0"/>
      <w:divBdr>
        <w:top w:val="none" w:sz="0" w:space="0" w:color="auto"/>
        <w:left w:val="none" w:sz="0" w:space="0" w:color="auto"/>
        <w:bottom w:val="none" w:sz="0" w:space="0" w:color="auto"/>
        <w:right w:val="none" w:sz="0" w:space="0" w:color="auto"/>
      </w:divBdr>
      <w:divsChild>
        <w:div w:id="119694166">
          <w:marLeft w:val="0"/>
          <w:marRight w:val="0"/>
          <w:marTop w:val="0"/>
          <w:marBottom w:val="0"/>
          <w:divBdr>
            <w:top w:val="none" w:sz="0" w:space="0" w:color="auto"/>
            <w:left w:val="none" w:sz="0" w:space="0" w:color="auto"/>
            <w:bottom w:val="none" w:sz="0" w:space="0" w:color="auto"/>
            <w:right w:val="none" w:sz="0" w:space="0" w:color="auto"/>
          </w:divBdr>
        </w:div>
        <w:div w:id="529226774">
          <w:marLeft w:val="0"/>
          <w:marRight w:val="0"/>
          <w:marTop w:val="0"/>
          <w:marBottom w:val="0"/>
          <w:divBdr>
            <w:top w:val="none" w:sz="0" w:space="0" w:color="auto"/>
            <w:left w:val="none" w:sz="0" w:space="0" w:color="auto"/>
            <w:bottom w:val="none" w:sz="0" w:space="0" w:color="auto"/>
            <w:right w:val="none" w:sz="0" w:space="0" w:color="auto"/>
          </w:divBdr>
        </w:div>
        <w:div w:id="1136068104">
          <w:marLeft w:val="0"/>
          <w:marRight w:val="0"/>
          <w:marTop w:val="0"/>
          <w:marBottom w:val="0"/>
          <w:divBdr>
            <w:top w:val="none" w:sz="0" w:space="0" w:color="auto"/>
            <w:left w:val="none" w:sz="0" w:space="0" w:color="auto"/>
            <w:bottom w:val="none" w:sz="0" w:space="0" w:color="auto"/>
            <w:right w:val="none" w:sz="0" w:space="0" w:color="auto"/>
          </w:divBdr>
        </w:div>
        <w:div w:id="1174225957">
          <w:marLeft w:val="0"/>
          <w:marRight w:val="0"/>
          <w:marTop w:val="0"/>
          <w:marBottom w:val="0"/>
          <w:divBdr>
            <w:top w:val="none" w:sz="0" w:space="0" w:color="auto"/>
            <w:left w:val="none" w:sz="0" w:space="0" w:color="auto"/>
            <w:bottom w:val="none" w:sz="0" w:space="0" w:color="auto"/>
            <w:right w:val="none" w:sz="0" w:space="0" w:color="auto"/>
          </w:divBdr>
        </w:div>
        <w:div w:id="1361083771">
          <w:marLeft w:val="0"/>
          <w:marRight w:val="0"/>
          <w:marTop w:val="0"/>
          <w:marBottom w:val="0"/>
          <w:divBdr>
            <w:top w:val="none" w:sz="0" w:space="0" w:color="auto"/>
            <w:left w:val="none" w:sz="0" w:space="0" w:color="auto"/>
            <w:bottom w:val="none" w:sz="0" w:space="0" w:color="auto"/>
            <w:right w:val="none" w:sz="0" w:space="0" w:color="auto"/>
          </w:divBdr>
        </w:div>
        <w:div w:id="2103724015">
          <w:marLeft w:val="0"/>
          <w:marRight w:val="0"/>
          <w:marTop w:val="0"/>
          <w:marBottom w:val="0"/>
          <w:divBdr>
            <w:top w:val="none" w:sz="0" w:space="0" w:color="auto"/>
            <w:left w:val="none" w:sz="0" w:space="0" w:color="auto"/>
            <w:bottom w:val="none" w:sz="0" w:space="0" w:color="auto"/>
            <w:right w:val="none" w:sz="0" w:space="0" w:color="auto"/>
          </w:divBdr>
        </w:div>
      </w:divsChild>
    </w:div>
    <w:div w:id="1849950605">
      <w:bodyDiv w:val="1"/>
      <w:marLeft w:val="0"/>
      <w:marRight w:val="0"/>
      <w:marTop w:val="0"/>
      <w:marBottom w:val="0"/>
      <w:divBdr>
        <w:top w:val="none" w:sz="0" w:space="0" w:color="auto"/>
        <w:left w:val="none" w:sz="0" w:space="0" w:color="auto"/>
        <w:bottom w:val="none" w:sz="0" w:space="0" w:color="auto"/>
        <w:right w:val="none" w:sz="0" w:space="0" w:color="auto"/>
      </w:divBdr>
      <w:divsChild>
        <w:div w:id="253171876">
          <w:marLeft w:val="0"/>
          <w:marRight w:val="0"/>
          <w:marTop w:val="0"/>
          <w:marBottom w:val="0"/>
          <w:divBdr>
            <w:top w:val="none" w:sz="0" w:space="0" w:color="auto"/>
            <w:left w:val="none" w:sz="0" w:space="0" w:color="auto"/>
            <w:bottom w:val="none" w:sz="0" w:space="0" w:color="auto"/>
            <w:right w:val="none" w:sz="0" w:space="0" w:color="auto"/>
          </w:divBdr>
        </w:div>
        <w:div w:id="291903398">
          <w:marLeft w:val="0"/>
          <w:marRight w:val="0"/>
          <w:marTop w:val="0"/>
          <w:marBottom w:val="0"/>
          <w:divBdr>
            <w:top w:val="none" w:sz="0" w:space="0" w:color="auto"/>
            <w:left w:val="none" w:sz="0" w:space="0" w:color="auto"/>
            <w:bottom w:val="none" w:sz="0" w:space="0" w:color="auto"/>
            <w:right w:val="none" w:sz="0" w:space="0" w:color="auto"/>
          </w:divBdr>
        </w:div>
        <w:div w:id="546768874">
          <w:marLeft w:val="0"/>
          <w:marRight w:val="0"/>
          <w:marTop w:val="0"/>
          <w:marBottom w:val="0"/>
          <w:divBdr>
            <w:top w:val="none" w:sz="0" w:space="0" w:color="auto"/>
            <w:left w:val="none" w:sz="0" w:space="0" w:color="auto"/>
            <w:bottom w:val="none" w:sz="0" w:space="0" w:color="auto"/>
            <w:right w:val="none" w:sz="0" w:space="0" w:color="auto"/>
          </w:divBdr>
        </w:div>
        <w:div w:id="604726447">
          <w:marLeft w:val="0"/>
          <w:marRight w:val="0"/>
          <w:marTop w:val="0"/>
          <w:marBottom w:val="0"/>
          <w:divBdr>
            <w:top w:val="none" w:sz="0" w:space="0" w:color="auto"/>
            <w:left w:val="none" w:sz="0" w:space="0" w:color="auto"/>
            <w:bottom w:val="none" w:sz="0" w:space="0" w:color="auto"/>
            <w:right w:val="none" w:sz="0" w:space="0" w:color="auto"/>
          </w:divBdr>
        </w:div>
        <w:div w:id="877662026">
          <w:marLeft w:val="0"/>
          <w:marRight w:val="0"/>
          <w:marTop w:val="0"/>
          <w:marBottom w:val="0"/>
          <w:divBdr>
            <w:top w:val="none" w:sz="0" w:space="0" w:color="auto"/>
            <w:left w:val="none" w:sz="0" w:space="0" w:color="auto"/>
            <w:bottom w:val="none" w:sz="0" w:space="0" w:color="auto"/>
            <w:right w:val="none" w:sz="0" w:space="0" w:color="auto"/>
          </w:divBdr>
        </w:div>
        <w:div w:id="894776200">
          <w:marLeft w:val="0"/>
          <w:marRight w:val="0"/>
          <w:marTop w:val="0"/>
          <w:marBottom w:val="0"/>
          <w:divBdr>
            <w:top w:val="none" w:sz="0" w:space="0" w:color="auto"/>
            <w:left w:val="none" w:sz="0" w:space="0" w:color="auto"/>
            <w:bottom w:val="none" w:sz="0" w:space="0" w:color="auto"/>
            <w:right w:val="none" w:sz="0" w:space="0" w:color="auto"/>
          </w:divBdr>
        </w:div>
        <w:div w:id="957567126">
          <w:marLeft w:val="0"/>
          <w:marRight w:val="0"/>
          <w:marTop w:val="0"/>
          <w:marBottom w:val="0"/>
          <w:divBdr>
            <w:top w:val="none" w:sz="0" w:space="0" w:color="auto"/>
            <w:left w:val="none" w:sz="0" w:space="0" w:color="auto"/>
            <w:bottom w:val="none" w:sz="0" w:space="0" w:color="auto"/>
            <w:right w:val="none" w:sz="0" w:space="0" w:color="auto"/>
          </w:divBdr>
        </w:div>
        <w:div w:id="1035885933">
          <w:marLeft w:val="0"/>
          <w:marRight w:val="0"/>
          <w:marTop w:val="0"/>
          <w:marBottom w:val="0"/>
          <w:divBdr>
            <w:top w:val="none" w:sz="0" w:space="0" w:color="auto"/>
            <w:left w:val="none" w:sz="0" w:space="0" w:color="auto"/>
            <w:bottom w:val="none" w:sz="0" w:space="0" w:color="auto"/>
            <w:right w:val="none" w:sz="0" w:space="0" w:color="auto"/>
          </w:divBdr>
        </w:div>
        <w:div w:id="1065953415">
          <w:marLeft w:val="0"/>
          <w:marRight w:val="0"/>
          <w:marTop w:val="0"/>
          <w:marBottom w:val="0"/>
          <w:divBdr>
            <w:top w:val="none" w:sz="0" w:space="0" w:color="auto"/>
            <w:left w:val="none" w:sz="0" w:space="0" w:color="auto"/>
            <w:bottom w:val="none" w:sz="0" w:space="0" w:color="auto"/>
            <w:right w:val="none" w:sz="0" w:space="0" w:color="auto"/>
          </w:divBdr>
        </w:div>
        <w:div w:id="1278829022">
          <w:marLeft w:val="0"/>
          <w:marRight w:val="0"/>
          <w:marTop w:val="0"/>
          <w:marBottom w:val="0"/>
          <w:divBdr>
            <w:top w:val="none" w:sz="0" w:space="0" w:color="auto"/>
            <w:left w:val="none" w:sz="0" w:space="0" w:color="auto"/>
            <w:bottom w:val="none" w:sz="0" w:space="0" w:color="auto"/>
            <w:right w:val="none" w:sz="0" w:space="0" w:color="auto"/>
          </w:divBdr>
        </w:div>
        <w:div w:id="1341740899">
          <w:marLeft w:val="0"/>
          <w:marRight w:val="0"/>
          <w:marTop w:val="0"/>
          <w:marBottom w:val="0"/>
          <w:divBdr>
            <w:top w:val="none" w:sz="0" w:space="0" w:color="auto"/>
            <w:left w:val="none" w:sz="0" w:space="0" w:color="auto"/>
            <w:bottom w:val="none" w:sz="0" w:space="0" w:color="auto"/>
            <w:right w:val="none" w:sz="0" w:space="0" w:color="auto"/>
          </w:divBdr>
        </w:div>
        <w:div w:id="1457987121">
          <w:marLeft w:val="0"/>
          <w:marRight w:val="0"/>
          <w:marTop w:val="0"/>
          <w:marBottom w:val="0"/>
          <w:divBdr>
            <w:top w:val="none" w:sz="0" w:space="0" w:color="auto"/>
            <w:left w:val="none" w:sz="0" w:space="0" w:color="auto"/>
            <w:bottom w:val="none" w:sz="0" w:space="0" w:color="auto"/>
            <w:right w:val="none" w:sz="0" w:space="0" w:color="auto"/>
          </w:divBdr>
        </w:div>
        <w:div w:id="1482966303">
          <w:marLeft w:val="0"/>
          <w:marRight w:val="0"/>
          <w:marTop w:val="0"/>
          <w:marBottom w:val="0"/>
          <w:divBdr>
            <w:top w:val="none" w:sz="0" w:space="0" w:color="auto"/>
            <w:left w:val="none" w:sz="0" w:space="0" w:color="auto"/>
            <w:bottom w:val="none" w:sz="0" w:space="0" w:color="auto"/>
            <w:right w:val="none" w:sz="0" w:space="0" w:color="auto"/>
          </w:divBdr>
        </w:div>
        <w:div w:id="1527988714">
          <w:marLeft w:val="0"/>
          <w:marRight w:val="0"/>
          <w:marTop w:val="0"/>
          <w:marBottom w:val="0"/>
          <w:divBdr>
            <w:top w:val="none" w:sz="0" w:space="0" w:color="auto"/>
            <w:left w:val="none" w:sz="0" w:space="0" w:color="auto"/>
            <w:bottom w:val="none" w:sz="0" w:space="0" w:color="auto"/>
            <w:right w:val="none" w:sz="0" w:space="0" w:color="auto"/>
          </w:divBdr>
        </w:div>
        <w:div w:id="1639797907">
          <w:marLeft w:val="0"/>
          <w:marRight w:val="0"/>
          <w:marTop w:val="0"/>
          <w:marBottom w:val="0"/>
          <w:divBdr>
            <w:top w:val="none" w:sz="0" w:space="0" w:color="auto"/>
            <w:left w:val="none" w:sz="0" w:space="0" w:color="auto"/>
            <w:bottom w:val="none" w:sz="0" w:space="0" w:color="auto"/>
            <w:right w:val="none" w:sz="0" w:space="0" w:color="auto"/>
          </w:divBdr>
        </w:div>
        <w:div w:id="1677876493">
          <w:marLeft w:val="0"/>
          <w:marRight w:val="0"/>
          <w:marTop w:val="0"/>
          <w:marBottom w:val="0"/>
          <w:divBdr>
            <w:top w:val="none" w:sz="0" w:space="0" w:color="auto"/>
            <w:left w:val="none" w:sz="0" w:space="0" w:color="auto"/>
            <w:bottom w:val="none" w:sz="0" w:space="0" w:color="auto"/>
            <w:right w:val="none" w:sz="0" w:space="0" w:color="auto"/>
          </w:divBdr>
        </w:div>
        <w:div w:id="1858884934">
          <w:marLeft w:val="0"/>
          <w:marRight w:val="0"/>
          <w:marTop w:val="0"/>
          <w:marBottom w:val="0"/>
          <w:divBdr>
            <w:top w:val="none" w:sz="0" w:space="0" w:color="auto"/>
            <w:left w:val="none" w:sz="0" w:space="0" w:color="auto"/>
            <w:bottom w:val="none" w:sz="0" w:space="0" w:color="auto"/>
            <w:right w:val="none" w:sz="0" w:space="0" w:color="auto"/>
          </w:divBdr>
        </w:div>
        <w:div w:id="1941254223">
          <w:marLeft w:val="0"/>
          <w:marRight w:val="0"/>
          <w:marTop w:val="0"/>
          <w:marBottom w:val="0"/>
          <w:divBdr>
            <w:top w:val="none" w:sz="0" w:space="0" w:color="auto"/>
            <w:left w:val="none" w:sz="0" w:space="0" w:color="auto"/>
            <w:bottom w:val="none" w:sz="0" w:space="0" w:color="auto"/>
            <w:right w:val="none" w:sz="0" w:space="0" w:color="auto"/>
          </w:divBdr>
        </w:div>
      </w:divsChild>
    </w:div>
    <w:div w:id="1878153576">
      <w:bodyDiv w:val="1"/>
      <w:marLeft w:val="0"/>
      <w:marRight w:val="0"/>
      <w:marTop w:val="0"/>
      <w:marBottom w:val="0"/>
      <w:divBdr>
        <w:top w:val="none" w:sz="0" w:space="0" w:color="auto"/>
        <w:left w:val="none" w:sz="0" w:space="0" w:color="auto"/>
        <w:bottom w:val="none" w:sz="0" w:space="0" w:color="auto"/>
        <w:right w:val="none" w:sz="0" w:space="0" w:color="auto"/>
      </w:divBdr>
      <w:divsChild>
        <w:div w:id="297145967">
          <w:marLeft w:val="0"/>
          <w:marRight w:val="0"/>
          <w:marTop w:val="0"/>
          <w:marBottom w:val="0"/>
          <w:divBdr>
            <w:top w:val="none" w:sz="0" w:space="0" w:color="auto"/>
            <w:left w:val="none" w:sz="0" w:space="0" w:color="auto"/>
            <w:bottom w:val="none" w:sz="0" w:space="0" w:color="auto"/>
            <w:right w:val="none" w:sz="0" w:space="0" w:color="auto"/>
          </w:divBdr>
        </w:div>
        <w:div w:id="802845992">
          <w:marLeft w:val="0"/>
          <w:marRight w:val="0"/>
          <w:marTop w:val="0"/>
          <w:marBottom w:val="0"/>
          <w:divBdr>
            <w:top w:val="none" w:sz="0" w:space="0" w:color="auto"/>
            <w:left w:val="none" w:sz="0" w:space="0" w:color="auto"/>
            <w:bottom w:val="none" w:sz="0" w:space="0" w:color="auto"/>
            <w:right w:val="none" w:sz="0" w:space="0" w:color="auto"/>
          </w:divBdr>
        </w:div>
        <w:div w:id="819737239">
          <w:marLeft w:val="0"/>
          <w:marRight w:val="0"/>
          <w:marTop w:val="0"/>
          <w:marBottom w:val="0"/>
          <w:divBdr>
            <w:top w:val="none" w:sz="0" w:space="0" w:color="auto"/>
            <w:left w:val="none" w:sz="0" w:space="0" w:color="auto"/>
            <w:bottom w:val="none" w:sz="0" w:space="0" w:color="auto"/>
            <w:right w:val="none" w:sz="0" w:space="0" w:color="auto"/>
          </w:divBdr>
        </w:div>
      </w:divsChild>
    </w:div>
    <w:div w:id="1886989028">
      <w:bodyDiv w:val="1"/>
      <w:marLeft w:val="0"/>
      <w:marRight w:val="0"/>
      <w:marTop w:val="0"/>
      <w:marBottom w:val="0"/>
      <w:divBdr>
        <w:top w:val="none" w:sz="0" w:space="0" w:color="auto"/>
        <w:left w:val="none" w:sz="0" w:space="0" w:color="auto"/>
        <w:bottom w:val="none" w:sz="0" w:space="0" w:color="auto"/>
        <w:right w:val="none" w:sz="0" w:space="0" w:color="auto"/>
      </w:divBdr>
      <w:divsChild>
        <w:div w:id="249893198">
          <w:marLeft w:val="0"/>
          <w:marRight w:val="0"/>
          <w:marTop w:val="0"/>
          <w:marBottom w:val="0"/>
          <w:divBdr>
            <w:top w:val="none" w:sz="0" w:space="0" w:color="auto"/>
            <w:left w:val="none" w:sz="0" w:space="0" w:color="auto"/>
            <w:bottom w:val="none" w:sz="0" w:space="0" w:color="auto"/>
            <w:right w:val="none" w:sz="0" w:space="0" w:color="auto"/>
          </w:divBdr>
          <w:divsChild>
            <w:div w:id="245385170">
              <w:marLeft w:val="0"/>
              <w:marRight w:val="0"/>
              <w:marTop w:val="0"/>
              <w:marBottom w:val="0"/>
              <w:divBdr>
                <w:top w:val="none" w:sz="0" w:space="0" w:color="auto"/>
                <w:left w:val="none" w:sz="0" w:space="0" w:color="auto"/>
                <w:bottom w:val="none" w:sz="0" w:space="0" w:color="auto"/>
                <w:right w:val="none" w:sz="0" w:space="0" w:color="auto"/>
              </w:divBdr>
            </w:div>
            <w:div w:id="1823502408">
              <w:marLeft w:val="0"/>
              <w:marRight w:val="0"/>
              <w:marTop w:val="0"/>
              <w:marBottom w:val="0"/>
              <w:divBdr>
                <w:top w:val="none" w:sz="0" w:space="0" w:color="auto"/>
                <w:left w:val="none" w:sz="0" w:space="0" w:color="auto"/>
                <w:bottom w:val="none" w:sz="0" w:space="0" w:color="auto"/>
                <w:right w:val="none" w:sz="0" w:space="0" w:color="auto"/>
              </w:divBdr>
            </w:div>
            <w:div w:id="567767445">
              <w:marLeft w:val="0"/>
              <w:marRight w:val="0"/>
              <w:marTop w:val="0"/>
              <w:marBottom w:val="0"/>
              <w:divBdr>
                <w:top w:val="none" w:sz="0" w:space="0" w:color="auto"/>
                <w:left w:val="none" w:sz="0" w:space="0" w:color="auto"/>
                <w:bottom w:val="none" w:sz="0" w:space="0" w:color="auto"/>
                <w:right w:val="none" w:sz="0" w:space="0" w:color="auto"/>
              </w:divBdr>
            </w:div>
            <w:div w:id="412362475">
              <w:marLeft w:val="0"/>
              <w:marRight w:val="0"/>
              <w:marTop w:val="0"/>
              <w:marBottom w:val="0"/>
              <w:divBdr>
                <w:top w:val="none" w:sz="0" w:space="0" w:color="auto"/>
                <w:left w:val="none" w:sz="0" w:space="0" w:color="auto"/>
                <w:bottom w:val="none" w:sz="0" w:space="0" w:color="auto"/>
                <w:right w:val="none" w:sz="0" w:space="0" w:color="auto"/>
              </w:divBdr>
            </w:div>
            <w:div w:id="246811730">
              <w:marLeft w:val="0"/>
              <w:marRight w:val="0"/>
              <w:marTop w:val="0"/>
              <w:marBottom w:val="0"/>
              <w:divBdr>
                <w:top w:val="none" w:sz="0" w:space="0" w:color="auto"/>
                <w:left w:val="none" w:sz="0" w:space="0" w:color="auto"/>
                <w:bottom w:val="none" w:sz="0" w:space="0" w:color="auto"/>
                <w:right w:val="none" w:sz="0" w:space="0" w:color="auto"/>
              </w:divBdr>
            </w:div>
            <w:div w:id="1058359349">
              <w:marLeft w:val="0"/>
              <w:marRight w:val="0"/>
              <w:marTop w:val="0"/>
              <w:marBottom w:val="0"/>
              <w:divBdr>
                <w:top w:val="none" w:sz="0" w:space="0" w:color="auto"/>
                <w:left w:val="none" w:sz="0" w:space="0" w:color="auto"/>
                <w:bottom w:val="none" w:sz="0" w:space="0" w:color="auto"/>
                <w:right w:val="none" w:sz="0" w:space="0" w:color="auto"/>
              </w:divBdr>
            </w:div>
            <w:div w:id="1491798621">
              <w:marLeft w:val="0"/>
              <w:marRight w:val="0"/>
              <w:marTop w:val="0"/>
              <w:marBottom w:val="0"/>
              <w:divBdr>
                <w:top w:val="none" w:sz="0" w:space="0" w:color="auto"/>
                <w:left w:val="none" w:sz="0" w:space="0" w:color="auto"/>
                <w:bottom w:val="none" w:sz="0" w:space="0" w:color="auto"/>
                <w:right w:val="none" w:sz="0" w:space="0" w:color="auto"/>
              </w:divBdr>
            </w:div>
          </w:divsChild>
        </w:div>
        <w:div w:id="1085303588">
          <w:marLeft w:val="0"/>
          <w:marRight w:val="0"/>
          <w:marTop w:val="0"/>
          <w:marBottom w:val="0"/>
          <w:divBdr>
            <w:top w:val="none" w:sz="0" w:space="0" w:color="auto"/>
            <w:left w:val="none" w:sz="0" w:space="0" w:color="auto"/>
            <w:bottom w:val="none" w:sz="0" w:space="0" w:color="auto"/>
            <w:right w:val="none" w:sz="0" w:space="0" w:color="auto"/>
          </w:divBdr>
          <w:divsChild>
            <w:div w:id="1373992299">
              <w:marLeft w:val="0"/>
              <w:marRight w:val="0"/>
              <w:marTop w:val="0"/>
              <w:marBottom w:val="0"/>
              <w:divBdr>
                <w:top w:val="none" w:sz="0" w:space="0" w:color="auto"/>
                <w:left w:val="none" w:sz="0" w:space="0" w:color="auto"/>
                <w:bottom w:val="none" w:sz="0" w:space="0" w:color="auto"/>
                <w:right w:val="none" w:sz="0" w:space="0" w:color="auto"/>
              </w:divBdr>
            </w:div>
            <w:div w:id="625507398">
              <w:marLeft w:val="0"/>
              <w:marRight w:val="0"/>
              <w:marTop w:val="0"/>
              <w:marBottom w:val="0"/>
              <w:divBdr>
                <w:top w:val="none" w:sz="0" w:space="0" w:color="auto"/>
                <w:left w:val="none" w:sz="0" w:space="0" w:color="auto"/>
                <w:bottom w:val="none" w:sz="0" w:space="0" w:color="auto"/>
                <w:right w:val="none" w:sz="0" w:space="0" w:color="auto"/>
              </w:divBdr>
            </w:div>
            <w:div w:id="1084495313">
              <w:marLeft w:val="0"/>
              <w:marRight w:val="0"/>
              <w:marTop w:val="0"/>
              <w:marBottom w:val="0"/>
              <w:divBdr>
                <w:top w:val="none" w:sz="0" w:space="0" w:color="auto"/>
                <w:left w:val="none" w:sz="0" w:space="0" w:color="auto"/>
                <w:bottom w:val="none" w:sz="0" w:space="0" w:color="auto"/>
                <w:right w:val="none" w:sz="0" w:space="0" w:color="auto"/>
              </w:divBdr>
            </w:div>
            <w:div w:id="138426155">
              <w:marLeft w:val="0"/>
              <w:marRight w:val="0"/>
              <w:marTop w:val="0"/>
              <w:marBottom w:val="0"/>
              <w:divBdr>
                <w:top w:val="none" w:sz="0" w:space="0" w:color="auto"/>
                <w:left w:val="none" w:sz="0" w:space="0" w:color="auto"/>
                <w:bottom w:val="none" w:sz="0" w:space="0" w:color="auto"/>
                <w:right w:val="none" w:sz="0" w:space="0" w:color="auto"/>
              </w:divBdr>
            </w:div>
            <w:div w:id="2089842630">
              <w:marLeft w:val="0"/>
              <w:marRight w:val="0"/>
              <w:marTop w:val="0"/>
              <w:marBottom w:val="0"/>
              <w:divBdr>
                <w:top w:val="none" w:sz="0" w:space="0" w:color="auto"/>
                <w:left w:val="none" w:sz="0" w:space="0" w:color="auto"/>
                <w:bottom w:val="none" w:sz="0" w:space="0" w:color="auto"/>
                <w:right w:val="none" w:sz="0" w:space="0" w:color="auto"/>
              </w:divBdr>
            </w:div>
            <w:div w:id="1320429146">
              <w:marLeft w:val="0"/>
              <w:marRight w:val="0"/>
              <w:marTop w:val="0"/>
              <w:marBottom w:val="0"/>
              <w:divBdr>
                <w:top w:val="none" w:sz="0" w:space="0" w:color="auto"/>
                <w:left w:val="none" w:sz="0" w:space="0" w:color="auto"/>
                <w:bottom w:val="none" w:sz="0" w:space="0" w:color="auto"/>
                <w:right w:val="none" w:sz="0" w:space="0" w:color="auto"/>
              </w:divBdr>
            </w:div>
            <w:div w:id="2078672816">
              <w:marLeft w:val="0"/>
              <w:marRight w:val="0"/>
              <w:marTop w:val="0"/>
              <w:marBottom w:val="0"/>
              <w:divBdr>
                <w:top w:val="none" w:sz="0" w:space="0" w:color="auto"/>
                <w:left w:val="none" w:sz="0" w:space="0" w:color="auto"/>
                <w:bottom w:val="none" w:sz="0" w:space="0" w:color="auto"/>
                <w:right w:val="none" w:sz="0" w:space="0" w:color="auto"/>
              </w:divBdr>
            </w:div>
            <w:div w:id="1880700394">
              <w:marLeft w:val="0"/>
              <w:marRight w:val="0"/>
              <w:marTop w:val="0"/>
              <w:marBottom w:val="0"/>
              <w:divBdr>
                <w:top w:val="none" w:sz="0" w:space="0" w:color="auto"/>
                <w:left w:val="none" w:sz="0" w:space="0" w:color="auto"/>
                <w:bottom w:val="none" w:sz="0" w:space="0" w:color="auto"/>
                <w:right w:val="none" w:sz="0" w:space="0" w:color="auto"/>
              </w:divBdr>
            </w:div>
            <w:div w:id="1585650119">
              <w:marLeft w:val="0"/>
              <w:marRight w:val="0"/>
              <w:marTop w:val="0"/>
              <w:marBottom w:val="0"/>
              <w:divBdr>
                <w:top w:val="none" w:sz="0" w:space="0" w:color="auto"/>
                <w:left w:val="none" w:sz="0" w:space="0" w:color="auto"/>
                <w:bottom w:val="none" w:sz="0" w:space="0" w:color="auto"/>
                <w:right w:val="none" w:sz="0" w:space="0" w:color="auto"/>
              </w:divBdr>
            </w:div>
            <w:div w:id="201865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51127">
      <w:bodyDiv w:val="1"/>
      <w:marLeft w:val="0"/>
      <w:marRight w:val="0"/>
      <w:marTop w:val="0"/>
      <w:marBottom w:val="0"/>
      <w:divBdr>
        <w:top w:val="none" w:sz="0" w:space="0" w:color="auto"/>
        <w:left w:val="none" w:sz="0" w:space="0" w:color="auto"/>
        <w:bottom w:val="none" w:sz="0" w:space="0" w:color="auto"/>
        <w:right w:val="none" w:sz="0" w:space="0" w:color="auto"/>
      </w:divBdr>
      <w:divsChild>
        <w:div w:id="17240954">
          <w:marLeft w:val="-180"/>
          <w:marRight w:val="-180"/>
          <w:marTop w:val="180"/>
          <w:marBottom w:val="0"/>
          <w:divBdr>
            <w:top w:val="none" w:sz="0" w:space="0" w:color="auto"/>
            <w:left w:val="none" w:sz="0" w:space="0" w:color="auto"/>
            <w:bottom w:val="none" w:sz="0" w:space="0" w:color="auto"/>
            <w:right w:val="none" w:sz="0" w:space="0" w:color="auto"/>
          </w:divBdr>
          <w:divsChild>
            <w:div w:id="118031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2023">
      <w:bodyDiv w:val="1"/>
      <w:marLeft w:val="0"/>
      <w:marRight w:val="0"/>
      <w:marTop w:val="0"/>
      <w:marBottom w:val="0"/>
      <w:divBdr>
        <w:top w:val="none" w:sz="0" w:space="0" w:color="auto"/>
        <w:left w:val="none" w:sz="0" w:space="0" w:color="auto"/>
        <w:bottom w:val="none" w:sz="0" w:space="0" w:color="auto"/>
        <w:right w:val="none" w:sz="0" w:space="0" w:color="auto"/>
      </w:divBdr>
      <w:divsChild>
        <w:div w:id="58409153">
          <w:marLeft w:val="0"/>
          <w:marRight w:val="0"/>
          <w:marTop w:val="0"/>
          <w:marBottom w:val="0"/>
          <w:divBdr>
            <w:top w:val="none" w:sz="0" w:space="0" w:color="auto"/>
            <w:left w:val="none" w:sz="0" w:space="0" w:color="auto"/>
            <w:bottom w:val="none" w:sz="0" w:space="0" w:color="auto"/>
            <w:right w:val="none" w:sz="0" w:space="0" w:color="auto"/>
          </w:divBdr>
          <w:divsChild>
            <w:div w:id="858545126">
              <w:marLeft w:val="0"/>
              <w:marRight w:val="0"/>
              <w:marTop w:val="0"/>
              <w:marBottom w:val="0"/>
              <w:divBdr>
                <w:top w:val="none" w:sz="0" w:space="0" w:color="auto"/>
                <w:left w:val="none" w:sz="0" w:space="0" w:color="auto"/>
                <w:bottom w:val="none" w:sz="0" w:space="0" w:color="auto"/>
                <w:right w:val="none" w:sz="0" w:space="0" w:color="auto"/>
              </w:divBdr>
            </w:div>
            <w:div w:id="513375195">
              <w:marLeft w:val="0"/>
              <w:marRight w:val="0"/>
              <w:marTop w:val="0"/>
              <w:marBottom w:val="0"/>
              <w:divBdr>
                <w:top w:val="none" w:sz="0" w:space="0" w:color="auto"/>
                <w:left w:val="none" w:sz="0" w:space="0" w:color="auto"/>
                <w:bottom w:val="none" w:sz="0" w:space="0" w:color="auto"/>
                <w:right w:val="none" w:sz="0" w:space="0" w:color="auto"/>
              </w:divBdr>
            </w:div>
            <w:div w:id="1048408457">
              <w:marLeft w:val="0"/>
              <w:marRight w:val="0"/>
              <w:marTop w:val="0"/>
              <w:marBottom w:val="0"/>
              <w:divBdr>
                <w:top w:val="none" w:sz="0" w:space="0" w:color="auto"/>
                <w:left w:val="none" w:sz="0" w:space="0" w:color="auto"/>
                <w:bottom w:val="none" w:sz="0" w:space="0" w:color="auto"/>
                <w:right w:val="none" w:sz="0" w:space="0" w:color="auto"/>
              </w:divBdr>
            </w:div>
            <w:div w:id="1367365444">
              <w:marLeft w:val="0"/>
              <w:marRight w:val="0"/>
              <w:marTop w:val="0"/>
              <w:marBottom w:val="0"/>
              <w:divBdr>
                <w:top w:val="none" w:sz="0" w:space="0" w:color="auto"/>
                <w:left w:val="none" w:sz="0" w:space="0" w:color="auto"/>
                <w:bottom w:val="none" w:sz="0" w:space="0" w:color="auto"/>
                <w:right w:val="none" w:sz="0" w:space="0" w:color="auto"/>
              </w:divBdr>
            </w:div>
            <w:div w:id="1553343108">
              <w:marLeft w:val="0"/>
              <w:marRight w:val="0"/>
              <w:marTop w:val="0"/>
              <w:marBottom w:val="0"/>
              <w:divBdr>
                <w:top w:val="none" w:sz="0" w:space="0" w:color="auto"/>
                <w:left w:val="none" w:sz="0" w:space="0" w:color="auto"/>
                <w:bottom w:val="none" w:sz="0" w:space="0" w:color="auto"/>
                <w:right w:val="none" w:sz="0" w:space="0" w:color="auto"/>
              </w:divBdr>
            </w:div>
            <w:div w:id="1160996356">
              <w:marLeft w:val="0"/>
              <w:marRight w:val="0"/>
              <w:marTop w:val="0"/>
              <w:marBottom w:val="0"/>
              <w:divBdr>
                <w:top w:val="none" w:sz="0" w:space="0" w:color="auto"/>
                <w:left w:val="none" w:sz="0" w:space="0" w:color="auto"/>
                <w:bottom w:val="none" w:sz="0" w:space="0" w:color="auto"/>
                <w:right w:val="none" w:sz="0" w:space="0" w:color="auto"/>
              </w:divBdr>
            </w:div>
            <w:div w:id="1578320257">
              <w:marLeft w:val="0"/>
              <w:marRight w:val="0"/>
              <w:marTop w:val="0"/>
              <w:marBottom w:val="0"/>
              <w:divBdr>
                <w:top w:val="none" w:sz="0" w:space="0" w:color="auto"/>
                <w:left w:val="none" w:sz="0" w:space="0" w:color="auto"/>
                <w:bottom w:val="none" w:sz="0" w:space="0" w:color="auto"/>
                <w:right w:val="none" w:sz="0" w:space="0" w:color="auto"/>
              </w:divBdr>
            </w:div>
          </w:divsChild>
        </w:div>
        <w:div w:id="683630912">
          <w:marLeft w:val="0"/>
          <w:marRight w:val="0"/>
          <w:marTop w:val="0"/>
          <w:marBottom w:val="0"/>
          <w:divBdr>
            <w:top w:val="none" w:sz="0" w:space="0" w:color="auto"/>
            <w:left w:val="none" w:sz="0" w:space="0" w:color="auto"/>
            <w:bottom w:val="none" w:sz="0" w:space="0" w:color="auto"/>
            <w:right w:val="none" w:sz="0" w:space="0" w:color="auto"/>
          </w:divBdr>
          <w:divsChild>
            <w:div w:id="1143931574">
              <w:marLeft w:val="0"/>
              <w:marRight w:val="0"/>
              <w:marTop w:val="0"/>
              <w:marBottom w:val="0"/>
              <w:divBdr>
                <w:top w:val="none" w:sz="0" w:space="0" w:color="auto"/>
                <w:left w:val="none" w:sz="0" w:space="0" w:color="auto"/>
                <w:bottom w:val="none" w:sz="0" w:space="0" w:color="auto"/>
                <w:right w:val="none" w:sz="0" w:space="0" w:color="auto"/>
              </w:divBdr>
            </w:div>
            <w:div w:id="451218098">
              <w:marLeft w:val="0"/>
              <w:marRight w:val="0"/>
              <w:marTop w:val="0"/>
              <w:marBottom w:val="0"/>
              <w:divBdr>
                <w:top w:val="none" w:sz="0" w:space="0" w:color="auto"/>
                <w:left w:val="none" w:sz="0" w:space="0" w:color="auto"/>
                <w:bottom w:val="none" w:sz="0" w:space="0" w:color="auto"/>
                <w:right w:val="none" w:sz="0" w:space="0" w:color="auto"/>
              </w:divBdr>
            </w:div>
            <w:div w:id="1247567835">
              <w:marLeft w:val="0"/>
              <w:marRight w:val="0"/>
              <w:marTop w:val="0"/>
              <w:marBottom w:val="0"/>
              <w:divBdr>
                <w:top w:val="none" w:sz="0" w:space="0" w:color="auto"/>
                <w:left w:val="none" w:sz="0" w:space="0" w:color="auto"/>
                <w:bottom w:val="none" w:sz="0" w:space="0" w:color="auto"/>
                <w:right w:val="none" w:sz="0" w:space="0" w:color="auto"/>
              </w:divBdr>
            </w:div>
            <w:div w:id="1752971359">
              <w:marLeft w:val="0"/>
              <w:marRight w:val="0"/>
              <w:marTop w:val="0"/>
              <w:marBottom w:val="0"/>
              <w:divBdr>
                <w:top w:val="none" w:sz="0" w:space="0" w:color="auto"/>
                <w:left w:val="none" w:sz="0" w:space="0" w:color="auto"/>
                <w:bottom w:val="none" w:sz="0" w:space="0" w:color="auto"/>
                <w:right w:val="none" w:sz="0" w:space="0" w:color="auto"/>
              </w:divBdr>
            </w:div>
            <w:div w:id="1667436310">
              <w:marLeft w:val="0"/>
              <w:marRight w:val="0"/>
              <w:marTop w:val="0"/>
              <w:marBottom w:val="0"/>
              <w:divBdr>
                <w:top w:val="none" w:sz="0" w:space="0" w:color="auto"/>
                <w:left w:val="none" w:sz="0" w:space="0" w:color="auto"/>
                <w:bottom w:val="none" w:sz="0" w:space="0" w:color="auto"/>
                <w:right w:val="none" w:sz="0" w:space="0" w:color="auto"/>
              </w:divBdr>
            </w:div>
            <w:div w:id="1854957939">
              <w:marLeft w:val="0"/>
              <w:marRight w:val="0"/>
              <w:marTop w:val="0"/>
              <w:marBottom w:val="0"/>
              <w:divBdr>
                <w:top w:val="none" w:sz="0" w:space="0" w:color="auto"/>
                <w:left w:val="none" w:sz="0" w:space="0" w:color="auto"/>
                <w:bottom w:val="none" w:sz="0" w:space="0" w:color="auto"/>
                <w:right w:val="none" w:sz="0" w:space="0" w:color="auto"/>
              </w:divBdr>
            </w:div>
            <w:div w:id="2063945460">
              <w:marLeft w:val="0"/>
              <w:marRight w:val="0"/>
              <w:marTop w:val="0"/>
              <w:marBottom w:val="0"/>
              <w:divBdr>
                <w:top w:val="none" w:sz="0" w:space="0" w:color="auto"/>
                <w:left w:val="none" w:sz="0" w:space="0" w:color="auto"/>
                <w:bottom w:val="none" w:sz="0" w:space="0" w:color="auto"/>
                <w:right w:val="none" w:sz="0" w:space="0" w:color="auto"/>
              </w:divBdr>
            </w:div>
            <w:div w:id="373047665">
              <w:marLeft w:val="0"/>
              <w:marRight w:val="0"/>
              <w:marTop w:val="0"/>
              <w:marBottom w:val="0"/>
              <w:divBdr>
                <w:top w:val="none" w:sz="0" w:space="0" w:color="auto"/>
                <w:left w:val="none" w:sz="0" w:space="0" w:color="auto"/>
                <w:bottom w:val="none" w:sz="0" w:space="0" w:color="auto"/>
                <w:right w:val="none" w:sz="0" w:space="0" w:color="auto"/>
              </w:divBdr>
            </w:div>
            <w:div w:id="77641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996626">
      <w:bodyDiv w:val="1"/>
      <w:marLeft w:val="0"/>
      <w:marRight w:val="0"/>
      <w:marTop w:val="0"/>
      <w:marBottom w:val="0"/>
      <w:divBdr>
        <w:top w:val="none" w:sz="0" w:space="0" w:color="auto"/>
        <w:left w:val="none" w:sz="0" w:space="0" w:color="auto"/>
        <w:bottom w:val="none" w:sz="0" w:space="0" w:color="auto"/>
        <w:right w:val="none" w:sz="0" w:space="0" w:color="auto"/>
      </w:divBdr>
    </w:div>
    <w:div w:id="1928615956">
      <w:bodyDiv w:val="1"/>
      <w:marLeft w:val="0"/>
      <w:marRight w:val="0"/>
      <w:marTop w:val="0"/>
      <w:marBottom w:val="0"/>
      <w:divBdr>
        <w:top w:val="none" w:sz="0" w:space="0" w:color="auto"/>
        <w:left w:val="none" w:sz="0" w:space="0" w:color="auto"/>
        <w:bottom w:val="none" w:sz="0" w:space="0" w:color="auto"/>
        <w:right w:val="none" w:sz="0" w:space="0" w:color="auto"/>
      </w:divBdr>
      <w:divsChild>
        <w:div w:id="57091243">
          <w:marLeft w:val="0"/>
          <w:marRight w:val="0"/>
          <w:marTop w:val="0"/>
          <w:marBottom w:val="0"/>
          <w:divBdr>
            <w:top w:val="none" w:sz="0" w:space="0" w:color="auto"/>
            <w:left w:val="none" w:sz="0" w:space="0" w:color="auto"/>
            <w:bottom w:val="none" w:sz="0" w:space="0" w:color="auto"/>
            <w:right w:val="none" w:sz="0" w:space="0" w:color="auto"/>
          </w:divBdr>
          <w:divsChild>
            <w:div w:id="259408757">
              <w:marLeft w:val="0"/>
              <w:marRight w:val="0"/>
              <w:marTop w:val="0"/>
              <w:marBottom w:val="0"/>
              <w:divBdr>
                <w:top w:val="none" w:sz="0" w:space="0" w:color="auto"/>
                <w:left w:val="none" w:sz="0" w:space="0" w:color="auto"/>
                <w:bottom w:val="none" w:sz="0" w:space="0" w:color="auto"/>
                <w:right w:val="none" w:sz="0" w:space="0" w:color="auto"/>
              </w:divBdr>
            </w:div>
            <w:div w:id="2112506519">
              <w:marLeft w:val="0"/>
              <w:marRight w:val="0"/>
              <w:marTop w:val="0"/>
              <w:marBottom w:val="0"/>
              <w:divBdr>
                <w:top w:val="none" w:sz="0" w:space="0" w:color="auto"/>
                <w:left w:val="none" w:sz="0" w:space="0" w:color="auto"/>
                <w:bottom w:val="none" w:sz="0" w:space="0" w:color="auto"/>
                <w:right w:val="none" w:sz="0" w:space="0" w:color="auto"/>
              </w:divBdr>
            </w:div>
            <w:div w:id="323751414">
              <w:marLeft w:val="0"/>
              <w:marRight w:val="0"/>
              <w:marTop w:val="0"/>
              <w:marBottom w:val="0"/>
              <w:divBdr>
                <w:top w:val="none" w:sz="0" w:space="0" w:color="auto"/>
                <w:left w:val="none" w:sz="0" w:space="0" w:color="auto"/>
                <w:bottom w:val="none" w:sz="0" w:space="0" w:color="auto"/>
                <w:right w:val="none" w:sz="0" w:space="0" w:color="auto"/>
              </w:divBdr>
            </w:div>
            <w:div w:id="895353881">
              <w:marLeft w:val="0"/>
              <w:marRight w:val="0"/>
              <w:marTop w:val="0"/>
              <w:marBottom w:val="0"/>
              <w:divBdr>
                <w:top w:val="none" w:sz="0" w:space="0" w:color="auto"/>
                <w:left w:val="none" w:sz="0" w:space="0" w:color="auto"/>
                <w:bottom w:val="none" w:sz="0" w:space="0" w:color="auto"/>
                <w:right w:val="none" w:sz="0" w:space="0" w:color="auto"/>
              </w:divBdr>
            </w:div>
            <w:div w:id="716467291">
              <w:marLeft w:val="0"/>
              <w:marRight w:val="0"/>
              <w:marTop w:val="0"/>
              <w:marBottom w:val="0"/>
              <w:divBdr>
                <w:top w:val="none" w:sz="0" w:space="0" w:color="auto"/>
                <w:left w:val="none" w:sz="0" w:space="0" w:color="auto"/>
                <w:bottom w:val="none" w:sz="0" w:space="0" w:color="auto"/>
                <w:right w:val="none" w:sz="0" w:space="0" w:color="auto"/>
              </w:divBdr>
            </w:div>
            <w:div w:id="1951890380">
              <w:marLeft w:val="0"/>
              <w:marRight w:val="0"/>
              <w:marTop w:val="0"/>
              <w:marBottom w:val="0"/>
              <w:divBdr>
                <w:top w:val="none" w:sz="0" w:space="0" w:color="auto"/>
                <w:left w:val="none" w:sz="0" w:space="0" w:color="auto"/>
                <w:bottom w:val="none" w:sz="0" w:space="0" w:color="auto"/>
                <w:right w:val="none" w:sz="0" w:space="0" w:color="auto"/>
              </w:divBdr>
            </w:div>
            <w:div w:id="1787041693">
              <w:marLeft w:val="0"/>
              <w:marRight w:val="0"/>
              <w:marTop w:val="0"/>
              <w:marBottom w:val="0"/>
              <w:divBdr>
                <w:top w:val="none" w:sz="0" w:space="0" w:color="auto"/>
                <w:left w:val="none" w:sz="0" w:space="0" w:color="auto"/>
                <w:bottom w:val="none" w:sz="0" w:space="0" w:color="auto"/>
                <w:right w:val="none" w:sz="0" w:space="0" w:color="auto"/>
              </w:divBdr>
            </w:div>
          </w:divsChild>
        </w:div>
        <w:div w:id="1731345799">
          <w:marLeft w:val="0"/>
          <w:marRight w:val="0"/>
          <w:marTop w:val="0"/>
          <w:marBottom w:val="0"/>
          <w:divBdr>
            <w:top w:val="none" w:sz="0" w:space="0" w:color="auto"/>
            <w:left w:val="none" w:sz="0" w:space="0" w:color="auto"/>
            <w:bottom w:val="none" w:sz="0" w:space="0" w:color="auto"/>
            <w:right w:val="none" w:sz="0" w:space="0" w:color="auto"/>
          </w:divBdr>
          <w:divsChild>
            <w:div w:id="1540898032">
              <w:marLeft w:val="0"/>
              <w:marRight w:val="0"/>
              <w:marTop w:val="0"/>
              <w:marBottom w:val="0"/>
              <w:divBdr>
                <w:top w:val="none" w:sz="0" w:space="0" w:color="auto"/>
                <w:left w:val="none" w:sz="0" w:space="0" w:color="auto"/>
                <w:bottom w:val="none" w:sz="0" w:space="0" w:color="auto"/>
                <w:right w:val="none" w:sz="0" w:space="0" w:color="auto"/>
              </w:divBdr>
            </w:div>
            <w:div w:id="1563564046">
              <w:marLeft w:val="0"/>
              <w:marRight w:val="0"/>
              <w:marTop w:val="0"/>
              <w:marBottom w:val="0"/>
              <w:divBdr>
                <w:top w:val="none" w:sz="0" w:space="0" w:color="auto"/>
                <w:left w:val="none" w:sz="0" w:space="0" w:color="auto"/>
                <w:bottom w:val="none" w:sz="0" w:space="0" w:color="auto"/>
                <w:right w:val="none" w:sz="0" w:space="0" w:color="auto"/>
              </w:divBdr>
            </w:div>
            <w:div w:id="1834300829">
              <w:marLeft w:val="0"/>
              <w:marRight w:val="0"/>
              <w:marTop w:val="0"/>
              <w:marBottom w:val="0"/>
              <w:divBdr>
                <w:top w:val="none" w:sz="0" w:space="0" w:color="auto"/>
                <w:left w:val="none" w:sz="0" w:space="0" w:color="auto"/>
                <w:bottom w:val="none" w:sz="0" w:space="0" w:color="auto"/>
                <w:right w:val="none" w:sz="0" w:space="0" w:color="auto"/>
              </w:divBdr>
            </w:div>
            <w:div w:id="1782383973">
              <w:marLeft w:val="0"/>
              <w:marRight w:val="0"/>
              <w:marTop w:val="0"/>
              <w:marBottom w:val="0"/>
              <w:divBdr>
                <w:top w:val="none" w:sz="0" w:space="0" w:color="auto"/>
                <w:left w:val="none" w:sz="0" w:space="0" w:color="auto"/>
                <w:bottom w:val="none" w:sz="0" w:space="0" w:color="auto"/>
                <w:right w:val="none" w:sz="0" w:space="0" w:color="auto"/>
              </w:divBdr>
            </w:div>
            <w:div w:id="1517159914">
              <w:marLeft w:val="0"/>
              <w:marRight w:val="0"/>
              <w:marTop w:val="0"/>
              <w:marBottom w:val="0"/>
              <w:divBdr>
                <w:top w:val="none" w:sz="0" w:space="0" w:color="auto"/>
                <w:left w:val="none" w:sz="0" w:space="0" w:color="auto"/>
                <w:bottom w:val="none" w:sz="0" w:space="0" w:color="auto"/>
                <w:right w:val="none" w:sz="0" w:space="0" w:color="auto"/>
              </w:divBdr>
            </w:div>
            <w:div w:id="1760249482">
              <w:marLeft w:val="0"/>
              <w:marRight w:val="0"/>
              <w:marTop w:val="0"/>
              <w:marBottom w:val="0"/>
              <w:divBdr>
                <w:top w:val="none" w:sz="0" w:space="0" w:color="auto"/>
                <w:left w:val="none" w:sz="0" w:space="0" w:color="auto"/>
                <w:bottom w:val="none" w:sz="0" w:space="0" w:color="auto"/>
                <w:right w:val="none" w:sz="0" w:space="0" w:color="auto"/>
              </w:divBdr>
            </w:div>
            <w:div w:id="2084831609">
              <w:marLeft w:val="0"/>
              <w:marRight w:val="0"/>
              <w:marTop w:val="0"/>
              <w:marBottom w:val="0"/>
              <w:divBdr>
                <w:top w:val="none" w:sz="0" w:space="0" w:color="auto"/>
                <w:left w:val="none" w:sz="0" w:space="0" w:color="auto"/>
                <w:bottom w:val="none" w:sz="0" w:space="0" w:color="auto"/>
                <w:right w:val="none" w:sz="0" w:space="0" w:color="auto"/>
              </w:divBdr>
            </w:div>
            <w:div w:id="340590746">
              <w:marLeft w:val="0"/>
              <w:marRight w:val="0"/>
              <w:marTop w:val="0"/>
              <w:marBottom w:val="0"/>
              <w:divBdr>
                <w:top w:val="none" w:sz="0" w:space="0" w:color="auto"/>
                <w:left w:val="none" w:sz="0" w:space="0" w:color="auto"/>
                <w:bottom w:val="none" w:sz="0" w:space="0" w:color="auto"/>
                <w:right w:val="none" w:sz="0" w:space="0" w:color="auto"/>
              </w:divBdr>
            </w:div>
            <w:div w:id="615453777">
              <w:marLeft w:val="0"/>
              <w:marRight w:val="0"/>
              <w:marTop w:val="0"/>
              <w:marBottom w:val="0"/>
              <w:divBdr>
                <w:top w:val="none" w:sz="0" w:space="0" w:color="auto"/>
                <w:left w:val="none" w:sz="0" w:space="0" w:color="auto"/>
                <w:bottom w:val="none" w:sz="0" w:space="0" w:color="auto"/>
                <w:right w:val="none" w:sz="0" w:space="0" w:color="auto"/>
              </w:divBdr>
            </w:div>
            <w:div w:id="2084256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158908">
      <w:bodyDiv w:val="1"/>
      <w:marLeft w:val="0"/>
      <w:marRight w:val="0"/>
      <w:marTop w:val="0"/>
      <w:marBottom w:val="0"/>
      <w:divBdr>
        <w:top w:val="none" w:sz="0" w:space="0" w:color="auto"/>
        <w:left w:val="none" w:sz="0" w:space="0" w:color="auto"/>
        <w:bottom w:val="none" w:sz="0" w:space="0" w:color="auto"/>
        <w:right w:val="none" w:sz="0" w:space="0" w:color="auto"/>
      </w:divBdr>
    </w:div>
    <w:div w:id="1938827655">
      <w:bodyDiv w:val="1"/>
      <w:marLeft w:val="0"/>
      <w:marRight w:val="0"/>
      <w:marTop w:val="0"/>
      <w:marBottom w:val="0"/>
      <w:divBdr>
        <w:top w:val="none" w:sz="0" w:space="0" w:color="auto"/>
        <w:left w:val="none" w:sz="0" w:space="0" w:color="auto"/>
        <w:bottom w:val="none" w:sz="0" w:space="0" w:color="auto"/>
        <w:right w:val="none" w:sz="0" w:space="0" w:color="auto"/>
      </w:divBdr>
    </w:div>
    <w:div w:id="1956517729">
      <w:bodyDiv w:val="1"/>
      <w:marLeft w:val="0"/>
      <w:marRight w:val="0"/>
      <w:marTop w:val="0"/>
      <w:marBottom w:val="0"/>
      <w:divBdr>
        <w:top w:val="none" w:sz="0" w:space="0" w:color="auto"/>
        <w:left w:val="none" w:sz="0" w:space="0" w:color="auto"/>
        <w:bottom w:val="none" w:sz="0" w:space="0" w:color="auto"/>
        <w:right w:val="none" w:sz="0" w:space="0" w:color="auto"/>
      </w:divBdr>
      <w:divsChild>
        <w:div w:id="296297390">
          <w:marLeft w:val="0"/>
          <w:marRight w:val="0"/>
          <w:marTop w:val="0"/>
          <w:marBottom w:val="0"/>
          <w:divBdr>
            <w:top w:val="none" w:sz="0" w:space="0" w:color="auto"/>
            <w:left w:val="none" w:sz="0" w:space="0" w:color="auto"/>
            <w:bottom w:val="none" w:sz="0" w:space="0" w:color="auto"/>
            <w:right w:val="none" w:sz="0" w:space="0" w:color="auto"/>
          </w:divBdr>
        </w:div>
        <w:div w:id="429787847">
          <w:marLeft w:val="0"/>
          <w:marRight w:val="0"/>
          <w:marTop w:val="0"/>
          <w:marBottom w:val="0"/>
          <w:divBdr>
            <w:top w:val="none" w:sz="0" w:space="0" w:color="auto"/>
            <w:left w:val="none" w:sz="0" w:space="0" w:color="auto"/>
            <w:bottom w:val="none" w:sz="0" w:space="0" w:color="auto"/>
            <w:right w:val="none" w:sz="0" w:space="0" w:color="auto"/>
          </w:divBdr>
        </w:div>
        <w:div w:id="614868915">
          <w:marLeft w:val="0"/>
          <w:marRight w:val="0"/>
          <w:marTop w:val="0"/>
          <w:marBottom w:val="0"/>
          <w:divBdr>
            <w:top w:val="none" w:sz="0" w:space="0" w:color="auto"/>
            <w:left w:val="none" w:sz="0" w:space="0" w:color="auto"/>
            <w:bottom w:val="none" w:sz="0" w:space="0" w:color="auto"/>
            <w:right w:val="none" w:sz="0" w:space="0" w:color="auto"/>
          </w:divBdr>
        </w:div>
        <w:div w:id="654141046">
          <w:marLeft w:val="0"/>
          <w:marRight w:val="0"/>
          <w:marTop w:val="0"/>
          <w:marBottom w:val="0"/>
          <w:divBdr>
            <w:top w:val="none" w:sz="0" w:space="0" w:color="auto"/>
            <w:left w:val="none" w:sz="0" w:space="0" w:color="auto"/>
            <w:bottom w:val="none" w:sz="0" w:space="0" w:color="auto"/>
            <w:right w:val="none" w:sz="0" w:space="0" w:color="auto"/>
          </w:divBdr>
        </w:div>
        <w:div w:id="733510087">
          <w:marLeft w:val="0"/>
          <w:marRight w:val="0"/>
          <w:marTop w:val="0"/>
          <w:marBottom w:val="0"/>
          <w:divBdr>
            <w:top w:val="none" w:sz="0" w:space="0" w:color="auto"/>
            <w:left w:val="none" w:sz="0" w:space="0" w:color="auto"/>
            <w:bottom w:val="none" w:sz="0" w:space="0" w:color="auto"/>
            <w:right w:val="none" w:sz="0" w:space="0" w:color="auto"/>
          </w:divBdr>
        </w:div>
        <w:div w:id="862979213">
          <w:marLeft w:val="0"/>
          <w:marRight w:val="0"/>
          <w:marTop w:val="0"/>
          <w:marBottom w:val="0"/>
          <w:divBdr>
            <w:top w:val="none" w:sz="0" w:space="0" w:color="auto"/>
            <w:left w:val="none" w:sz="0" w:space="0" w:color="auto"/>
            <w:bottom w:val="none" w:sz="0" w:space="0" w:color="auto"/>
            <w:right w:val="none" w:sz="0" w:space="0" w:color="auto"/>
          </w:divBdr>
        </w:div>
        <w:div w:id="874999935">
          <w:marLeft w:val="0"/>
          <w:marRight w:val="0"/>
          <w:marTop w:val="0"/>
          <w:marBottom w:val="0"/>
          <w:divBdr>
            <w:top w:val="none" w:sz="0" w:space="0" w:color="auto"/>
            <w:left w:val="none" w:sz="0" w:space="0" w:color="auto"/>
            <w:bottom w:val="none" w:sz="0" w:space="0" w:color="auto"/>
            <w:right w:val="none" w:sz="0" w:space="0" w:color="auto"/>
          </w:divBdr>
        </w:div>
        <w:div w:id="875582204">
          <w:marLeft w:val="0"/>
          <w:marRight w:val="0"/>
          <w:marTop w:val="0"/>
          <w:marBottom w:val="0"/>
          <w:divBdr>
            <w:top w:val="none" w:sz="0" w:space="0" w:color="auto"/>
            <w:left w:val="none" w:sz="0" w:space="0" w:color="auto"/>
            <w:bottom w:val="none" w:sz="0" w:space="0" w:color="auto"/>
            <w:right w:val="none" w:sz="0" w:space="0" w:color="auto"/>
          </w:divBdr>
        </w:div>
        <w:div w:id="890503851">
          <w:marLeft w:val="0"/>
          <w:marRight w:val="0"/>
          <w:marTop w:val="0"/>
          <w:marBottom w:val="0"/>
          <w:divBdr>
            <w:top w:val="none" w:sz="0" w:space="0" w:color="auto"/>
            <w:left w:val="none" w:sz="0" w:space="0" w:color="auto"/>
            <w:bottom w:val="none" w:sz="0" w:space="0" w:color="auto"/>
            <w:right w:val="none" w:sz="0" w:space="0" w:color="auto"/>
          </w:divBdr>
        </w:div>
        <w:div w:id="1218131829">
          <w:marLeft w:val="0"/>
          <w:marRight w:val="0"/>
          <w:marTop w:val="0"/>
          <w:marBottom w:val="0"/>
          <w:divBdr>
            <w:top w:val="none" w:sz="0" w:space="0" w:color="auto"/>
            <w:left w:val="none" w:sz="0" w:space="0" w:color="auto"/>
            <w:bottom w:val="none" w:sz="0" w:space="0" w:color="auto"/>
            <w:right w:val="none" w:sz="0" w:space="0" w:color="auto"/>
          </w:divBdr>
        </w:div>
        <w:div w:id="1298492357">
          <w:marLeft w:val="0"/>
          <w:marRight w:val="0"/>
          <w:marTop w:val="0"/>
          <w:marBottom w:val="0"/>
          <w:divBdr>
            <w:top w:val="none" w:sz="0" w:space="0" w:color="auto"/>
            <w:left w:val="none" w:sz="0" w:space="0" w:color="auto"/>
            <w:bottom w:val="none" w:sz="0" w:space="0" w:color="auto"/>
            <w:right w:val="none" w:sz="0" w:space="0" w:color="auto"/>
          </w:divBdr>
        </w:div>
        <w:div w:id="1334990648">
          <w:marLeft w:val="0"/>
          <w:marRight w:val="0"/>
          <w:marTop w:val="0"/>
          <w:marBottom w:val="0"/>
          <w:divBdr>
            <w:top w:val="none" w:sz="0" w:space="0" w:color="auto"/>
            <w:left w:val="none" w:sz="0" w:space="0" w:color="auto"/>
            <w:bottom w:val="none" w:sz="0" w:space="0" w:color="auto"/>
            <w:right w:val="none" w:sz="0" w:space="0" w:color="auto"/>
          </w:divBdr>
        </w:div>
        <w:div w:id="1488474706">
          <w:marLeft w:val="0"/>
          <w:marRight w:val="0"/>
          <w:marTop w:val="0"/>
          <w:marBottom w:val="0"/>
          <w:divBdr>
            <w:top w:val="none" w:sz="0" w:space="0" w:color="auto"/>
            <w:left w:val="none" w:sz="0" w:space="0" w:color="auto"/>
            <w:bottom w:val="none" w:sz="0" w:space="0" w:color="auto"/>
            <w:right w:val="none" w:sz="0" w:space="0" w:color="auto"/>
          </w:divBdr>
        </w:div>
        <w:div w:id="1517573262">
          <w:marLeft w:val="0"/>
          <w:marRight w:val="0"/>
          <w:marTop w:val="0"/>
          <w:marBottom w:val="0"/>
          <w:divBdr>
            <w:top w:val="none" w:sz="0" w:space="0" w:color="auto"/>
            <w:left w:val="none" w:sz="0" w:space="0" w:color="auto"/>
            <w:bottom w:val="none" w:sz="0" w:space="0" w:color="auto"/>
            <w:right w:val="none" w:sz="0" w:space="0" w:color="auto"/>
          </w:divBdr>
        </w:div>
        <w:div w:id="1574388222">
          <w:marLeft w:val="0"/>
          <w:marRight w:val="0"/>
          <w:marTop w:val="0"/>
          <w:marBottom w:val="0"/>
          <w:divBdr>
            <w:top w:val="none" w:sz="0" w:space="0" w:color="auto"/>
            <w:left w:val="none" w:sz="0" w:space="0" w:color="auto"/>
            <w:bottom w:val="none" w:sz="0" w:space="0" w:color="auto"/>
            <w:right w:val="none" w:sz="0" w:space="0" w:color="auto"/>
          </w:divBdr>
        </w:div>
        <w:div w:id="1650207296">
          <w:marLeft w:val="0"/>
          <w:marRight w:val="0"/>
          <w:marTop w:val="0"/>
          <w:marBottom w:val="0"/>
          <w:divBdr>
            <w:top w:val="none" w:sz="0" w:space="0" w:color="auto"/>
            <w:left w:val="none" w:sz="0" w:space="0" w:color="auto"/>
            <w:bottom w:val="none" w:sz="0" w:space="0" w:color="auto"/>
            <w:right w:val="none" w:sz="0" w:space="0" w:color="auto"/>
          </w:divBdr>
        </w:div>
        <w:div w:id="1912737362">
          <w:marLeft w:val="0"/>
          <w:marRight w:val="0"/>
          <w:marTop w:val="0"/>
          <w:marBottom w:val="0"/>
          <w:divBdr>
            <w:top w:val="none" w:sz="0" w:space="0" w:color="auto"/>
            <w:left w:val="none" w:sz="0" w:space="0" w:color="auto"/>
            <w:bottom w:val="none" w:sz="0" w:space="0" w:color="auto"/>
            <w:right w:val="none" w:sz="0" w:space="0" w:color="auto"/>
          </w:divBdr>
        </w:div>
        <w:div w:id="1924100383">
          <w:marLeft w:val="0"/>
          <w:marRight w:val="0"/>
          <w:marTop w:val="0"/>
          <w:marBottom w:val="0"/>
          <w:divBdr>
            <w:top w:val="none" w:sz="0" w:space="0" w:color="auto"/>
            <w:left w:val="none" w:sz="0" w:space="0" w:color="auto"/>
            <w:bottom w:val="none" w:sz="0" w:space="0" w:color="auto"/>
            <w:right w:val="none" w:sz="0" w:space="0" w:color="auto"/>
          </w:divBdr>
        </w:div>
        <w:div w:id="2045594324">
          <w:marLeft w:val="0"/>
          <w:marRight w:val="0"/>
          <w:marTop w:val="0"/>
          <w:marBottom w:val="0"/>
          <w:divBdr>
            <w:top w:val="none" w:sz="0" w:space="0" w:color="auto"/>
            <w:left w:val="none" w:sz="0" w:space="0" w:color="auto"/>
            <w:bottom w:val="none" w:sz="0" w:space="0" w:color="auto"/>
            <w:right w:val="none" w:sz="0" w:space="0" w:color="auto"/>
          </w:divBdr>
        </w:div>
        <w:div w:id="2063675014">
          <w:marLeft w:val="0"/>
          <w:marRight w:val="0"/>
          <w:marTop w:val="0"/>
          <w:marBottom w:val="0"/>
          <w:divBdr>
            <w:top w:val="none" w:sz="0" w:space="0" w:color="auto"/>
            <w:left w:val="none" w:sz="0" w:space="0" w:color="auto"/>
            <w:bottom w:val="none" w:sz="0" w:space="0" w:color="auto"/>
            <w:right w:val="none" w:sz="0" w:space="0" w:color="auto"/>
          </w:divBdr>
        </w:div>
        <w:div w:id="2146775715">
          <w:marLeft w:val="0"/>
          <w:marRight w:val="0"/>
          <w:marTop w:val="0"/>
          <w:marBottom w:val="0"/>
          <w:divBdr>
            <w:top w:val="none" w:sz="0" w:space="0" w:color="auto"/>
            <w:left w:val="none" w:sz="0" w:space="0" w:color="auto"/>
            <w:bottom w:val="none" w:sz="0" w:space="0" w:color="auto"/>
            <w:right w:val="none" w:sz="0" w:space="0" w:color="auto"/>
          </w:divBdr>
        </w:div>
      </w:divsChild>
    </w:div>
    <w:div w:id="1983072730">
      <w:bodyDiv w:val="1"/>
      <w:marLeft w:val="0"/>
      <w:marRight w:val="0"/>
      <w:marTop w:val="0"/>
      <w:marBottom w:val="0"/>
      <w:divBdr>
        <w:top w:val="none" w:sz="0" w:space="0" w:color="auto"/>
        <w:left w:val="none" w:sz="0" w:space="0" w:color="auto"/>
        <w:bottom w:val="none" w:sz="0" w:space="0" w:color="auto"/>
        <w:right w:val="none" w:sz="0" w:space="0" w:color="auto"/>
      </w:divBdr>
    </w:div>
    <w:div w:id="2003043612">
      <w:bodyDiv w:val="1"/>
      <w:marLeft w:val="0"/>
      <w:marRight w:val="0"/>
      <w:marTop w:val="0"/>
      <w:marBottom w:val="0"/>
      <w:divBdr>
        <w:top w:val="none" w:sz="0" w:space="0" w:color="auto"/>
        <w:left w:val="none" w:sz="0" w:space="0" w:color="auto"/>
        <w:bottom w:val="none" w:sz="0" w:space="0" w:color="auto"/>
        <w:right w:val="none" w:sz="0" w:space="0" w:color="auto"/>
      </w:divBdr>
    </w:div>
    <w:div w:id="2003854979">
      <w:bodyDiv w:val="1"/>
      <w:marLeft w:val="0"/>
      <w:marRight w:val="0"/>
      <w:marTop w:val="0"/>
      <w:marBottom w:val="0"/>
      <w:divBdr>
        <w:top w:val="none" w:sz="0" w:space="0" w:color="auto"/>
        <w:left w:val="none" w:sz="0" w:space="0" w:color="auto"/>
        <w:bottom w:val="none" w:sz="0" w:space="0" w:color="auto"/>
        <w:right w:val="none" w:sz="0" w:space="0" w:color="auto"/>
      </w:divBdr>
      <w:divsChild>
        <w:div w:id="33891144">
          <w:marLeft w:val="0"/>
          <w:marRight w:val="0"/>
          <w:marTop w:val="0"/>
          <w:marBottom w:val="0"/>
          <w:divBdr>
            <w:top w:val="none" w:sz="0" w:space="0" w:color="auto"/>
            <w:left w:val="none" w:sz="0" w:space="0" w:color="auto"/>
            <w:bottom w:val="none" w:sz="0" w:space="0" w:color="auto"/>
            <w:right w:val="none" w:sz="0" w:space="0" w:color="auto"/>
          </w:divBdr>
        </w:div>
        <w:div w:id="241572565">
          <w:marLeft w:val="0"/>
          <w:marRight w:val="0"/>
          <w:marTop w:val="0"/>
          <w:marBottom w:val="0"/>
          <w:divBdr>
            <w:top w:val="none" w:sz="0" w:space="0" w:color="auto"/>
            <w:left w:val="none" w:sz="0" w:space="0" w:color="auto"/>
            <w:bottom w:val="none" w:sz="0" w:space="0" w:color="auto"/>
            <w:right w:val="none" w:sz="0" w:space="0" w:color="auto"/>
          </w:divBdr>
        </w:div>
        <w:div w:id="284701672">
          <w:marLeft w:val="0"/>
          <w:marRight w:val="0"/>
          <w:marTop w:val="0"/>
          <w:marBottom w:val="0"/>
          <w:divBdr>
            <w:top w:val="none" w:sz="0" w:space="0" w:color="auto"/>
            <w:left w:val="none" w:sz="0" w:space="0" w:color="auto"/>
            <w:bottom w:val="none" w:sz="0" w:space="0" w:color="auto"/>
            <w:right w:val="none" w:sz="0" w:space="0" w:color="auto"/>
          </w:divBdr>
        </w:div>
        <w:div w:id="318777246">
          <w:marLeft w:val="0"/>
          <w:marRight w:val="0"/>
          <w:marTop w:val="0"/>
          <w:marBottom w:val="0"/>
          <w:divBdr>
            <w:top w:val="none" w:sz="0" w:space="0" w:color="auto"/>
            <w:left w:val="none" w:sz="0" w:space="0" w:color="auto"/>
            <w:bottom w:val="none" w:sz="0" w:space="0" w:color="auto"/>
            <w:right w:val="none" w:sz="0" w:space="0" w:color="auto"/>
          </w:divBdr>
        </w:div>
        <w:div w:id="377514145">
          <w:marLeft w:val="0"/>
          <w:marRight w:val="0"/>
          <w:marTop w:val="0"/>
          <w:marBottom w:val="0"/>
          <w:divBdr>
            <w:top w:val="none" w:sz="0" w:space="0" w:color="auto"/>
            <w:left w:val="none" w:sz="0" w:space="0" w:color="auto"/>
            <w:bottom w:val="none" w:sz="0" w:space="0" w:color="auto"/>
            <w:right w:val="none" w:sz="0" w:space="0" w:color="auto"/>
          </w:divBdr>
        </w:div>
        <w:div w:id="487327714">
          <w:marLeft w:val="0"/>
          <w:marRight w:val="0"/>
          <w:marTop w:val="0"/>
          <w:marBottom w:val="0"/>
          <w:divBdr>
            <w:top w:val="none" w:sz="0" w:space="0" w:color="auto"/>
            <w:left w:val="none" w:sz="0" w:space="0" w:color="auto"/>
            <w:bottom w:val="none" w:sz="0" w:space="0" w:color="auto"/>
            <w:right w:val="none" w:sz="0" w:space="0" w:color="auto"/>
          </w:divBdr>
        </w:div>
        <w:div w:id="551309118">
          <w:marLeft w:val="0"/>
          <w:marRight w:val="0"/>
          <w:marTop w:val="0"/>
          <w:marBottom w:val="0"/>
          <w:divBdr>
            <w:top w:val="none" w:sz="0" w:space="0" w:color="auto"/>
            <w:left w:val="none" w:sz="0" w:space="0" w:color="auto"/>
            <w:bottom w:val="none" w:sz="0" w:space="0" w:color="auto"/>
            <w:right w:val="none" w:sz="0" w:space="0" w:color="auto"/>
          </w:divBdr>
        </w:div>
        <w:div w:id="685715057">
          <w:marLeft w:val="0"/>
          <w:marRight w:val="0"/>
          <w:marTop w:val="0"/>
          <w:marBottom w:val="0"/>
          <w:divBdr>
            <w:top w:val="none" w:sz="0" w:space="0" w:color="auto"/>
            <w:left w:val="none" w:sz="0" w:space="0" w:color="auto"/>
            <w:bottom w:val="none" w:sz="0" w:space="0" w:color="auto"/>
            <w:right w:val="none" w:sz="0" w:space="0" w:color="auto"/>
          </w:divBdr>
        </w:div>
        <w:div w:id="748043975">
          <w:marLeft w:val="0"/>
          <w:marRight w:val="0"/>
          <w:marTop w:val="0"/>
          <w:marBottom w:val="0"/>
          <w:divBdr>
            <w:top w:val="none" w:sz="0" w:space="0" w:color="auto"/>
            <w:left w:val="none" w:sz="0" w:space="0" w:color="auto"/>
            <w:bottom w:val="none" w:sz="0" w:space="0" w:color="auto"/>
            <w:right w:val="none" w:sz="0" w:space="0" w:color="auto"/>
          </w:divBdr>
        </w:div>
        <w:div w:id="818694482">
          <w:marLeft w:val="0"/>
          <w:marRight w:val="0"/>
          <w:marTop w:val="0"/>
          <w:marBottom w:val="0"/>
          <w:divBdr>
            <w:top w:val="none" w:sz="0" w:space="0" w:color="auto"/>
            <w:left w:val="none" w:sz="0" w:space="0" w:color="auto"/>
            <w:bottom w:val="none" w:sz="0" w:space="0" w:color="auto"/>
            <w:right w:val="none" w:sz="0" w:space="0" w:color="auto"/>
          </w:divBdr>
        </w:div>
        <w:div w:id="826282131">
          <w:marLeft w:val="0"/>
          <w:marRight w:val="0"/>
          <w:marTop w:val="0"/>
          <w:marBottom w:val="0"/>
          <w:divBdr>
            <w:top w:val="none" w:sz="0" w:space="0" w:color="auto"/>
            <w:left w:val="none" w:sz="0" w:space="0" w:color="auto"/>
            <w:bottom w:val="none" w:sz="0" w:space="0" w:color="auto"/>
            <w:right w:val="none" w:sz="0" w:space="0" w:color="auto"/>
          </w:divBdr>
        </w:div>
        <w:div w:id="1008874290">
          <w:marLeft w:val="0"/>
          <w:marRight w:val="0"/>
          <w:marTop w:val="0"/>
          <w:marBottom w:val="0"/>
          <w:divBdr>
            <w:top w:val="none" w:sz="0" w:space="0" w:color="auto"/>
            <w:left w:val="none" w:sz="0" w:space="0" w:color="auto"/>
            <w:bottom w:val="none" w:sz="0" w:space="0" w:color="auto"/>
            <w:right w:val="none" w:sz="0" w:space="0" w:color="auto"/>
          </w:divBdr>
        </w:div>
        <w:div w:id="1081025183">
          <w:marLeft w:val="0"/>
          <w:marRight w:val="0"/>
          <w:marTop w:val="0"/>
          <w:marBottom w:val="0"/>
          <w:divBdr>
            <w:top w:val="none" w:sz="0" w:space="0" w:color="auto"/>
            <w:left w:val="none" w:sz="0" w:space="0" w:color="auto"/>
            <w:bottom w:val="none" w:sz="0" w:space="0" w:color="auto"/>
            <w:right w:val="none" w:sz="0" w:space="0" w:color="auto"/>
          </w:divBdr>
        </w:div>
        <w:div w:id="1472946560">
          <w:marLeft w:val="0"/>
          <w:marRight w:val="0"/>
          <w:marTop w:val="0"/>
          <w:marBottom w:val="0"/>
          <w:divBdr>
            <w:top w:val="none" w:sz="0" w:space="0" w:color="auto"/>
            <w:left w:val="none" w:sz="0" w:space="0" w:color="auto"/>
            <w:bottom w:val="none" w:sz="0" w:space="0" w:color="auto"/>
            <w:right w:val="none" w:sz="0" w:space="0" w:color="auto"/>
          </w:divBdr>
        </w:div>
        <w:div w:id="1544559990">
          <w:marLeft w:val="0"/>
          <w:marRight w:val="0"/>
          <w:marTop w:val="0"/>
          <w:marBottom w:val="0"/>
          <w:divBdr>
            <w:top w:val="none" w:sz="0" w:space="0" w:color="auto"/>
            <w:left w:val="none" w:sz="0" w:space="0" w:color="auto"/>
            <w:bottom w:val="none" w:sz="0" w:space="0" w:color="auto"/>
            <w:right w:val="none" w:sz="0" w:space="0" w:color="auto"/>
          </w:divBdr>
          <w:divsChild>
            <w:div w:id="802113109">
              <w:marLeft w:val="0"/>
              <w:marRight w:val="0"/>
              <w:marTop w:val="0"/>
              <w:marBottom w:val="0"/>
              <w:divBdr>
                <w:top w:val="none" w:sz="0" w:space="0" w:color="auto"/>
                <w:left w:val="none" w:sz="0" w:space="0" w:color="auto"/>
                <w:bottom w:val="none" w:sz="0" w:space="0" w:color="auto"/>
                <w:right w:val="none" w:sz="0" w:space="0" w:color="auto"/>
              </w:divBdr>
            </w:div>
            <w:div w:id="832792542">
              <w:marLeft w:val="0"/>
              <w:marRight w:val="0"/>
              <w:marTop w:val="0"/>
              <w:marBottom w:val="0"/>
              <w:divBdr>
                <w:top w:val="none" w:sz="0" w:space="0" w:color="auto"/>
                <w:left w:val="none" w:sz="0" w:space="0" w:color="auto"/>
                <w:bottom w:val="none" w:sz="0" w:space="0" w:color="auto"/>
                <w:right w:val="none" w:sz="0" w:space="0" w:color="auto"/>
              </w:divBdr>
            </w:div>
          </w:divsChild>
        </w:div>
        <w:div w:id="1550610097">
          <w:marLeft w:val="0"/>
          <w:marRight w:val="0"/>
          <w:marTop w:val="0"/>
          <w:marBottom w:val="0"/>
          <w:divBdr>
            <w:top w:val="none" w:sz="0" w:space="0" w:color="auto"/>
            <w:left w:val="none" w:sz="0" w:space="0" w:color="auto"/>
            <w:bottom w:val="none" w:sz="0" w:space="0" w:color="auto"/>
            <w:right w:val="none" w:sz="0" w:space="0" w:color="auto"/>
          </w:divBdr>
        </w:div>
        <w:div w:id="1663503665">
          <w:marLeft w:val="0"/>
          <w:marRight w:val="0"/>
          <w:marTop w:val="0"/>
          <w:marBottom w:val="0"/>
          <w:divBdr>
            <w:top w:val="none" w:sz="0" w:space="0" w:color="auto"/>
            <w:left w:val="none" w:sz="0" w:space="0" w:color="auto"/>
            <w:bottom w:val="none" w:sz="0" w:space="0" w:color="auto"/>
            <w:right w:val="none" w:sz="0" w:space="0" w:color="auto"/>
          </w:divBdr>
        </w:div>
        <w:div w:id="1776825083">
          <w:marLeft w:val="0"/>
          <w:marRight w:val="0"/>
          <w:marTop w:val="0"/>
          <w:marBottom w:val="0"/>
          <w:divBdr>
            <w:top w:val="none" w:sz="0" w:space="0" w:color="auto"/>
            <w:left w:val="none" w:sz="0" w:space="0" w:color="auto"/>
            <w:bottom w:val="none" w:sz="0" w:space="0" w:color="auto"/>
            <w:right w:val="none" w:sz="0" w:space="0" w:color="auto"/>
          </w:divBdr>
        </w:div>
        <w:div w:id="1799371854">
          <w:marLeft w:val="0"/>
          <w:marRight w:val="0"/>
          <w:marTop w:val="0"/>
          <w:marBottom w:val="0"/>
          <w:divBdr>
            <w:top w:val="none" w:sz="0" w:space="0" w:color="auto"/>
            <w:left w:val="none" w:sz="0" w:space="0" w:color="auto"/>
            <w:bottom w:val="none" w:sz="0" w:space="0" w:color="auto"/>
            <w:right w:val="none" w:sz="0" w:space="0" w:color="auto"/>
          </w:divBdr>
        </w:div>
        <w:div w:id="1911843314">
          <w:marLeft w:val="0"/>
          <w:marRight w:val="0"/>
          <w:marTop w:val="0"/>
          <w:marBottom w:val="0"/>
          <w:divBdr>
            <w:top w:val="none" w:sz="0" w:space="0" w:color="auto"/>
            <w:left w:val="none" w:sz="0" w:space="0" w:color="auto"/>
            <w:bottom w:val="none" w:sz="0" w:space="0" w:color="auto"/>
            <w:right w:val="none" w:sz="0" w:space="0" w:color="auto"/>
          </w:divBdr>
        </w:div>
        <w:div w:id="1934122816">
          <w:marLeft w:val="0"/>
          <w:marRight w:val="0"/>
          <w:marTop w:val="0"/>
          <w:marBottom w:val="0"/>
          <w:divBdr>
            <w:top w:val="none" w:sz="0" w:space="0" w:color="auto"/>
            <w:left w:val="none" w:sz="0" w:space="0" w:color="auto"/>
            <w:bottom w:val="none" w:sz="0" w:space="0" w:color="auto"/>
            <w:right w:val="none" w:sz="0" w:space="0" w:color="auto"/>
          </w:divBdr>
        </w:div>
        <w:div w:id="2054963549">
          <w:marLeft w:val="0"/>
          <w:marRight w:val="0"/>
          <w:marTop w:val="0"/>
          <w:marBottom w:val="0"/>
          <w:divBdr>
            <w:top w:val="none" w:sz="0" w:space="0" w:color="auto"/>
            <w:left w:val="none" w:sz="0" w:space="0" w:color="auto"/>
            <w:bottom w:val="none" w:sz="0" w:space="0" w:color="auto"/>
            <w:right w:val="none" w:sz="0" w:space="0" w:color="auto"/>
          </w:divBdr>
        </w:div>
        <w:div w:id="2093156538">
          <w:marLeft w:val="0"/>
          <w:marRight w:val="0"/>
          <w:marTop w:val="0"/>
          <w:marBottom w:val="0"/>
          <w:divBdr>
            <w:top w:val="none" w:sz="0" w:space="0" w:color="auto"/>
            <w:left w:val="none" w:sz="0" w:space="0" w:color="auto"/>
            <w:bottom w:val="none" w:sz="0" w:space="0" w:color="auto"/>
            <w:right w:val="none" w:sz="0" w:space="0" w:color="auto"/>
          </w:divBdr>
        </w:div>
        <w:div w:id="2107187612">
          <w:marLeft w:val="0"/>
          <w:marRight w:val="0"/>
          <w:marTop w:val="0"/>
          <w:marBottom w:val="0"/>
          <w:divBdr>
            <w:top w:val="none" w:sz="0" w:space="0" w:color="auto"/>
            <w:left w:val="none" w:sz="0" w:space="0" w:color="auto"/>
            <w:bottom w:val="none" w:sz="0" w:space="0" w:color="auto"/>
            <w:right w:val="none" w:sz="0" w:space="0" w:color="auto"/>
          </w:divBdr>
        </w:div>
      </w:divsChild>
    </w:div>
    <w:div w:id="2021393512">
      <w:bodyDiv w:val="1"/>
      <w:marLeft w:val="0"/>
      <w:marRight w:val="0"/>
      <w:marTop w:val="0"/>
      <w:marBottom w:val="0"/>
      <w:divBdr>
        <w:top w:val="none" w:sz="0" w:space="0" w:color="auto"/>
        <w:left w:val="none" w:sz="0" w:space="0" w:color="auto"/>
        <w:bottom w:val="none" w:sz="0" w:space="0" w:color="auto"/>
        <w:right w:val="none" w:sz="0" w:space="0" w:color="auto"/>
      </w:divBdr>
      <w:divsChild>
        <w:div w:id="75058298">
          <w:marLeft w:val="0"/>
          <w:marRight w:val="0"/>
          <w:marTop w:val="0"/>
          <w:marBottom w:val="0"/>
          <w:divBdr>
            <w:top w:val="none" w:sz="0" w:space="0" w:color="auto"/>
            <w:left w:val="none" w:sz="0" w:space="0" w:color="auto"/>
            <w:bottom w:val="none" w:sz="0" w:space="0" w:color="auto"/>
            <w:right w:val="none" w:sz="0" w:space="0" w:color="auto"/>
          </w:divBdr>
        </w:div>
        <w:div w:id="443691138">
          <w:marLeft w:val="0"/>
          <w:marRight w:val="0"/>
          <w:marTop w:val="0"/>
          <w:marBottom w:val="0"/>
          <w:divBdr>
            <w:top w:val="none" w:sz="0" w:space="0" w:color="auto"/>
            <w:left w:val="none" w:sz="0" w:space="0" w:color="auto"/>
            <w:bottom w:val="none" w:sz="0" w:space="0" w:color="auto"/>
            <w:right w:val="none" w:sz="0" w:space="0" w:color="auto"/>
          </w:divBdr>
        </w:div>
        <w:div w:id="529800440">
          <w:marLeft w:val="0"/>
          <w:marRight w:val="0"/>
          <w:marTop w:val="0"/>
          <w:marBottom w:val="0"/>
          <w:divBdr>
            <w:top w:val="none" w:sz="0" w:space="0" w:color="auto"/>
            <w:left w:val="none" w:sz="0" w:space="0" w:color="auto"/>
            <w:bottom w:val="none" w:sz="0" w:space="0" w:color="auto"/>
            <w:right w:val="none" w:sz="0" w:space="0" w:color="auto"/>
          </w:divBdr>
        </w:div>
        <w:div w:id="673924306">
          <w:marLeft w:val="0"/>
          <w:marRight w:val="0"/>
          <w:marTop w:val="0"/>
          <w:marBottom w:val="0"/>
          <w:divBdr>
            <w:top w:val="none" w:sz="0" w:space="0" w:color="auto"/>
            <w:left w:val="none" w:sz="0" w:space="0" w:color="auto"/>
            <w:bottom w:val="none" w:sz="0" w:space="0" w:color="auto"/>
            <w:right w:val="none" w:sz="0" w:space="0" w:color="auto"/>
          </w:divBdr>
        </w:div>
        <w:div w:id="846021663">
          <w:marLeft w:val="0"/>
          <w:marRight w:val="0"/>
          <w:marTop w:val="0"/>
          <w:marBottom w:val="0"/>
          <w:divBdr>
            <w:top w:val="none" w:sz="0" w:space="0" w:color="auto"/>
            <w:left w:val="none" w:sz="0" w:space="0" w:color="auto"/>
            <w:bottom w:val="none" w:sz="0" w:space="0" w:color="auto"/>
            <w:right w:val="none" w:sz="0" w:space="0" w:color="auto"/>
          </w:divBdr>
        </w:div>
        <w:div w:id="893735422">
          <w:marLeft w:val="0"/>
          <w:marRight w:val="0"/>
          <w:marTop w:val="0"/>
          <w:marBottom w:val="0"/>
          <w:divBdr>
            <w:top w:val="none" w:sz="0" w:space="0" w:color="auto"/>
            <w:left w:val="none" w:sz="0" w:space="0" w:color="auto"/>
            <w:bottom w:val="none" w:sz="0" w:space="0" w:color="auto"/>
            <w:right w:val="none" w:sz="0" w:space="0" w:color="auto"/>
          </w:divBdr>
        </w:div>
        <w:div w:id="944967434">
          <w:marLeft w:val="0"/>
          <w:marRight w:val="0"/>
          <w:marTop w:val="0"/>
          <w:marBottom w:val="0"/>
          <w:divBdr>
            <w:top w:val="none" w:sz="0" w:space="0" w:color="auto"/>
            <w:left w:val="none" w:sz="0" w:space="0" w:color="auto"/>
            <w:bottom w:val="none" w:sz="0" w:space="0" w:color="auto"/>
            <w:right w:val="none" w:sz="0" w:space="0" w:color="auto"/>
          </w:divBdr>
        </w:div>
        <w:div w:id="1214006326">
          <w:marLeft w:val="0"/>
          <w:marRight w:val="0"/>
          <w:marTop w:val="0"/>
          <w:marBottom w:val="0"/>
          <w:divBdr>
            <w:top w:val="none" w:sz="0" w:space="0" w:color="auto"/>
            <w:left w:val="none" w:sz="0" w:space="0" w:color="auto"/>
            <w:bottom w:val="none" w:sz="0" w:space="0" w:color="auto"/>
            <w:right w:val="none" w:sz="0" w:space="0" w:color="auto"/>
          </w:divBdr>
        </w:div>
        <w:div w:id="1242136073">
          <w:marLeft w:val="0"/>
          <w:marRight w:val="0"/>
          <w:marTop w:val="0"/>
          <w:marBottom w:val="0"/>
          <w:divBdr>
            <w:top w:val="none" w:sz="0" w:space="0" w:color="auto"/>
            <w:left w:val="none" w:sz="0" w:space="0" w:color="auto"/>
            <w:bottom w:val="none" w:sz="0" w:space="0" w:color="auto"/>
            <w:right w:val="none" w:sz="0" w:space="0" w:color="auto"/>
          </w:divBdr>
        </w:div>
        <w:div w:id="1347054509">
          <w:marLeft w:val="0"/>
          <w:marRight w:val="0"/>
          <w:marTop w:val="0"/>
          <w:marBottom w:val="0"/>
          <w:divBdr>
            <w:top w:val="none" w:sz="0" w:space="0" w:color="auto"/>
            <w:left w:val="none" w:sz="0" w:space="0" w:color="auto"/>
            <w:bottom w:val="none" w:sz="0" w:space="0" w:color="auto"/>
            <w:right w:val="none" w:sz="0" w:space="0" w:color="auto"/>
          </w:divBdr>
        </w:div>
        <w:div w:id="1369989269">
          <w:marLeft w:val="0"/>
          <w:marRight w:val="0"/>
          <w:marTop w:val="0"/>
          <w:marBottom w:val="0"/>
          <w:divBdr>
            <w:top w:val="none" w:sz="0" w:space="0" w:color="auto"/>
            <w:left w:val="none" w:sz="0" w:space="0" w:color="auto"/>
            <w:bottom w:val="none" w:sz="0" w:space="0" w:color="auto"/>
            <w:right w:val="none" w:sz="0" w:space="0" w:color="auto"/>
          </w:divBdr>
        </w:div>
        <w:div w:id="1443762619">
          <w:marLeft w:val="0"/>
          <w:marRight w:val="0"/>
          <w:marTop w:val="0"/>
          <w:marBottom w:val="0"/>
          <w:divBdr>
            <w:top w:val="none" w:sz="0" w:space="0" w:color="auto"/>
            <w:left w:val="none" w:sz="0" w:space="0" w:color="auto"/>
            <w:bottom w:val="none" w:sz="0" w:space="0" w:color="auto"/>
            <w:right w:val="none" w:sz="0" w:space="0" w:color="auto"/>
          </w:divBdr>
        </w:div>
        <w:div w:id="1653095835">
          <w:marLeft w:val="0"/>
          <w:marRight w:val="0"/>
          <w:marTop w:val="0"/>
          <w:marBottom w:val="0"/>
          <w:divBdr>
            <w:top w:val="none" w:sz="0" w:space="0" w:color="auto"/>
            <w:left w:val="none" w:sz="0" w:space="0" w:color="auto"/>
            <w:bottom w:val="none" w:sz="0" w:space="0" w:color="auto"/>
            <w:right w:val="none" w:sz="0" w:space="0" w:color="auto"/>
          </w:divBdr>
        </w:div>
        <w:div w:id="1698041033">
          <w:marLeft w:val="0"/>
          <w:marRight w:val="0"/>
          <w:marTop w:val="0"/>
          <w:marBottom w:val="0"/>
          <w:divBdr>
            <w:top w:val="none" w:sz="0" w:space="0" w:color="auto"/>
            <w:left w:val="none" w:sz="0" w:space="0" w:color="auto"/>
            <w:bottom w:val="none" w:sz="0" w:space="0" w:color="auto"/>
            <w:right w:val="none" w:sz="0" w:space="0" w:color="auto"/>
          </w:divBdr>
        </w:div>
        <w:div w:id="1803618227">
          <w:marLeft w:val="0"/>
          <w:marRight w:val="0"/>
          <w:marTop w:val="0"/>
          <w:marBottom w:val="0"/>
          <w:divBdr>
            <w:top w:val="none" w:sz="0" w:space="0" w:color="auto"/>
            <w:left w:val="none" w:sz="0" w:space="0" w:color="auto"/>
            <w:bottom w:val="none" w:sz="0" w:space="0" w:color="auto"/>
            <w:right w:val="none" w:sz="0" w:space="0" w:color="auto"/>
          </w:divBdr>
        </w:div>
        <w:div w:id="1803882082">
          <w:marLeft w:val="0"/>
          <w:marRight w:val="0"/>
          <w:marTop w:val="0"/>
          <w:marBottom w:val="0"/>
          <w:divBdr>
            <w:top w:val="none" w:sz="0" w:space="0" w:color="auto"/>
            <w:left w:val="none" w:sz="0" w:space="0" w:color="auto"/>
            <w:bottom w:val="none" w:sz="0" w:space="0" w:color="auto"/>
            <w:right w:val="none" w:sz="0" w:space="0" w:color="auto"/>
          </w:divBdr>
        </w:div>
        <w:div w:id="1826580038">
          <w:marLeft w:val="0"/>
          <w:marRight w:val="0"/>
          <w:marTop w:val="0"/>
          <w:marBottom w:val="0"/>
          <w:divBdr>
            <w:top w:val="none" w:sz="0" w:space="0" w:color="auto"/>
            <w:left w:val="none" w:sz="0" w:space="0" w:color="auto"/>
            <w:bottom w:val="none" w:sz="0" w:space="0" w:color="auto"/>
            <w:right w:val="none" w:sz="0" w:space="0" w:color="auto"/>
          </w:divBdr>
        </w:div>
        <w:div w:id="2077898215">
          <w:marLeft w:val="0"/>
          <w:marRight w:val="0"/>
          <w:marTop w:val="0"/>
          <w:marBottom w:val="0"/>
          <w:divBdr>
            <w:top w:val="none" w:sz="0" w:space="0" w:color="auto"/>
            <w:left w:val="none" w:sz="0" w:space="0" w:color="auto"/>
            <w:bottom w:val="none" w:sz="0" w:space="0" w:color="auto"/>
            <w:right w:val="none" w:sz="0" w:space="0" w:color="auto"/>
          </w:divBdr>
        </w:div>
      </w:divsChild>
    </w:div>
    <w:div w:id="2027438439">
      <w:bodyDiv w:val="1"/>
      <w:marLeft w:val="0"/>
      <w:marRight w:val="0"/>
      <w:marTop w:val="0"/>
      <w:marBottom w:val="0"/>
      <w:divBdr>
        <w:top w:val="none" w:sz="0" w:space="0" w:color="auto"/>
        <w:left w:val="none" w:sz="0" w:space="0" w:color="auto"/>
        <w:bottom w:val="none" w:sz="0" w:space="0" w:color="auto"/>
        <w:right w:val="none" w:sz="0" w:space="0" w:color="auto"/>
      </w:divBdr>
      <w:divsChild>
        <w:div w:id="53545700">
          <w:marLeft w:val="0"/>
          <w:marRight w:val="0"/>
          <w:marTop w:val="0"/>
          <w:marBottom w:val="0"/>
          <w:divBdr>
            <w:top w:val="none" w:sz="0" w:space="0" w:color="auto"/>
            <w:left w:val="none" w:sz="0" w:space="0" w:color="auto"/>
            <w:bottom w:val="none" w:sz="0" w:space="0" w:color="auto"/>
            <w:right w:val="none" w:sz="0" w:space="0" w:color="auto"/>
          </w:divBdr>
        </w:div>
        <w:div w:id="77604545">
          <w:marLeft w:val="0"/>
          <w:marRight w:val="0"/>
          <w:marTop w:val="0"/>
          <w:marBottom w:val="0"/>
          <w:divBdr>
            <w:top w:val="none" w:sz="0" w:space="0" w:color="auto"/>
            <w:left w:val="none" w:sz="0" w:space="0" w:color="auto"/>
            <w:bottom w:val="none" w:sz="0" w:space="0" w:color="auto"/>
            <w:right w:val="none" w:sz="0" w:space="0" w:color="auto"/>
          </w:divBdr>
        </w:div>
        <w:div w:id="101608999">
          <w:marLeft w:val="0"/>
          <w:marRight w:val="0"/>
          <w:marTop w:val="0"/>
          <w:marBottom w:val="0"/>
          <w:divBdr>
            <w:top w:val="none" w:sz="0" w:space="0" w:color="auto"/>
            <w:left w:val="none" w:sz="0" w:space="0" w:color="auto"/>
            <w:bottom w:val="none" w:sz="0" w:space="0" w:color="auto"/>
            <w:right w:val="none" w:sz="0" w:space="0" w:color="auto"/>
          </w:divBdr>
        </w:div>
        <w:div w:id="327253143">
          <w:marLeft w:val="0"/>
          <w:marRight w:val="0"/>
          <w:marTop w:val="0"/>
          <w:marBottom w:val="0"/>
          <w:divBdr>
            <w:top w:val="none" w:sz="0" w:space="0" w:color="auto"/>
            <w:left w:val="none" w:sz="0" w:space="0" w:color="auto"/>
            <w:bottom w:val="none" w:sz="0" w:space="0" w:color="auto"/>
            <w:right w:val="none" w:sz="0" w:space="0" w:color="auto"/>
          </w:divBdr>
        </w:div>
        <w:div w:id="439761072">
          <w:marLeft w:val="0"/>
          <w:marRight w:val="0"/>
          <w:marTop w:val="0"/>
          <w:marBottom w:val="0"/>
          <w:divBdr>
            <w:top w:val="none" w:sz="0" w:space="0" w:color="auto"/>
            <w:left w:val="none" w:sz="0" w:space="0" w:color="auto"/>
            <w:bottom w:val="none" w:sz="0" w:space="0" w:color="auto"/>
            <w:right w:val="none" w:sz="0" w:space="0" w:color="auto"/>
          </w:divBdr>
        </w:div>
        <w:div w:id="655576618">
          <w:marLeft w:val="0"/>
          <w:marRight w:val="0"/>
          <w:marTop w:val="0"/>
          <w:marBottom w:val="0"/>
          <w:divBdr>
            <w:top w:val="none" w:sz="0" w:space="0" w:color="auto"/>
            <w:left w:val="none" w:sz="0" w:space="0" w:color="auto"/>
            <w:bottom w:val="none" w:sz="0" w:space="0" w:color="auto"/>
            <w:right w:val="none" w:sz="0" w:space="0" w:color="auto"/>
          </w:divBdr>
        </w:div>
        <w:div w:id="1077358918">
          <w:marLeft w:val="0"/>
          <w:marRight w:val="0"/>
          <w:marTop w:val="0"/>
          <w:marBottom w:val="0"/>
          <w:divBdr>
            <w:top w:val="none" w:sz="0" w:space="0" w:color="auto"/>
            <w:left w:val="none" w:sz="0" w:space="0" w:color="auto"/>
            <w:bottom w:val="none" w:sz="0" w:space="0" w:color="auto"/>
            <w:right w:val="none" w:sz="0" w:space="0" w:color="auto"/>
          </w:divBdr>
        </w:div>
        <w:div w:id="1123421833">
          <w:marLeft w:val="0"/>
          <w:marRight w:val="0"/>
          <w:marTop w:val="0"/>
          <w:marBottom w:val="0"/>
          <w:divBdr>
            <w:top w:val="none" w:sz="0" w:space="0" w:color="auto"/>
            <w:left w:val="none" w:sz="0" w:space="0" w:color="auto"/>
            <w:bottom w:val="none" w:sz="0" w:space="0" w:color="auto"/>
            <w:right w:val="none" w:sz="0" w:space="0" w:color="auto"/>
          </w:divBdr>
        </w:div>
        <w:div w:id="1165970044">
          <w:marLeft w:val="0"/>
          <w:marRight w:val="0"/>
          <w:marTop w:val="0"/>
          <w:marBottom w:val="0"/>
          <w:divBdr>
            <w:top w:val="none" w:sz="0" w:space="0" w:color="auto"/>
            <w:left w:val="none" w:sz="0" w:space="0" w:color="auto"/>
            <w:bottom w:val="none" w:sz="0" w:space="0" w:color="auto"/>
            <w:right w:val="none" w:sz="0" w:space="0" w:color="auto"/>
          </w:divBdr>
        </w:div>
        <w:div w:id="1278869699">
          <w:marLeft w:val="0"/>
          <w:marRight w:val="0"/>
          <w:marTop w:val="0"/>
          <w:marBottom w:val="0"/>
          <w:divBdr>
            <w:top w:val="none" w:sz="0" w:space="0" w:color="auto"/>
            <w:left w:val="none" w:sz="0" w:space="0" w:color="auto"/>
            <w:bottom w:val="none" w:sz="0" w:space="0" w:color="auto"/>
            <w:right w:val="none" w:sz="0" w:space="0" w:color="auto"/>
          </w:divBdr>
        </w:div>
        <w:div w:id="1404984769">
          <w:marLeft w:val="0"/>
          <w:marRight w:val="0"/>
          <w:marTop w:val="0"/>
          <w:marBottom w:val="0"/>
          <w:divBdr>
            <w:top w:val="none" w:sz="0" w:space="0" w:color="auto"/>
            <w:left w:val="none" w:sz="0" w:space="0" w:color="auto"/>
            <w:bottom w:val="none" w:sz="0" w:space="0" w:color="auto"/>
            <w:right w:val="none" w:sz="0" w:space="0" w:color="auto"/>
          </w:divBdr>
        </w:div>
        <w:div w:id="1659571334">
          <w:marLeft w:val="0"/>
          <w:marRight w:val="0"/>
          <w:marTop w:val="0"/>
          <w:marBottom w:val="0"/>
          <w:divBdr>
            <w:top w:val="none" w:sz="0" w:space="0" w:color="auto"/>
            <w:left w:val="none" w:sz="0" w:space="0" w:color="auto"/>
            <w:bottom w:val="none" w:sz="0" w:space="0" w:color="auto"/>
            <w:right w:val="none" w:sz="0" w:space="0" w:color="auto"/>
          </w:divBdr>
        </w:div>
      </w:divsChild>
    </w:div>
    <w:div w:id="2044400506">
      <w:bodyDiv w:val="1"/>
      <w:marLeft w:val="0"/>
      <w:marRight w:val="0"/>
      <w:marTop w:val="0"/>
      <w:marBottom w:val="0"/>
      <w:divBdr>
        <w:top w:val="none" w:sz="0" w:space="0" w:color="auto"/>
        <w:left w:val="none" w:sz="0" w:space="0" w:color="auto"/>
        <w:bottom w:val="none" w:sz="0" w:space="0" w:color="auto"/>
        <w:right w:val="none" w:sz="0" w:space="0" w:color="auto"/>
      </w:divBdr>
      <w:divsChild>
        <w:div w:id="24598317">
          <w:marLeft w:val="0"/>
          <w:marRight w:val="0"/>
          <w:marTop w:val="0"/>
          <w:marBottom w:val="0"/>
          <w:divBdr>
            <w:top w:val="none" w:sz="0" w:space="0" w:color="auto"/>
            <w:left w:val="none" w:sz="0" w:space="0" w:color="auto"/>
            <w:bottom w:val="none" w:sz="0" w:space="0" w:color="auto"/>
            <w:right w:val="none" w:sz="0" w:space="0" w:color="auto"/>
          </w:divBdr>
        </w:div>
        <w:div w:id="101726239">
          <w:marLeft w:val="0"/>
          <w:marRight w:val="0"/>
          <w:marTop w:val="0"/>
          <w:marBottom w:val="0"/>
          <w:divBdr>
            <w:top w:val="none" w:sz="0" w:space="0" w:color="auto"/>
            <w:left w:val="none" w:sz="0" w:space="0" w:color="auto"/>
            <w:bottom w:val="none" w:sz="0" w:space="0" w:color="auto"/>
            <w:right w:val="none" w:sz="0" w:space="0" w:color="auto"/>
          </w:divBdr>
        </w:div>
        <w:div w:id="117381904">
          <w:marLeft w:val="0"/>
          <w:marRight w:val="0"/>
          <w:marTop w:val="0"/>
          <w:marBottom w:val="0"/>
          <w:divBdr>
            <w:top w:val="none" w:sz="0" w:space="0" w:color="auto"/>
            <w:left w:val="none" w:sz="0" w:space="0" w:color="auto"/>
            <w:bottom w:val="none" w:sz="0" w:space="0" w:color="auto"/>
            <w:right w:val="none" w:sz="0" w:space="0" w:color="auto"/>
          </w:divBdr>
        </w:div>
        <w:div w:id="206263882">
          <w:marLeft w:val="0"/>
          <w:marRight w:val="0"/>
          <w:marTop w:val="0"/>
          <w:marBottom w:val="0"/>
          <w:divBdr>
            <w:top w:val="none" w:sz="0" w:space="0" w:color="auto"/>
            <w:left w:val="none" w:sz="0" w:space="0" w:color="auto"/>
            <w:bottom w:val="none" w:sz="0" w:space="0" w:color="auto"/>
            <w:right w:val="none" w:sz="0" w:space="0" w:color="auto"/>
          </w:divBdr>
        </w:div>
        <w:div w:id="209541317">
          <w:marLeft w:val="0"/>
          <w:marRight w:val="0"/>
          <w:marTop w:val="0"/>
          <w:marBottom w:val="0"/>
          <w:divBdr>
            <w:top w:val="none" w:sz="0" w:space="0" w:color="auto"/>
            <w:left w:val="none" w:sz="0" w:space="0" w:color="auto"/>
            <w:bottom w:val="none" w:sz="0" w:space="0" w:color="auto"/>
            <w:right w:val="none" w:sz="0" w:space="0" w:color="auto"/>
          </w:divBdr>
        </w:div>
        <w:div w:id="237712991">
          <w:marLeft w:val="0"/>
          <w:marRight w:val="0"/>
          <w:marTop w:val="0"/>
          <w:marBottom w:val="0"/>
          <w:divBdr>
            <w:top w:val="none" w:sz="0" w:space="0" w:color="auto"/>
            <w:left w:val="none" w:sz="0" w:space="0" w:color="auto"/>
            <w:bottom w:val="none" w:sz="0" w:space="0" w:color="auto"/>
            <w:right w:val="none" w:sz="0" w:space="0" w:color="auto"/>
          </w:divBdr>
        </w:div>
        <w:div w:id="290478653">
          <w:marLeft w:val="0"/>
          <w:marRight w:val="0"/>
          <w:marTop w:val="0"/>
          <w:marBottom w:val="0"/>
          <w:divBdr>
            <w:top w:val="none" w:sz="0" w:space="0" w:color="auto"/>
            <w:left w:val="none" w:sz="0" w:space="0" w:color="auto"/>
            <w:bottom w:val="none" w:sz="0" w:space="0" w:color="auto"/>
            <w:right w:val="none" w:sz="0" w:space="0" w:color="auto"/>
          </w:divBdr>
        </w:div>
        <w:div w:id="383336137">
          <w:marLeft w:val="0"/>
          <w:marRight w:val="0"/>
          <w:marTop w:val="0"/>
          <w:marBottom w:val="0"/>
          <w:divBdr>
            <w:top w:val="none" w:sz="0" w:space="0" w:color="auto"/>
            <w:left w:val="none" w:sz="0" w:space="0" w:color="auto"/>
            <w:bottom w:val="none" w:sz="0" w:space="0" w:color="auto"/>
            <w:right w:val="none" w:sz="0" w:space="0" w:color="auto"/>
          </w:divBdr>
        </w:div>
        <w:div w:id="422143426">
          <w:marLeft w:val="0"/>
          <w:marRight w:val="0"/>
          <w:marTop w:val="0"/>
          <w:marBottom w:val="0"/>
          <w:divBdr>
            <w:top w:val="none" w:sz="0" w:space="0" w:color="auto"/>
            <w:left w:val="none" w:sz="0" w:space="0" w:color="auto"/>
            <w:bottom w:val="none" w:sz="0" w:space="0" w:color="auto"/>
            <w:right w:val="none" w:sz="0" w:space="0" w:color="auto"/>
          </w:divBdr>
        </w:div>
        <w:div w:id="438184814">
          <w:marLeft w:val="0"/>
          <w:marRight w:val="0"/>
          <w:marTop w:val="0"/>
          <w:marBottom w:val="0"/>
          <w:divBdr>
            <w:top w:val="none" w:sz="0" w:space="0" w:color="auto"/>
            <w:left w:val="none" w:sz="0" w:space="0" w:color="auto"/>
            <w:bottom w:val="none" w:sz="0" w:space="0" w:color="auto"/>
            <w:right w:val="none" w:sz="0" w:space="0" w:color="auto"/>
          </w:divBdr>
        </w:div>
        <w:div w:id="442656677">
          <w:marLeft w:val="0"/>
          <w:marRight w:val="0"/>
          <w:marTop w:val="0"/>
          <w:marBottom w:val="0"/>
          <w:divBdr>
            <w:top w:val="none" w:sz="0" w:space="0" w:color="auto"/>
            <w:left w:val="none" w:sz="0" w:space="0" w:color="auto"/>
            <w:bottom w:val="none" w:sz="0" w:space="0" w:color="auto"/>
            <w:right w:val="none" w:sz="0" w:space="0" w:color="auto"/>
          </w:divBdr>
        </w:div>
        <w:div w:id="501704801">
          <w:marLeft w:val="0"/>
          <w:marRight w:val="0"/>
          <w:marTop w:val="0"/>
          <w:marBottom w:val="0"/>
          <w:divBdr>
            <w:top w:val="none" w:sz="0" w:space="0" w:color="auto"/>
            <w:left w:val="none" w:sz="0" w:space="0" w:color="auto"/>
            <w:bottom w:val="none" w:sz="0" w:space="0" w:color="auto"/>
            <w:right w:val="none" w:sz="0" w:space="0" w:color="auto"/>
          </w:divBdr>
        </w:div>
        <w:div w:id="600261474">
          <w:marLeft w:val="0"/>
          <w:marRight w:val="0"/>
          <w:marTop w:val="0"/>
          <w:marBottom w:val="0"/>
          <w:divBdr>
            <w:top w:val="none" w:sz="0" w:space="0" w:color="auto"/>
            <w:left w:val="none" w:sz="0" w:space="0" w:color="auto"/>
            <w:bottom w:val="none" w:sz="0" w:space="0" w:color="auto"/>
            <w:right w:val="none" w:sz="0" w:space="0" w:color="auto"/>
          </w:divBdr>
        </w:div>
        <w:div w:id="635185916">
          <w:marLeft w:val="0"/>
          <w:marRight w:val="0"/>
          <w:marTop w:val="0"/>
          <w:marBottom w:val="0"/>
          <w:divBdr>
            <w:top w:val="none" w:sz="0" w:space="0" w:color="auto"/>
            <w:left w:val="none" w:sz="0" w:space="0" w:color="auto"/>
            <w:bottom w:val="none" w:sz="0" w:space="0" w:color="auto"/>
            <w:right w:val="none" w:sz="0" w:space="0" w:color="auto"/>
          </w:divBdr>
        </w:div>
        <w:div w:id="853500535">
          <w:marLeft w:val="0"/>
          <w:marRight w:val="0"/>
          <w:marTop w:val="0"/>
          <w:marBottom w:val="0"/>
          <w:divBdr>
            <w:top w:val="none" w:sz="0" w:space="0" w:color="auto"/>
            <w:left w:val="none" w:sz="0" w:space="0" w:color="auto"/>
            <w:bottom w:val="none" w:sz="0" w:space="0" w:color="auto"/>
            <w:right w:val="none" w:sz="0" w:space="0" w:color="auto"/>
          </w:divBdr>
        </w:div>
        <w:div w:id="1003431251">
          <w:marLeft w:val="0"/>
          <w:marRight w:val="0"/>
          <w:marTop w:val="0"/>
          <w:marBottom w:val="0"/>
          <w:divBdr>
            <w:top w:val="none" w:sz="0" w:space="0" w:color="auto"/>
            <w:left w:val="none" w:sz="0" w:space="0" w:color="auto"/>
            <w:bottom w:val="none" w:sz="0" w:space="0" w:color="auto"/>
            <w:right w:val="none" w:sz="0" w:space="0" w:color="auto"/>
          </w:divBdr>
        </w:div>
        <w:div w:id="1223906425">
          <w:marLeft w:val="0"/>
          <w:marRight w:val="0"/>
          <w:marTop w:val="0"/>
          <w:marBottom w:val="0"/>
          <w:divBdr>
            <w:top w:val="none" w:sz="0" w:space="0" w:color="auto"/>
            <w:left w:val="none" w:sz="0" w:space="0" w:color="auto"/>
            <w:bottom w:val="none" w:sz="0" w:space="0" w:color="auto"/>
            <w:right w:val="none" w:sz="0" w:space="0" w:color="auto"/>
          </w:divBdr>
        </w:div>
        <w:div w:id="1363897415">
          <w:marLeft w:val="0"/>
          <w:marRight w:val="0"/>
          <w:marTop w:val="0"/>
          <w:marBottom w:val="0"/>
          <w:divBdr>
            <w:top w:val="none" w:sz="0" w:space="0" w:color="auto"/>
            <w:left w:val="none" w:sz="0" w:space="0" w:color="auto"/>
            <w:bottom w:val="none" w:sz="0" w:space="0" w:color="auto"/>
            <w:right w:val="none" w:sz="0" w:space="0" w:color="auto"/>
          </w:divBdr>
        </w:div>
        <w:div w:id="1481728403">
          <w:marLeft w:val="0"/>
          <w:marRight w:val="0"/>
          <w:marTop w:val="0"/>
          <w:marBottom w:val="0"/>
          <w:divBdr>
            <w:top w:val="none" w:sz="0" w:space="0" w:color="auto"/>
            <w:left w:val="none" w:sz="0" w:space="0" w:color="auto"/>
            <w:bottom w:val="none" w:sz="0" w:space="0" w:color="auto"/>
            <w:right w:val="none" w:sz="0" w:space="0" w:color="auto"/>
          </w:divBdr>
        </w:div>
        <w:div w:id="1507667766">
          <w:marLeft w:val="0"/>
          <w:marRight w:val="0"/>
          <w:marTop w:val="0"/>
          <w:marBottom w:val="0"/>
          <w:divBdr>
            <w:top w:val="none" w:sz="0" w:space="0" w:color="auto"/>
            <w:left w:val="none" w:sz="0" w:space="0" w:color="auto"/>
            <w:bottom w:val="none" w:sz="0" w:space="0" w:color="auto"/>
            <w:right w:val="none" w:sz="0" w:space="0" w:color="auto"/>
          </w:divBdr>
        </w:div>
        <w:div w:id="1625693743">
          <w:marLeft w:val="0"/>
          <w:marRight w:val="0"/>
          <w:marTop w:val="0"/>
          <w:marBottom w:val="0"/>
          <w:divBdr>
            <w:top w:val="none" w:sz="0" w:space="0" w:color="auto"/>
            <w:left w:val="none" w:sz="0" w:space="0" w:color="auto"/>
            <w:bottom w:val="none" w:sz="0" w:space="0" w:color="auto"/>
            <w:right w:val="none" w:sz="0" w:space="0" w:color="auto"/>
          </w:divBdr>
        </w:div>
        <w:div w:id="1701012179">
          <w:marLeft w:val="0"/>
          <w:marRight w:val="0"/>
          <w:marTop w:val="0"/>
          <w:marBottom w:val="0"/>
          <w:divBdr>
            <w:top w:val="none" w:sz="0" w:space="0" w:color="auto"/>
            <w:left w:val="none" w:sz="0" w:space="0" w:color="auto"/>
            <w:bottom w:val="none" w:sz="0" w:space="0" w:color="auto"/>
            <w:right w:val="none" w:sz="0" w:space="0" w:color="auto"/>
          </w:divBdr>
        </w:div>
        <w:div w:id="1707483896">
          <w:marLeft w:val="0"/>
          <w:marRight w:val="0"/>
          <w:marTop w:val="0"/>
          <w:marBottom w:val="0"/>
          <w:divBdr>
            <w:top w:val="none" w:sz="0" w:space="0" w:color="auto"/>
            <w:left w:val="none" w:sz="0" w:space="0" w:color="auto"/>
            <w:bottom w:val="none" w:sz="0" w:space="0" w:color="auto"/>
            <w:right w:val="none" w:sz="0" w:space="0" w:color="auto"/>
          </w:divBdr>
        </w:div>
        <w:div w:id="1725330157">
          <w:marLeft w:val="0"/>
          <w:marRight w:val="0"/>
          <w:marTop w:val="0"/>
          <w:marBottom w:val="0"/>
          <w:divBdr>
            <w:top w:val="none" w:sz="0" w:space="0" w:color="auto"/>
            <w:left w:val="none" w:sz="0" w:space="0" w:color="auto"/>
            <w:bottom w:val="none" w:sz="0" w:space="0" w:color="auto"/>
            <w:right w:val="none" w:sz="0" w:space="0" w:color="auto"/>
          </w:divBdr>
        </w:div>
        <w:div w:id="1743137471">
          <w:marLeft w:val="0"/>
          <w:marRight w:val="0"/>
          <w:marTop w:val="0"/>
          <w:marBottom w:val="0"/>
          <w:divBdr>
            <w:top w:val="none" w:sz="0" w:space="0" w:color="auto"/>
            <w:left w:val="none" w:sz="0" w:space="0" w:color="auto"/>
            <w:bottom w:val="none" w:sz="0" w:space="0" w:color="auto"/>
            <w:right w:val="none" w:sz="0" w:space="0" w:color="auto"/>
          </w:divBdr>
        </w:div>
        <w:div w:id="1755663902">
          <w:marLeft w:val="0"/>
          <w:marRight w:val="0"/>
          <w:marTop w:val="0"/>
          <w:marBottom w:val="0"/>
          <w:divBdr>
            <w:top w:val="none" w:sz="0" w:space="0" w:color="auto"/>
            <w:left w:val="none" w:sz="0" w:space="0" w:color="auto"/>
            <w:bottom w:val="none" w:sz="0" w:space="0" w:color="auto"/>
            <w:right w:val="none" w:sz="0" w:space="0" w:color="auto"/>
          </w:divBdr>
        </w:div>
        <w:div w:id="1802261359">
          <w:marLeft w:val="0"/>
          <w:marRight w:val="0"/>
          <w:marTop w:val="0"/>
          <w:marBottom w:val="0"/>
          <w:divBdr>
            <w:top w:val="none" w:sz="0" w:space="0" w:color="auto"/>
            <w:left w:val="none" w:sz="0" w:space="0" w:color="auto"/>
            <w:bottom w:val="none" w:sz="0" w:space="0" w:color="auto"/>
            <w:right w:val="none" w:sz="0" w:space="0" w:color="auto"/>
          </w:divBdr>
        </w:div>
        <w:div w:id="1991857641">
          <w:marLeft w:val="0"/>
          <w:marRight w:val="0"/>
          <w:marTop w:val="0"/>
          <w:marBottom w:val="0"/>
          <w:divBdr>
            <w:top w:val="none" w:sz="0" w:space="0" w:color="auto"/>
            <w:left w:val="none" w:sz="0" w:space="0" w:color="auto"/>
            <w:bottom w:val="none" w:sz="0" w:space="0" w:color="auto"/>
            <w:right w:val="none" w:sz="0" w:space="0" w:color="auto"/>
          </w:divBdr>
        </w:div>
        <w:div w:id="2011132770">
          <w:marLeft w:val="0"/>
          <w:marRight w:val="0"/>
          <w:marTop w:val="0"/>
          <w:marBottom w:val="0"/>
          <w:divBdr>
            <w:top w:val="none" w:sz="0" w:space="0" w:color="auto"/>
            <w:left w:val="none" w:sz="0" w:space="0" w:color="auto"/>
            <w:bottom w:val="none" w:sz="0" w:space="0" w:color="auto"/>
            <w:right w:val="none" w:sz="0" w:space="0" w:color="auto"/>
          </w:divBdr>
        </w:div>
        <w:div w:id="2145195133">
          <w:marLeft w:val="0"/>
          <w:marRight w:val="0"/>
          <w:marTop w:val="0"/>
          <w:marBottom w:val="0"/>
          <w:divBdr>
            <w:top w:val="none" w:sz="0" w:space="0" w:color="auto"/>
            <w:left w:val="none" w:sz="0" w:space="0" w:color="auto"/>
            <w:bottom w:val="none" w:sz="0" w:space="0" w:color="auto"/>
            <w:right w:val="none" w:sz="0" w:space="0" w:color="auto"/>
          </w:divBdr>
        </w:div>
      </w:divsChild>
    </w:div>
    <w:div w:id="2052532656">
      <w:bodyDiv w:val="1"/>
      <w:marLeft w:val="0"/>
      <w:marRight w:val="0"/>
      <w:marTop w:val="0"/>
      <w:marBottom w:val="0"/>
      <w:divBdr>
        <w:top w:val="none" w:sz="0" w:space="0" w:color="auto"/>
        <w:left w:val="none" w:sz="0" w:space="0" w:color="auto"/>
        <w:bottom w:val="none" w:sz="0" w:space="0" w:color="auto"/>
        <w:right w:val="none" w:sz="0" w:space="0" w:color="auto"/>
      </w:divBdr>
      <w:divsChild>
        <w:div w:id="1090080137">
          <w:marLeft w:val="0"/>
          <w:marRight w:val="0"/>
          <w:marTop w:val="0"/>
          <w:marBottom w:val="0"/>
          <w:divBdr>
            <w:top w:val="none" w:sz="0" w:space="0" w:color="auto"/>
            <w:left w:val="none" w:sz="0" w:space="0" w:color="auto"/>
            <w:bottom w:val="none" w:sz="0" w:space="0" w:color="auto"/>
            <w:right w:val="none" w:sz="0" w:space="0" w:color="auto"/>
          </w:divBdr>
        </w:div>
        <w:div w:id="322240750">
          <w:marLeft w:val="0"/>
          <w:marRight w:val="0"/>
          <w:marTop w:val="0"/>
          <w:marBottom w:val="0"/>
          <w:divBdr>
            <w:top w:val="none" w:sz="0" w:space="0" w:color="auto"/>
            <w:left w:val="none" w:sz="0" w:space="0" w:color="auto"/>
            <w:bottom w:val="none" w:sz="0" w:space="0" w:color="auto"/>
            <w:right w:val="none" w:sz="0" w:space="0" w:color="auto"/>
          </w:divBdr>
        </w:div>
        <w:div w:id="1130511361">
          <w:marLeft w:val="0"/>
          <w:marRight w:val="0"/>
          <w:marTop w:val="0"/>
          <w:marBottom w:val="0"/>
          <w:divBdr>
            <w:top w:val="none" w:sz="0" w:space="0" w:color="auto"/>
            <w:left w:val="none" w:sz="0" w:space="0" w:color="auto"/>
            <w:bottom w:val="none" w:sz="0" w:space="0" w:color="auto"/>
            <w:right w:val="none" w:sz="0" w:space="0" w:color="auto"/>
          </w:divBdr>
        </w:div>
        <w:div w:id="205601343">
          <w:marLeft w:val="0"/>
          <w:marRight w:val="0"/>
          <w:marTop w:val="0"/>
          <w:marBottom w:val="0"/>
          <w:divBdr>
            <w:top w:val="none" w:sz="0" w:space="0" w:color="auto"/>
            <w:left w:val="none" w:sz="0" w:space="0" w:color="auto"/>
            <w:bottom w:val="none" w:sz="0" w:space="0" w:color="auto"/>
            <w:right w:val="none" w:sz="0" w:space="0" w:color="auto"/>
          </w:divBdr>
        </w:div>
        <w:div w:id="169175483">
          <w:marLeft w:val="0"/>
          <w:marRight w:val="0"/>
          <w:marTop w:val="0"/>
          <w:marBottom w:val="0"/>
          <w:divBdr>
            <w:top w:val="none" w:sz="0" w:space="0" w:color="auto"/>
            <w:left w:val="none" w:sz="0" w:space="0" w:color="auto"/>
            <w:bottom w:val="none" w:sz="0" w:space="0" w:color="auto"/>
            <w:right w:val="none" w:sz="0" w:space="0" w:color="auto"/>
          </w:divBdr>
        </w:div>
        <w:div w:id="1675919074">
          <w:marLeft w:val="0"/>
          <w:marRight w:val="0"/>
          <w:marTop w:val="0"/>
          <w:marBottom w:val="0"/>
          <w:divBdr>
            <w:top w:val="none" w:sz="0" w:space="0" w:color="auto"/>
            <w:left w:val="none" w:sz="0" w:space="0" w:color="auto"/>
            <w:bottom w:val="none" w:sz="0" w:space="0" w:color="auto"/>
            <w:right w:val="none" w:sz="0" w:space="0" w:color="auto"/>
          </w:divBdr>
        </w:div>
        <w:div w:id="1331760038">
          <w:marLeft w:val="0"/>
          <w:marRight w:val="0"/>
          <w:marTop w:val="0"/>
          <w:marBottom w:val="0"/>
          <w:divBdr>
            <w:top w:val="none" w:sz="0" w:space="0" w:color="auto"/>
            <w:left w:val="none" w:sz="0" w:space="0" w:color="auto"/>
            <w:bottom w:val="none" w:sz="0" w:space="0" w:color="auto"/>
            <w:right w:val="none" w:sz="0" w:space="0" w:color="auto"/>
          </w:divBdr>
        </w:div>
        <w:div w:id="1552688855">
          <w:marLeft w:val="0"/>
          <w:marRight w:val="0"/>
          <w:marTop w:val="0"/>
          <w:marBottom w:val="0"/>
          <w:divBdr>
            <w:top w:val="none" w:sz="0" w:space="0" w:color="auto"/>
            <w:left w:val="none" w:sz="0" w:space="0" w:color="auto"/>
            <w:bottom w:val="none" w:sz="0" w:space="0" w:color="auto"/>
            <w:right w:val="none" w:sz="0" w:space="0" w:color="auto"/>
          </w:divBdr>
        </w:div>
        <w:div w:id="2026442686">
          <w:marLeft w:val="0"/>
          <w:marRight w:val="0"/>
          <w:marTop w:val="0"/>
          <w:marBottom w:val="0"/>
          <w:divBdr>
            <w:top w:val="none" w:sz="0" w:space="0" w:color="auto"/>
            <w:left w:val="none" w:sz="0" w:space="0" w:color="auto"/>
            <w:bottom w:val="none" w:sz="0" w:space="0" w:color="auto"/>
            <w:right w:val="none" w:sz="0" w:space="0" w:color="auto"/>
          </w:divBdr>
          <w:divsChild>
            <w:div w:id="489751740">
              <w:marLeft w:val="0"/>
              <w:marRight w:val="0"/>
              <w:marTop w:val="0"/>
              <w:marBottom w:val="0"/>
              <w:divBdr>
                <w:top w:val="none" w:sz="0" w:space="0" w:color="auto"/>
                <w:left w:val="none" w:sz="0" w:space="0" w:color="auto"/>
                <w:bottom w:val="none" w:sz="0" w:space="0" w:color="auto"/>
                <w:right w:val="none" w:sz="0" w:space="0" w:color="auto"/>
              </w:divBdr>
            </w:div>
            <w:div w:id="817692996">
              <w:marLeft w:val="0"/>
              <w:marRight w:val="0"/>
              <w:marTop w:val="0"/>
              <w:marBottom w:val="0"/>
              <w:divBdr>
                <w:top w:val="none" w:sz="0" w:space="0" w:color="auto"/>
                <w:left w:val="none" w:sz="0" w:space="0" w:color="auto"/>
                <w:bottom w:val="none" w:sz="0" w:space="0" w:color="auto"/>
                <w:right w:val="none" w:sz="0" w:space="0" w:color="auto"/>
              </w:divBdr>
            </w:div>
            <w:div w:id="163474484">
              <w:marLeft w:val="0"/>
              <w:marRight w:val="0"/>
              <w:marTop w:val="0"/>
              <w:marBottom w:val="0"/>
              <w:divBdr>
                <w:top w:val="none" w:sz="0" w:space="0" w:color="auto"/>
                <w:left w:val="none" w:sz="0" w:space="0" w:color="auto"/>
                <w:bottom w:val="none" w:sz="0" w:space="0" w:color="auto"/>
                <w:right w:val="none" w:sz="0" w:space="0" w:color="auto"/>
              </w:divBdr>
            </w:div>
            <w:div w:id="925960890">
              <w:marLeft w:val="0"/>
              <w:marRight w:val="0"/>
              <w:marTop w:val="0"/>
              <w:marBottom w:val="0"/>
              <w:divBdr>
                <w:top w:val="none" w:sz="0" w:space="0" w:color="auto"/>
                <w:left w:val="none" w:sz="0" w:space="0" w:color="auto"/>
                <w:bottom w:val="none" w:sz="0" w:space="0" w:color="auto"/>
                <w:right w:val="none" w:sz="0" w:space="0" w:color="auto"/>
              </w:divBdr>
            </w:div>
            <w:div w:id="1731615095">
              <w:marLeft w:val="0"/>
              <w:marRight w:val="0"/>
              <w:marTop w:val="0"/>
              <w:marBottom w:val="0"/>
              <w:divBdr>
                <w:top w:val="none" w:sz="0" w:space="0" w:color="auto"/>
                <w:left w:val="none" w:sz="0" w:space="0" w:color="auto"/>
                <w:bottom w:val="none" w:sz="0" w:space="0" w:color="auto"/>
                <w:right w:val="none" w:sz="0" w:space="0" w:color="auto"/>
              </w:divBdr>
            </w:div>
            <w:div w:id="512185450">
              <w:marLeft w:val="0"/>
              <w:marRight w:val="0"/>
              <w:marTop w:val="0"/>
              <w:marBottom w:val="0"/>
              <w:divBdr>
                <w:top w:val="none" w:sz="0" w:space="0" w:color="auto"/>
                <w:left w:val="none" w:sz="0" w:space="0" w:color="auto"/>
                <w:bottom w:val="none" w:sz="0" w:space="0" w:color="auto"/>
                <w:right w:val="none" w:sz="0" w:space="0" w:color="auto"/>
              </w:divBdr>
            </w:div>
            <w:div w:id="1664816543">
              <w:marLeft w:val="0"/>
              <w:marRight w:val="0"/>
              <w:marTop w:val="0"/>
              <w:marBottom w:val="0"/>
              <w:divBdr>
                <w:top w:val="none" w:sz="0" w:space="0" w:color="auto"/>
                <w:left w:val="none" w:sz="0" w:space="0" w:color="auto"/>
                <w:bottom w:val="none" w:sz="0" w:space="0" w:color="auto"/>
                <w:right w:val="none" w:sz="0" w:space="0" w:color="auto"/>
              </w:divBdr>
            </w:div>
            <w:div w:id="1440249935">
              <w:marLeft w:val="0"/>
              <w:marRight w:val="0"/>
              <w:marTop w:val="0"/>
              <w:marBottom w:val="0"/>
              <w:divBdr>
                <w:top w:val="none" w:sz="0" w:space="0" w:color="auto"/>
                <w:left w:val="none" w:sz="0" w:space="0" w:color="auto"/>
                <w:bottom w:val="none" w:sz="0" w:space="0" w:color="auto"/>
                <w:right w:val="none" w:sz="0" w:space="0" w:color="auto"/>
              </w:divBdr>
            </w:div>
            <w:div w:id="38750959">
              <w:marLeft w:val="0"/>
              <w:marRight w:val="0"/>
              <w:marTop w:val="0"/>
              <w:marBottom w:val="0"/>
              <w:divBdr>
                <w:top w:val="none" w:sz="0" w:space="0" w:color="auto"/>
                <w:left w:val="none" w:sz="0" w:space="0" w:color="auto"/>
                <w:bottom w:val="none" w:sz="0" w:space="0" w:color="auto"/>
                <w:right w:val="none" w:sz="0" w:space="0" w:color="auto"/>
              </w:divBdr>
            </w:div>
            <w:div w:id="986933335">
              <w:marLeft w:val="0"/>
              <w:marRight w:val="0"/>
              <w:marTop w:val="0"/>
              <w:marBottom w:val="0"/>
              <w:divBdr>
                <w:top w:val="none" w:sz="0" w:space="0" w:color="auto"/>
                <w:left w:val="none" w:sz="0" w:space="0" w:color="auto"/>
                <w:bottom w:val="none" w:sz="0" w:space="0" w:color="auto"/>
                <w:right w:val="none" w:sz="0" w:space="0" w:color="auto"/>
              </w:divBdr>
            </w:div>
            <w:div w:id="1658192128">
              <w:marLeft w:val="0"/>
              <w:marRight w:val="0"/>
              <w:marTop w:val="0"/>
              <w:marBottom w:val="0"/>
              <w:divBdr>
                <w:top w:val="none" w:sz="0" w:space="0" w:color="auto"/>
                <w:left w:val="none" w:sz="0" w:space="0" w:color="auto"/>
                <w:bottom w:val="none" w:sz="0" w:space="0" w:color="auto"/>
                <w:right w:val="none" w:sz="0" w:space="0" w:color="auto"/>
              </w:divBdr>
            </w:div>
            <w:div w:id="198861178">
              <w:marLeft w:val="0"/>
              <w:marRight w:val="0"/>
              <w:marTop w:val="0"/>
              <w:marBottom w:val="0"/>
              <w:divBdr>
                <w:top w:val="none" w:sz="0" w:space="0" w:color="auto"/>
                <w:left w:val="none" w:sz="0" w:space="0" w:color="auto"/>
                <w:bottom w:val="none" w:sz="0" w:space="0" w:color="auto"/>
                <w:right w:val="none" w:sz="0" w:space="0" w:color="auto"/>
              </w:divBdr>
            </w:div>
            <w:div w:id="1714692108">
              <w:marLeft w:val="0"/>
              <w:marRight w:val="0"/>
              <w:marTop w:val="0"/>
              <w:marBottom w:val="0"/>
              <w:divBdr>
                <w:top w:val="none" w:sz="0" w:space="0" w:color="auto"/>
                <w:left w:val="none" w:sz="0" w:space="0" w:color="auto"/>
                <w:bottom w:val="none" w:sz="0" w:space="0" w:color="auto"/>
                <w:right w:val="none" w:sz="0" w:space="0" w:color="auto"/>
              </w:divBdr>
            </w:div>
            <w:div w:id="1529953394">
              <w:marLeft w:val="0"/>
              <w:marRight w:val="0"/>
              <w:marTop w:val="0"/>
              <w:marBottom w:val="0"/>
              <w:divBdr>
                <w:top w:val="none" w:sz="0" w:space="0" w:color="auto"/>
                <w:left w:val="none" w:sz="0" w:space="0" w:color="auto"/>
                <w:bottom w:val="none" w:sz="0" w:space="0" w:color="auto"/>
                <w:right w:val="none" w:sz="0" w:space="0" w:color="auto"/>
              </w:divBdr>
            </w:div>
            <w:div w:id="1941798005">
              <w:marLeft w:val="0"/>
              <w:marRight w:val="0"/>
              <w:marTop w:val="0"/>
              <w:marBottom w:val="0"/>
              <w:divBdr>
                <w:top w:val="none" w:sz="0" w:space="0" w:color="auto"/>
                <w:left w:val="none" w:sz="0" w:space="0" w:color="auto"/>
                <w:bottom w:val="none" w:sz="0" w:space="0" w:color="auto"/>
                <w:right w:val="none" w:sz="0" w:space="0" w:color="auto"/>
              </w:divBdr>
            </w:div>
            <w:div w:id="1125006146">
              <w:marLeft w:val="0"/>
              <w:marRight w:val="0"/>
              <w:marTop w:val="0"/>
              <w:marBottom w:val="0"/>
              <w:divBdr>
                <w:top w:val="none" w:sz="0" w:space="0" w:color="auto"/>
                <w:left w:val="none" w:sz="0" w:space="0" w:color="auto"/>
                <w:bottom w:val="none" w:sz="0" w:space="0" w:color="auto"/>
                <w:right w:val="none" w:sz="0" w:space="0" w:color="auto"/>
              </w:divBdr>
            </w:div>
            <w:div w:id="2025815145">
              <w:marLeft w:val="0"/>
              <w:marRight w:val="0"/>
              <w:marTop w:val="0"/>
              <w:marBottom w:val="0"/>
              <w:divBdr>
                <w:top w:val="none" w:sz="0" w:space="0" w:color="auto"/>
                <w:left w:val="none" w:sz="0" w:space="0" w:color="auto"/>
                <w:bottom w:val="none" w:sz="0" w:space="0" w:color="auto"/>
                <w:right w:val="none" w:sz="0" w:space="0" w:color="auto"/>
              </w:divBdr>
            </w:div>
            <w:div w:id="2126389063">
              <w:marLeft w:val="0"/>
              <w:marRight w:val="0"/>
              <w:marTop w:val="0"/>
              <w:marBottom w:val="0"/>
              <w:divBdr>
                <w:top w:val="none" w:sz="0" w:space="0" w:color="auto"/>
                <w:left w:val="none" w:sz="0" w:space="0" w:color="auto"/>
                <w:bottom w:val="none" w:sz="0" w:space="0" w:color="auto"/>
                <w:right w:val="none" w:sz="0" w:space="0" w:color="auto"/>
              </w:divBdr>
            </w:div>
            <w:div w:id="1876380216">
              <w:marLeft w:val="0"/>
              <w:marRight w:val="0"/>
              <w:marTop w:val="0"/>
              <w:marBottom w:val="0"/>
              <w:divBdr>
                <w:top w:val="none" w:sz="0" w:space="0" w:color="auto"/>
                <w:left w:val="none" w:sz="0" w:space="0" w:color="auto"/>
                <w:bottom w:val="none" w:sz="0" w:space="0" w:color="auto"/>
                <w:right w:val="none" w:sz="0" w:space="0" w:color="auto"/>
              </w:divBdr>
            </w:div>
            <w:div w:id="1539271210">
              <w:marLeft w:val="0"/>
              <w:marRight w:val="0"/>
              <w:marTop w:val="0"/>
              <w:marBottom w:val="0"/>
              <w:divBdr>
                <w:top w:val="none" w:sz="0" w:space="0" w:color="auto"/>
                <w:left w:val="none" w:sz="0" w:space="0" w:color="auto"/>
                <w:bottom w:val="none" w:sz="0" w:space="0" w:color="auto"/>
                <w:right w:val="none" w:sz="0" w:space="0" w:color="auto"/>
              </w:divBdr>
            </w:div>
          </w:divsChild>
        </w:div>
        <w:div w:id="15665318">
          <w:marLeft w:val="0"/>
          <w:marRight w:val="0"/>
          <w:marTop w:val="0"/>
          <w:marBottom w:val="0"/>
          <w:divBdr>
            <w:top w:val="none" w:sz="0" w:space="0" w:color="auto"/>
            <w:left w:val="none" w:sz="0" w:space="0" w:color="auto"/>
            <w:bottom w:val="none" w:sz="0" w:space="0" w:color="auto"/>
            <w:right w:val="none" w:sz="0" w:space="0" w:color="auto"/>
          </w:divBdr>
        </w:div>
        <w:div w:id="1398478352">
          <w:marLeft w:val="0"/>
          <w:marRight w:val="0"/>
          <w:marTop w:val="0"/>
          <w:marBottom w:val="0"/>
          <w:divBdr>
            <w:top w:val="none" w:sz="0" w:space="0" w:color="auto"/>
            <w:left w:val="none" w:sz="0" w:space="0" w:color="auto"/>
            <w:bottom w:val="none" w:sz="0" w:space="0" w:color="auto"/>
            <w:right w:val="none" w:sz="0" w:space="0" w:color="auto"/>
          </w:divBdr>
        </w:div>
      </w:divsChild>
    </w:div>
    <w:div w:id="2055346391">
      <w:bodyDiv w:val="1"/>
      <w:marLeft w:val="0"/>
      <w:marRight w:val="0"/>
      <w:marTop w:val="0"/>
      <w:marBottom w:val="0"/>
      <w:divBdr>
        <w:top w:val="none" w:sz="0" w:space="0" w:color="auto"/>
        <w:left w:val="none" w:sz="0" w:space="0" w:color="auto"/>
        <w:bottom w:val="none" w:sz="0" w:space="0" w:color="auto"/>
        <w:right w:val="none" w:sz="0" w:space="0" w:color="auto"/>
      </w:divBdr>
    </w:div>
    <w:div w:id="2056931334">
      <w:bodyDiv w:val="1"/>
      <w:marLeft w:val="0"/>
      <w:marRight w:val="0"/>
      <w:marTop w:val="0"/>
      <w:marBottom w:val="0"/>
      <w:divBdr>
        <w:top w:val="none" w:sz="0" w:space="0" w:color="auto"/>
        <w:left w:val="none" w:sz="0" w:space="0" w:color="auto"/>
        <w:bottom w:val="none" w:sz="0" w:space="0" w:color="auto"/>
        <w:right w:val="none" w:sz="0" w:space="0" w:color="auto"/>
      </w:divBdr>
      <w:divsChild>
        <w:div w:id="49767919">
          <w:marLeft w:val="0"/>
          <w:marRight w:val="0"/>
          <w:marTop w:val="0"/>
          <w:marBottom w:val="0"/>
          <w:divBdr>
            <w:top w:val="none" w:sz="0" w:space="0" w:color="auto"/>
            <w:left w:val="none" w:sz="0" w:space="0" w:color="auto"/>
            <w:bottom w:val="none" w:sz="0" w:space="0" w:color="auto"/>
            <w:right w:val="none" w:sz="0" w:space="0" w:color="auto"/>
          </w:divBdr>
        </w:div>
        <w:div w:id="80030422">
          <w:marLeft w:val="0"/>
          <w:marRight w:val="0"/>
          <w:marTop w:val="0"/>
          <w:marBottom w:val="0"/>
          <w:divBdr>
            <w:top w:val="none" w:sz="0" w:space="0" w:color="auto"/>
            <w:left w:val="none" w:sz="0" w:space="0" w:color="auto"/>
            <w:bottom w:val="none" w:sz="0" w:space="0" w:color="auto"/>
            <w:right w:val="none" w:sz="0" w:space="0" w:color="auto"/>
          </w:divBdr>
        </w:div>
        <w:div w:id="356542423">
          <w:marLeft w:val="0"/>
          <w:marRight w:val="0"/>
          <w:marTop w:val="0"/>
          <w:marBottom w:val="0"/>
          <w:divBdr>
            <w:top w:val="none" w:sz="0" w:space="0" w:color="auto"/>
            <w:left w:val="none" w:sz="0" w:space="0" w:color="auto"/>
            <w:bottom w:val="none" w:sz="0" w:space="0" w:color="auto"/>
            <w:right w:val="none" w:sz="0" w:space="0" w:color="auto"/>
          </w:divBdr>
        </w:div>
        <w:div w:id="397291040">
          <w:marLeft w:val="0"/>
          <w:marRight w:val="0"/>
          <w:marTop w:val="0"/>
          <w:marBottom w:val="0"/>
          <w:divBdr>
            <w:top w:val="none" w:sz="0" w:space="0" w:color="auto"/>
            <w:left w:val="none" w:sz="0" w:space="0" w:color="auto"/>
            <w:bottom w:val="none" w:sz="0" w:space="0" w:color="auto"/>
            <w:right w:val="none" w:sz="0" w:space="0" w:color="auto"/>
          </w:divBdr>
        </w:div>
        <w:div w:id="571280476">
          <w:marLeft w:val="0"/>
          <w:marRight w:val="0"/>
          <w:marTop w:val="0"/>
          <w:marBottom w:val="0"/>
          <w:divBdr>
            <w:top w:val="none" w:sz="0" w:space="0" w:color="auto"/>
            <w:left w:val="none" w:sz="0" w:space="0" w:color="auto"/>
            <w:bottom w:val="none" w:sz="0" w:space="0" w:color="auto"/>
            <w:right w:val="none" w:sz="0" w:space="0" w:color="auto"/>
          </w:divBdr>
        </w:div>
        <w:div w:id="608200534">
          <w:marLeft w:val="0"/>
          <w:marRight w:val="0"/>
          <w:marTop w:val="0"/>
          <w:marBottom w:val="0"/>
          <w:divBdr>
            <w:top w:val="none" w:sz="0" w:space="0" w:color="auto"/>
            <w:left w:val="none" w:sz="0" w:space="0" w:color="auto"/>
            <w:bottom w:val="none" w:sz="0" w:space="0" w:color="auto"/>
            <w:right w:val="none" w:sz="0" w:space="0" w:color="auto"/>
          </w:divBdr>
        </w:div>
        <w:div w:id="637220591">
          <w:marLeft w:val="0"/>
          <w:marRight w:val="0"/>
          <w:marTop w:val="0"/>
          <w:marBottom w:val="0"/>
          <w:divBdr>
            <w:top w:val="none" w:sz="0" w:space="0" w:color="auto"/>
            <w:left w:val="none" w:sz="0" w:space="0" w:color="auto"/>
            <w:bottom w:val="none" w:sz="0" w:space="0" w:color="auto"/>
            <w:right w:val="none" w:sz="0" w:space="0" w:color="auto"/>
          </w:divBdr>
        </w:div>
        <w:div w:id="913006434">
          <w:marLeft w:val="0"/>
          <w:marRight w:val="0"/>
          <w:marTop w:val="0"/>
          <w:marBottom w:val="0"/>
          <w:divBdr>
            <w:top w:val="none" w:sz="0" w:space="0" w:color="auto"/>
            <w:left w:val="none" w:sz="0" w:space="0" w:color="auto"/>
            <w:bottom w:val="none" w:sz="0" w:space="0" w:color="auto"/>
            <w:right w:val="none" w:sz="0" w:space="0" w:color="auto"/>
          </w:divBdr>
        </w:div>
        <w:div w:id="1503161052">
          <w:marLeft w:val="0"/>
          <w:marRight w:val="0"/>
          <w:marTop w:val="0"/>
          <w:marBottom w:val="0"/>
          <w:divBdr>
            <w:top w:val="none" w:sz="0" w:space="0" w:color="auto"/>
            <w:left w:val="none" w:sz="0" w:space="0" w:color="auto"/>
            <w:bottom w:val="none" w:sz="0" w:space="0" w:color="auto"/>
            <w:right w:val="none" w:sz="0" w:space="0" w:color="auto"/>
          </w:divBdr>
        </w:div>
        <w:div w:id="1808816788">
          <w:marLeft w:val="0"/>
          <w:marRight w:val="0"/>
          <w:marTop w:val="0"/>
          <w:marBottom w:val="0"/>
          <w:divBdr>
            <w:top w:val="none" w:sz="0" w:space="0" w:color="auto"/>
            <w:left w:val="none" w:sz="0" w:space="0" w:color="auto"/>
            <w:bottom w:val="none" w:sz="0" w:space="0" w:color="auto"/>
            <w:right w:val="none" w:sz="0" w:space="0" w:color="auto"/>
          </w:divBdr>
        </w:div>
        <w:div w:id="1972049611">
          <w:marLeft w:val="0"/>
          <w:marRight w:val="0"/>
          <w:marTop w:val="0"/>
          <w:marBottom w:val="0"/>
          <w:divBdr>
            <w:top w:val="none" w:sz="0" w:space="0" w:color="auto"/>
            <w:left w:val="none" w:sz="0" w:space="0" w:color="auto"/>
            <w:bottom w:val="none" w:sz="0" w:space="0" w:color="auto"/>
            <w:right w:val="none" w:sz="0" w:space="0" w:color="auto"/>
          </w:divBdr>
        </w:div>
        <w:div w:id="2000421605">
          <w:marLeft w:val="0"/>
          <w:marRight w:val="0"/>
          <w:marTop w:val="0"/>
          <w:marBottom w:val="0"/>
          <w:divBdr>
            <w:top w:val="none" w:sz="0" w:space="0" w:color="auto"/>
            <w:left w:val="none" w:sz="0" w:space="0" w:color="auto"/>
            <w:bottom w:val="none" w:sz="0" w:space="0" w:color="auto"/>
            <w:right w:val="none" w:sz="0" w:space="0" w:color="auto"/>
          </w:divBdr>
        </w:div>
        <w:div w:id="2021010498">
          <w:marLeft w:val="0"/>
          <w:marRight w:val="0"/>
          <w:marTop w:val="0"/>
          <w:marBottom w:val="0"/>
          <w:divBdr>
            <w:top w:val="none" w:sz="0" w:space="0" w:color="auto"/>
            <w:left w:val="none" w:sz="0" w:space="0" w:color="auto"/>
            <w:bottom w:val="none" w:sz="0" w:space="0" w:color="auto"/>
            <w:right w:val="none" w:sz="0" w:space="0" w:color="auto"/>
          </w:divBdr>
        </w:div>
      </w:divsChild>
    </w:div>
    <w:div w:id="2073383944">
      <w:bodyDiv w:val="1"/>
      <w:marLeft w:val="0"/>
      <w:marRight w:val="0"/>
      <w:marTop w:val="0"/>
      <w:marBottom w:val="0"/>
      <w:divBdr>
        <w:top w:val="none" w:sz="0" w:space="0" w:color="auto"/>
        <w:left w:val="none" w:sz="0" w:space="0" w:color="auto"/>
        <w:bottom w:val="none" w:sz="0" w:space="0" w:color="auto"/>
        <w:right w:val="none" w:sz="0" w:space="0" w:color="auto"/>
      </w:divBdr>
    </w:div>
    <w:div w:id="2081100359">
      <w:bodyDiv w:val="1"/>
      <w:marLeft w:val="0"/>
      <w:marRight w:val="0"/>
      <w:marTop w:val="0"/>
      <w:marBottom w:val="0"/>
      <w:divBdr>
        <w:top w:val="none" w:sz="0" w:space="0" w:color="auto"/>
        <w:left w:val="none" w:sz="0" w:space="0" w:color="auto"/>
        <w:bottom w:val="none" w:sz="0" w:space="0" w:color="auto"/>
        <w:right w:val="none" w:sz="0" w:space="0" w:color="auto"/>
      </w:divBdr>
      <w:divsChild>
        <w:div w:id="66198829">
          <w:marLeft w:val="0"/>
          <w:marRight w:val="0"/>
          <w:marTop w:val="0"/>
          <w:marBottom w:val="0"/>
          <w:divBdr>
            <w:top w:val="none" w:sz="0" w:space="0" w:color="auto"/>
            <w:left w:val="none" w:sz="0" w:space="0" w:color="auto"/>
            <w:bottom w:val="none" w:sz="0" w:space="0" w:color="auto"/>
            <w:right w:val="none" w:sz="0" w:space="0" w:color="auto"/>
          </w:divBdr>
          <w:divsChild>
            <w:div w:id="1717922884">
              <w:marLeft w:val="0"/>
              <w:marRight w:val="0"/>
              <w:marTop w:val="0"/>
              <w:marBottom w:val="0"/>
              <w:divBdr>
                <w:top w:val="none" w:sz="0" w:space="0" w:color="auto"/>
                <w:left w:val="none" w:sz="0" w:space="0" w:color="auto"/>
                <w:bottom w:val="none" w:sz="0" w:space="0" w:color="auto"/>
                <w:right w:val="none" w:sz="0" w:space="0" w:color="auto"/>
              </w:divBdr>
            </w:div>
          </w:divsChild>
        </w:div>
        <w:div w:id="271597802">
          <w:marLeft w:val="0"/>
          <w:marRight w:val="0"/>
          <w:marTop w:val="0"/>
          <w:marBottom w:val="0"/>
          <w:divBdr>
            <w:top w:val="none" w:sz="0" w:space="0" w:color="auto"/>
            <w:left w:val="none" w:sz="0" w:space="0" w:color="auto"/>
            <w:bottom w:val="none" w:sz="0" w:space="0" w:color="auto"/>
            <w:right w:val="none" w:sz="0" w:space="0" w:color="auto"/>
          </w:divBdr>
          <w:divsChild>
            <w:div w:id="1022633607">
              <w:marLeft w:val="0"/>
              <w:marRight w:val="0"/>
              <w:marTop w:val="0"/>
              <w:marBottom w:val="0"/>
              <w:divBdr>
                <w:top w:val="none" w:sz="0" w:space="0" w:color="auto"/>
                <w:left w:val="none" w:sz="0" w:space="0" w:color="auto"/>
                <w:bottom w:val="none" w:sz="0" w:space="0" w:color="auto"/>
                <w:right w:val="none" w:sz="0" w:space="0" w:color="auto"/>
              </w:divBdr>
            </w:div>
          </w:divsChild>
        </w:div>
        <w:div w:id="392627930">
          <w:marLeft w:val="0"/>
          <w:marRight w:val="0"/>
          <w:marTop w:val="0"/>
          <w:marBottom w:val="0"/>
          <w:divBdr>
            <w:top w:val="none" w:sz="0" w:space="0" w:color="auto"/>
            <w:left w:val="none" w:sz="0" w:space="0" w:color="auto"/>
            <w:bottom w:val="none" w:sz="0" w:space="0" w:color="auto"/>
            <w:right w:val="none" w:sz="0" w:space="0" w:color="auto"/>
          </w:divBdr>
          <w:divsChild>
            <w:div w:id="303892131">
              <w:marLeft w:val="0"/>
              <w:marRight w:val="0"/>
              <w:marTop w:val="0"/>
              <w:marBottom w:val="0"/>
              <w:divBdr>
                <w:top w:val="none" w:sz="0" w:space="0" w:color="auto"/>
                <w:left w:val="none" w:sz="0" w:space="0" w:color="auto"/>
                <w:bottom w:val="none" w:sz="0" w:space="0" w:color="auto"/>
                <w:right w:val="none" w:sz="0" w:space="0" w:color="auto"/>
              </w:divBdr>
            </w:div>
          </w:divsChild>
        </w:div>
        <w:div w:id="665593169">
          <w:marLeft w:val="0"/>
          <w:marRight w:val="0"/>
          <w:marTop w:val="0"/>
          <w:marBottom w:val="0"/>
          <w:divBdr>
            <w:top w:val="none" w:sz="0" w:space="0" w:color="auto"/>
            <w:left w:val="none" w:sz="0" w:space="0" w:color="auto"/>
            <w:bottom w:val="none" w:sz="0" w:space="0" w:color="auto"/>
            <w:right w:val="none" w:sz="0" w:space="0" w:color="auto"/>
          </w:divBdr>
          <w:divsChild>
            <w:div w:id="1746032931">
              <w:marLeft w:val="0"/>
              <w:marRight w:val="0"/>
              <w:marTop w:val="0"/>
              <w:marBottom w:val="0"/>
              <w:divBdr>
                <w:top w:val="none" w:sz="0" w:space="0" w:color="auto"/>
                <w:left w:val="none" w:sz="0" w:space="0" w:color="auto"/>
                <w:bottom w:val="none" w:sz="0" w:space="0" w:color="auto"/>
                <w:right w:val="none" w:sz="0" w:space="0" w:color="auto"/>
              </w:divBdr>
            </w:div>
          </w:divsChild>
        </w:div>
        <w:div w:id="773089394">
          <w:marLeft w:val="0"/>
          <w:marRight w:val="0"/>
          <w:marTop w:val="0"/>
          <w:marBottom w:val="0"/>
          <w:divBdr>
            <w:top w:val="none" w:sz="0" w:space="0" w:color="auto"/>
            <w:left w:val="none" w:sz="0" w:space="0" w:color="auto"/>
            <w:bottom w:val="none" w:sz="0" w:space="0" w:color="auto"/>
            <w:right w:val="none" w:sz="0" w:space="0" w:color="auto"/>
          </w:divBdr>
          <w:divsChild>
            <w:div w:id="782573158">
              <w:marLeft w:val="0"/>
              <w:marRight w:val="0"/>
              <w:marTop w:val="0"/>
              <w:marBottom w:val="0"/>
              <w:divBdr>
                <w:top w:val="none" w:sz="0" w:space="0" w:color="auto"/>
                <w:left w:val="none" w:sz="0" w:space="0" w:color="auto"/>
                <w:bottom w:val="none" w:sz="0" w:space="0" w:color="auto"/>
                <w:right w:val="none" w:sz="0" w:space="0" w:color="auto"/>
              </w:divBdr>
            </w:div>
          </w:divsChild>
        </w:div>
        <w:div w:id="949630624">
          <w:marLeft w:val="0"/>
          <w:marRight w:val="0"/>
          <w:marTop w:val="0"/>
          <w:marBottom w:val="0"/>
          <w:divBdr>
            <w:top w:val="none" w:sz="0" w:space="0" w:color="auto"/>
            <w:left w:val="none" w:sz="0" w:space="0" w:color="auto"/>
            <w:bottom w:val="none" w:sz="0" w:space="0" w:color="auto"/>
            <w:right w:val="none" w:sz="0" w:space="0" w:color="auto"/>
          </w:divBdr>
          <w:divsChild>
            <w:div w:id="574782037">
              <w:marLeft w:val="0"/>
              <w:marRight w:val="0"/>
              <w:marTop w:val="0"/>
              <w:marBottom w:val="0"/>
              <w:divBdr>
                <w:top w:val="none" w:sz="0" w:space="0" w:color="auto"/>
                <w:left w:val="none" w:sz="0" w:space="0" w:color="auto"/>
                <w:bottom w:val="none" w:sz="0" w:space="0" w:color="auto"/>
                <w:right w:val="none" w:sz="0" w:space="0" w:color="auto"/>
              </w:divBdr>
            </w:div>
          </w:divsChild>
        </w:div>
        <w:div w:id="1073816581">
          <w:marLeft w:val="0"/>
          <w:marRight w:val="0"/>
          <w:marTop w:val="0"/>
          <w:marBottom w:val="0"/>
          <w:divBdr>
            <w:top w:val="none" w:sz="0" w:space="0" w:color="auto"/>
            <w:left w:val="none" w:sz="0" w:space="0" w:color="auto"/>
            <w:bottom w:val="none" w:sz="0" w:space="0" w:color="auto"/>
            <w:right w:val="none" w:sz="0" w:space="0" w:color="auto"/>
          </w:divBdr>
          <w:divsChild>
            <w:div w:id="441806954">
              <w:marLeft w:val="0"/>
              <w:marRight w:val="0"/>
              <w:marTop w:val="0"/>
              <w:marBottom w:val="0"/>
              <w:divBdr>
                <w:top w:val="none" w:sz="0" w:space="0" w:color="auto"/>
                <w:left w:val="none" w:sz="0" w:space="0" w:color="auto"/>
                <w:bottom w:val="none" w:sz="0" w:space="0" w:color="auto"/>
                <w:right w:val="none" w:sz="0" w:space="0" w:color="auto"/>
              </w:divBdr>
            </w:div>
          </w:divsChild>
        </w:div>
        <w:div w:id="1204176753">
          <w:marLeft w:val="0"/>
          <w:marRight w:val="0"/>
          <w:marTop w:val="0"/>
          <w:marBottom w:val="0"/>
          <w:divBdr>
            <w:top w:val="none" w:sz="0" w:space="0" w:color="auto"/>
            <w:left w:val="none" w:sz="0" w:space="0" w:color="auto"/>
            <w:bottom w:val="none" w:sz="0" w:space="0" w:color="auto"/>
            <w:right w:val="none" w:sz="0" w:space="0" w:color="auto"/>
          </w:divBdr>
          <w:divsChild>
            <w:div w:id="731347445">
              <w:marLeft w:val="0"/>
              <w:marRight w:val="0"/>
              <w:marTop w:val="0"/>
              <w:marBottom w:val="0"/>
              <w:divBdr>
                <w:top w:val="none" w:sz="0" w:space="0" w:color="auto"/>
                <w:left w:val="none" w:sz="0" w:space="0" w:color="auto"/>
                <w:bottom w:val="none" w:sz="0" w:space="0" w:color="auto"/>
                <w:right w:val="none" w:sz="0" w:space="0" w:color="auto"/>
              </w:divBdr>
            </w:div>
          </w:divsChild>
        </w:div>
        <w:div w:id="1834222605">
          <w:marLeft w:val="0"/>
          <w:marRight w:val="0"/>
          <w:marTop w:val="0"/>
          <w:marBottom w:val="0"/>
          <w:divBdr>
            <w:top w:val="none" w:sz="0" w:space="0" w:color="auto"/>
            <w:left w:val="none" w:sz="0" w:space="0" w:color="auto"/>
            <w:bottom w:val="none" w:sz="0" w:space="0" w:color="auto"/>
            <w:right w:val="none" w:sz="0" w:space="0" w:color="auto"/>
          </w:divBdr>
          <w:divsChild>
            <w:div w:id="1638871743">
              <w:marLeft w:val="0"/>
              <w:marRight w:val="0"/>
              <w:marTop w:val="0"/>
              <w:marBottom w:val="0"/>
              <w:divBdr>
                <w:top w:val="none" w:sz="0" w:space="0" w:color="auto"/>
                <w:left w:val="none" w:sz="0" w:space="0" w:color="auto"/>
                <w:bottom w:val="none" w:sz="0" w:space="0" w:color="auto"/>
                <w:right w:val="none" w:sz="0" w:space="0" w:color="auto"/>
              </w:divBdr>
            </w:div>
          </w:divsChild>
        </w:div>
        <w:div w:id="1879509751">
          <w:marLeft w:val="0"/>
          <w:marRight w:val="0"/>
          <w:marTop w:val="0"/>
          <w:marBottom w:val="0"/>
          <w:divBdr>
            <w:top w:val="none" w:sz="0" w:space="0" w:color="auto"/>
            <w:left w:val="none" w:sz="0" w:space="0" w:color="auto"/>
            <w:bottom w:val="none" w:sz="0" w:space="0" w:color="auto"/>
            <w:right w:val="none" w:sz="0" w:space="0" w:color="auto"/>
          </w:divBdr>
          <w:divsChild>
            <w:div w:id="1427384095">
              <w:marLeft w:val="0"/>
              <w:marRight w:val="0"/>
              <w:marTop w:val="0"/>
              <w:marBottom w:val="0"/>
              <w:divBdr>
                <w:top w:val="none" w:sz="0" w:space="0" w:color="auto"/>
                <w:left w:val="none" w:sz="0" w:space="0" w:color="auto"/>
                <w:bottom w:val="none" w:sz="0" w:space="0" w:color="auto"/>
                <w:right w:val="none" w:sz="0" w:space="0" w:color="auto"/>
              </w:divBdr>
            </w:div>
          </w:divsChild>
        </w:div>
        <w:div w:id="2107848381">
          <w:marLeft w:val="0"/>
          <w:marRight w:val="0"/>
          <w:marTop w:val="0"/>
          <w:marBottom w:val="0"/>
          <w:divBdr>
            <w:top w:val="none" w:sz="0" w:space="0" w:color="auto"/>
            <w:left w:val="none" w:sz="0" w:space="0" w:color="auto"/>
            <w:bottom w:val="none" w:sz="0" w:space="0" w:color="auto"/>
            <w:right w:val="none" w:sz="0" w:space="0" w:color="auto"/>
          </w:divBdr>
          <w:divsChild>
            <w:div w:id="1484590478">
              <w:marLeft w:val="0"/>
              <w:marRight w:val="0"/>
              <w:marTop w:val="0"/>
              <w:marBottom w:val="0"/>
              <w:divBdr>
                <w:top w:val="none" w:sz="0" w:space="0" w:color="auto"/>
                <w:left w:val="none" w:sz="0" w:space="0" w:color="auto"/>
                <w:bottom w:val="none" w:sz="0" w:space="0" w:color="auto"/>
                <w:right w:val="none" w:sz="0" w:space="0" w:color="auto"/>
              </w:divBdr>
            </w:div>
          </w:divsChild>
        </w:div>
        <w:div w:id="2141534351">
          <w:marLeft w:val="0"/>
          <w:marRight w:val="0"/>
          <w:marTop w:val="0"/>
          <w:marBottom w:val="0"/>
          <w:divBdr>
            <w:top w:val="none" w:sz="0" w:space="0" w:color="auto"/>
            <w:left w:val="none" w:sz="0" w:space="0" w:color="auto"/>
            <w:bottom w:val="none" w:sz="0" w:space="0" w:color="auto"/>
            <w:right w:val="none" w:sz="0" w:space="0" w:color="auto"/>
          </w:divBdr>
          <w:divsChild>
            <w:div w:id="183757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457512">
      <w:bodyDiv w:val="1"/>
      <w:marLeft w:val="0"/>
      <w:marRight w:val="0"/>
      <w:marTop w:val="0"/>
      <w:marBottom w:val="0"/>
      <w:divBdr>
        <w:top w:val="none" w:sz="0" w:space="0" w:color="auto"/>
        <w:left w:val="none" w:sz="0" w:space="0" w:color="auto"/>
        <w:bottom w:val="none" w:sz="0" w:space="0" w:color="auto"/>
        <w:right w:val="none" w:sz="0" w:space="0" w:color="auto"/>
      </w:divBdr>
      <w:divsChild>
        <w:div w:id="12265128">
          <w:marLeft w:val="0"/>
          <w:marRight w:val="0"/>
          <w:marTop w:val="0"/>
          <w:marBottom w:val="0"/>
          <w:divBdr>
            <w:top w:val="none" w:sz="0" w:space="0" w:color="auto"/>
            <w:left w:val="none" w:sz="0" w:space="0" w:color="auto"/>
            <w:bottom w:val="none" w:sz="0" w:space="0" w:color="auto"/>
            <w:right w:val="none" w:sz="0" w:space="0" w:color="auto"/>
          </w:divBdr>
        </w:div>
        <w:div w:id="33963778">
          <w:marLeft w:val="0"/>
          <w:marRight w:val="0"/>
          <w:marTop w:val="0"/>
          <w:marBottom w:val="0"/>
          <w:divBdr>
            <w:top w:val="none" w:sz="0" w:space="0" w:color="auto"/>
            <w:left w:val="none" w:sz="0" w:space="0" w:color="auto"/>
            <w:bottom w:val="none" w:sz="0" w:space="0" w:color="auto"/>
            <w:right w:val="none" w:sz="0" w:space="0" w:color="auto"/>
          </w:divBdr>
        </w:div>
        <w:div w:id="217789756">
          <w:marLeft w:val="0"/>
          <w:marRight w:val="0"/>
          <w:marTop w:val="0"/>
          <w:marBottom w:val="0"/>
          <w:divBdr>
            <w:top w:val="none" w:sz="0" w:space="0" w:color="auto"/>
            <w:left w:val="none" w:sz="0" w:space="0" w:color="auto"/>
            <w:bottom w:val="none" w:sz="0" w:space="0" w:color="auto"/>
            <w:right w:val="none" w:sz="0" w:space="0" w:color="auto"/>
          </w:divBdr>
        </w:div>
        <w:div w:id="279651316">
          <w:marLeft w:val="0"/>
          <w:marRight w:val="0"/>
          <w:marTop w:val="0"/>
          <w:marBottom w:val="0"/>
          <w:divBdr>
            <w:top w:val="none" w:sz="0" w:space="0" w:color="auto"/>
            <w:left w:val="none" w:sz="0" w:space="0" w:color="auto"/>
            <w:bottom w:val="none" w:sz="0" w:space="0" w:color="auto"/>
            <w:right w:val="none" w:sz="0" w:space="0" w:color="auto"/>
          </w:divBdr>
        </w:div>
        <w:div w:id="309949018">
          <w:marLeft w:val="0"/>
          <w:marRight w:val="0"/>
          <w:marTop w:val="0"/>
          <w:marBottom w:val="0"/>
          <w:divBdr>
            <w:top w:val="none" w:sz="0" w:space="0" w:color="auto"/>
            <w:left w:val="none" w:sz="0" w:space="0" w:color="auto"/>
            <w:bottom w:val="none" w:sz="0" w:space="0" w:color="auto"/>
            <w:right w:val="none" w:sz="0" w:space="0" w:color="auto"/>
          </w:divBdr>
        </w:div>
        <w:div w:id="329405922">
          <w:marLeft w:val="0"/>
          <w:marRight w:val="0"/>
          <w:marTop w:val="0"/>
          <w:marBottom w:val="0"/>
          <w:divBdr>
            <w:top w:val="none" w:sz="0" w:space="0" w:color="auto"/>
            <w:left w:val="none" w:sz="0" w:space="0" w:color="auto"/>
            <w:bottom w:val="none" w:sz="0" w:space="0" w:color="auto"/>
            <w:right w:val="none" w:sz="0" w:space="0" w:color="auto"/>
          </w:divBdr>
        </w:div>
        <w:div w:id="377358274">
          <w:marLeft w:val="0"/>
          <w:marRight w:val="0"/>
          <w:marTop w:val="0"/>
          <w:marBottom w:val="0"/>
          <w:divBdr>
            <w:top w:val="none" w:sz="0" w:space="0" w:color="auto"/>
            <w:left w:val="none" w:sz="0" w:space="0" w:color="auto"/>
            <w:bottom w:val="none" w:sz="0" w:space="0" w:color="auto"/>
            <w:right w:val="none" w:sz="0" w:space="0" w:color="auto"/>
          </w:divBdr>
        </w:div>
        <w:div w:id="449126956">
          <w:marLeft w:val="0"/>
          <w:marRight w:val="0"/>
          <w:marTop w:val="0"/>
          <w:marBottom w:val="0"/>
          <w:divBdr>
            <w:top w:val="none" w:sz="0" w:space="0" w:color="auto"/>
            <w:left w:val="none" w:sz="0" w:space="0" w:color="auto"/>
            <w:bottom w:val="none" w:sz="0" w:space="0" w:color="auto"/>
            <w:right w:val="none" w:sz="0" w:space="0" w:color="auto"/>
          </w:divBdr>
        </w:div>
        <w:div w:id="474756037">
          <w:marLeft w:val="0"/>
          <w:marRight w:val="0"/>
          <w:marTop w:val="0"/>
          <w:marBottom w:val="0"/>
          <w:divBdr>
            <w:top w:val="none" w:sz="0" w:space="0" w:color="auto"/>
            <w:left w:val="none" w:sz="0" w:space="0" w:color="auto"/>
            <w:bottom w:val="none" w:sz="0" w:space="0" w:color="auto"/>
            <w:right w:val="none" w:sz="0" w:space="0" w:color="auto"/>
          </w:divBdr>
        </w:div>
        <w:div w:id="687948709">
          <w:marLeft w:val="0"/>
          <w:marRight w:val="0"/>
          <w:marTop w:val="0"/>
          <w:marBottom w:val="0"/>
          <w:divBdr>
            <w:top w:val="none" w:sz="0" w:space="0" w:color="auto"/>
            <w:left w:val="none" w:sz="0" w:space="0" w:color="auto"/>
            <w:bottom w:val="none" w:sz="0" w:space="0" w:color="auto"/>
            <w:right w:val="none" w:sz="0" w:space="0" w:color="auto"/>
          </w:divBdr>
        </w:div>
        <w:div w:id="699353628">
          <w:marLeft w:val="0"/>
          <w:marRight w:val="0"/>
          <w:marTop w:val="0"/>
          <w:marBottom w:val="0"/>
          <w:divBdr>
            <w:top w:val="none" w:sz="0" w:space="0" w:color="auto"/>
            <w:left w:val="none" w:sz="0" w:space="0" w:color="auto"/>
            <w:bottom w:val="none" w:sz="0" w:space="0" w:color="auto"/>
            <w:right w:val="none" w:sz="0" w:space="0" w:color="auto"/>
          </w:divBdr>
        </w:div>
        <w:div w:id="733283856">
          <w:marLeft w:val="0"/>
          <w:marRight w:val="0"/>
          <w:marTop w:val="0"/>
          <w:marBottom w:val="0"/>
          <w:divBdr>
            <w:top w:val="none" w:sz="0" w:space="0" w:color="auto"/>
            <w:left w:val="none" w:sz="0" w:space="0" w:color="auto"/>
            <w:bottom w:val="none" w:sz="0" w:space="0" w:color="auto"/>
            <w:right w:val="none" w:sz="0" w:space="0" w:color="auto"/>
          </w:divBdr>
        </w:div>
        <w:div w:id="855265484">
          <w:marLeft w:val="0"/>
          <w:marRight w:val="0"/>
          <w:marTop w:val="0"/>
          <w:marBottom w:val="0"/>
          <w:divBdr>
            <w:top w:val="none" w:sz="0" w:space="0" w:color="auto"/>
            <w:left w:val="none" w:sz="0" w:space="0" w:color="auto"/>
            <w:bottom w:val="none" w:sz="0" w:space="0" w:color="auto"/>
            <w:right w:val="none" w:sz="0" w:space="0" w:color="auto"/>
          </w:divBdr>
        </w:div>
        <w:div w:id="920218486">
          <w:marLeft w:val="0"/>
          <w:marRight w:val="0"/>
          <w:marTop w:val="0"/>
          <w:marBottom w:val="0"/>
          <w:divBdr>
            <w:top w:val="none" w:sz="0" w:space="0" w:color="auto"/>
            <w:left w:val="none" w:sz="0" w:space="0" w:color="auto"/>
            <w:bottom w:val="none" w:sz="0" w:space="0" w:color="auto"/>
            <w:right w:val="none" w:sz="0" w:space="0" w:color="auto"/>
          </w:divBdr>
        </w:div>
        <w:div w:id="973024075">
          <w:marLeft w:val="0"/>
          <w:marRight w:val="0"/>
          <w:marTop w:val="0"/>
          <w:marBottom w:val="0"/>
          <w:divBdr>
            <w:top w:val="none" w:sz="0" w:space="0" w:color="auto"/>
            <w:left w:val="none" w:sz="0" w:space="0" w:color="auto"/>
            <w:bottom w:val="none" w:sz="0" w:space="0" w:color="auto"/>
            <w:right w:val="none" w:sz="0" w:space="0" w:color="auto"/>
          </w:divBdr>
        </w:div>
        <w:div w:id="1094278860">
          <w:marLeft w:val="0"/>
          <w:marRight w:val="0"/>
          <w:marTop w:val="0"/>
          <w:marBottom w:val="0"/>
          <w:divBdr>
            <w:top w:val="none" w:sz="0" w:space="0" w:color="auto"/>
            <w:left w:val="none" w:sz="0" w:space="0" w:color="auto"/>
            <w:bottom w:val="none" w:sz="0" w:space="0" w:color="auto"/>
            <w:right w:val="none" w:sz="0" w:space="0" w:color="auto"/>
          </w:divBdr>
        </w:div>
        <w:div w:id="1147547545">
          <w:marLeft w:val="0"/>
          <w:marRight w:val="0"/>
          <w:marTop w:val="0"/>
          <w:marBottom w:val="0"/>
          <w:divBdr>
            <w:top w:val="none" w:sz="0" w:space="0" w:color="auto"/>
            <w:left w:val="none" w:sz="0" w:space="0" w:color="auto"/>
            <w:bottom w:val="none" w:sz="0" w:space="0" w:color="auto"/>
            <w:right w:val="none" w:sz="0" w:space="0" w:color="auto"/>
          </w:divBdr>
        </w:div>
        <w:div w:id="1152871707">
          <w:marLeft w:val="0"/>
          <w:marRight w:val="0"/>
          <w:marTop w:val="0"/>
          <w:marBottom w:val="0"/>
          <w:divBdr>
            <w:top w:val="none" w:sz="0" w:space="0" w:color="auto"/>
            <w:left w:val="none" w:sz="0" w:space="0" w:color="auto"/>
            <w:bottom w:val="none" w:sz="0" w:space="0" w:color="auto"/>
            <w:right w:val="none" w:sz="0" w:space="0" w:color="auto"/>
          </w:divBdr>
        </w:div>
        <w:div w:id="1450776012">
          <w:marLeft w:val="0"/>
          <w:marRight w:val="0"/>
          <w:marTop w:val="0"/>
          <w:marBottom w:val="0"/>
          <w:divBdr>
            <w:top w:val="none" w:sz="0" w:space="0" w:color="auto"/>
            <w:left w:val="none" w:sz="0" w:space="0" w:color="auto"/>
            <w:bottom w:val="none" w:sz="0" w:space="0" w:color="auto"/>
            <w:right w:val="none" w:sz="0" w:space="0" w:color="auto"/>
          </w:divBdr>
        </w:div>
        <w:div w:id="1479301003">
          <w:marLeft w:val="0"/>
          <w:marRight w:val="0"/>
          <w:marTop w:val="0"/>
          <w:marBottom w:val="0"/>
          <w:divBdr>
            <w:top w:val="none" w:sz="0" w:space="0" w:color="auto"/>
            <w:left w:val="none" w:sz="0" w:space="0" w:color="auto"/>
            <w:bottom w:val="none" w:sz="0" w:space="0" w:color="auto"/>
            <w:right w:val="none" w:sz="0" w:space="0" w:color="auto"/>
          </w:divBdr>
        </w:div>
        <w:div w:id="1485849432">
          <w:marLeft w:val="0"/>
          <w:marRight w:val="0"/>
          <w:marTop w:val="0"/>
          <w:marBottom w:val="0"/>
          <w:divBdr>
            <w:top w:val="none" w:sz="0" w:space="0" w:color="auto"/>
            <w:left w:val="none" w:sz="0" w:space="0" w:color="auto"/>
            <w:bottom w:val="none" w:sz="0" w:space="0" w:color="auto"/>
            <w:right w:val="none" w:sz="0" w:space="0" w:color="auto"/>
          </w:divBdr>
        </w:div>
        <w:div w:id="1589073477">
          <w:marLeft w:val="0"/>
          <w:marRight w:val="0"/>
          <w:marTop w:val="0"/>
          <w:marBottom w:val="0"/>
          <w:divBdr>
            <w:top w:val="none" w:sz="0" w:space="0" w:color="auto"/>
            <w:left w:val="none" w:sz="0" w:space="0" w:color="auto"/>
            <w:bottom w:val="none" w:sz="0" w:space="0" w:color="auto"/>
            <w:right w:val="none" w:sz="0" w:space="0" w:color="auto"/>
          </w:divBdr>
        </w:div>
        <w:div w:id="1625038534">
          <w:marLeft w:val="0"/>
          <w:marRight w:val="0"/>
          <w:marTop w:val="0"/>
          <w:marBottom w:val="0"/>
          <w:divBdr>
            <w:top w:val="none" w:sz="0" w:space="0" w:color="auto"/>
            <w:left w:val="none" w:sz="0" w:space="0" w:color="auto"/>
            <w:bottom w:val="none" w:sz="0" w:space="0" w:color="auto"/>
            <w:right w:val="none" w:sz="0" w:space="0" w:color="auto"/>
          </w:divBdr>
        </w:div>
        <w:div w:id="1785465226">
          <w:marLeft w:val="0"/>
          <w:marRight w:val="0"/>
          <w:marTop w:val="0"/>
          <w:marBottom w:val="0"/>
          <w:divBdr>
            <w:top w:val="none" w:sz="0" w:space="0" w:color="auto"/>
            <w:left w:val="none" w:sz="0" w:space="0" w:color="auto"/>
            <w:bottom w:val="none" w:sz="0" w:space="0" w:color="auto"/>
            <w:right w:val="none" w:sz="0" w:space="0" w:color="auto"/>
          </w:divBdr>
        </w:div>
        <w:div w:id="1907446439">
          <w:marLeft w:val="0"/>
          <w:marRight w:val="0"/>
          <w:marTop w:val="0"/>
          <w:marBottom w:val="0"/>
          <w:divBdr>
            <w:top w:val="none" w:sz="0" w:space="0" w:color="auto"/>
            <w:left w:val="none" w:sz="0" w:space="0" w:color="auto"/>
            <w:bottom w:val="none" w:sz="0" w:space="0" w:color="auto"/>
            <w:right w:val="none" w:sz="0" w:space="0" w:color="auto"/>
          </w:divBdr>
        </w:div>
      </w:divsChild>
    </w:div>
    <w:div w:id="2129204339">
      <w:bodyDiv w:val="1"/>
      <w:marLeft w:val="0"/>
      <w:marRight w:val="0"/>
      <w:marTop w:val="0"/>
      <w:marBottom w:val="0"/>
      <w:divBdr>
        <w:top w:val="none" w:sz="0" w:space="0" w:color="auto"/>
        <w:left w:val="none" w:sz="0" w:space="0" w:color="auto"/>
        <w:bottom w:val="none" w:sz="0" w:space="0" w:color="auto"/>
        <w:right w:val="none" w:sz="0" w:space="0" w:color="auto"/>
      </w:divBdr>
      <w:divsChild>
        <w:div w:id="769589348">
          <w:marLeft w:val="0"/>
          <w:marRight w:val="0"/>
          <w:marTop w:val="0"/>
          <w:marBottom w:val="0"/>
          <w:divBdr>
            <w:top w:val="none" w:sz="0" w:space="0" w:color="auto"/>
            <w:left w:val="none" w:sz="0" w:space="0" w:color="auto"/>
            <w:bottom w:val="none" w:sz="0" w:space="0" w:color="auto"/>
            <w:right w:val="none" w:sz="0" w:space="0" w:color="auto"/>
          </w:divBdr>
        </w:div>
        <w:div w:id="1038354932">
          <w:marLeft w:val="0"/>
          <w:marRight w:val="0"/>
          <w:marTop w:val="0"/>
          <w:marBottom w:val="0"/>
          <w:divBdr>
            <w:top w:val="none" w:sz="0" w:space="0" w:color="auto"/>
            <w:left w:val="none" w:sz="0" w:space="0" w:color="auto"/>
            <w:bottom w:val="none" w:sz="0" w:space="0" w:color="auto"/>
            <w:right w:val="none" w:sz="0" w:space="0" w:color="auto"/>
          </w:divBdr>
        </w:div>
        <w:div w:id="1125393726">
          <w:marLeft w:val="0"/>
          <w:marRight w:val="0"/>
          <w:marTop w:val="0"/>
          <w:marBottom w:val="0"/>
          <w:divBdr>
            <w:top w:val="none" w:sz="0" w:space="0" w:color="auto"/>
            <w:left w:val="none" w:sz="0" w:space="0" w:color="auto"/>
            <w:bottom w:val="none" w:sz="0" w:space="0" w:color="auto"/>
            <w:right w:val="none" w:sz="0" w:space="0" w:color="auto"/>
          </w:divBdr>
        </w:div>
        <w:div w:id="1143155599">
          <w:marLeft w:val="0"/>
          <w:marRight w:val="0"/>
          <w:marTop w:val="0"/>
          <w:marBottom w:val="0"/>
          <w:divBdr>
            <w:top w:val="none" w:sz="0" w:space="0" w:color="auto"/>
            <w:left w:val="none" w:sz="0" w:space="0" w:color="auto"/>
            <w:bottom w:val="none" w:sz="0" w:space="0" w:color="auto"/>
            <w:right w:val="none" w:sz="0" w:space="0" w:color="auto"/>
          </w:divBdr>
        </w:div>
        <w:div w:id="1459227827">
          <w:marLeft w:val="0"/>
          <w:marRight w:val="0"/>
          <w:marTop w:val="0"/>
          <w:marBottom w:val="0"/>
          <w:divBdr>
            <w:top w:val="none" w:sz="0" w:space="0" w:color="auto"/>
            <w:left w:val="none" w:sz="0" w:space="0" w:color="auto"/>
            <w:bottom w:val="none" w:sz="0" w:space="0" w:color="auto"/>
            <w:right w:val="none" w:sz="0" w:space="0" w:color="auto"/>
          </w:divBdr>
        </w:div>
        <w:div w:id="2037345135">
          <w:marLeft w:val="0"/>
          <w:marRight w:val="0"/>
          <w:marTop w:val="0"/>
          <w:marBottom w:val="0"/>
          <w:divBdr>
            <w:top w:val="none" w:sz="0" w:space="0" w:color="auto"/>
            <w:left w:val="none" w:sz="0" w:space="0" w:color="auto"/>
            <w:bottom w:val="none" w:sz="0" w:space="0" w:color="auto"/>
            <w:right w:val="none" w:sz="0" w:space="0" w:color="auto"/>
          </w:divBdr>
        </w:div>
        <w:div w:id="2064137572">
          <w:marLeft w:val="0"/>
          <w:marRight w:val="0"/>
          <w:marTop w:val="0"/>
          <w:marBottom w:val="0"/>
          <w:divBdr>
            <w:top w:val="none" w:sz="0" w:space="0" w:color="auto"/>
            <w:left w:val="none" w:sz="0" w:space="0" w:color="auto"/>
            <w:bottom w:val="none" w:sz="0" w:space="0" w:color="auto"/>
            <w:right w:val="none" w:sz="0" w:space="0" w:color="auto"/>
          </w:divBdr>
        </w:div>
        <w:div w:id="2098284892">
          <w:marLeft w:val="0"/>
          <w:marRight w:val="0"/>
          <w:marTop w:val="0"/>
          <w:marBottom w:val="0"/>
          <w:divBdr>
            <w:top w:val="none" w:sz="0" w:space="0" w:color="auto"/>
            <w:left w:val="none" w:sz="0" w:space="0" w:color="auto"/>
            <w:bottom w:val="none" w:sz="0" w:space="0" w:color="auto"/>
            <w:right w:val="none" w:sz="0" w:space="0" w:color="auto"/>
          </w:divBdr>
        </w:div>
      </w:divsChild>
    </w:div>
    <w:div w:id="2134639166">
      <w:bodyDiv w:val="1"/>
      <w:marLeft w:val="0"/>
      <w:marRight w:val="0"/>
      <w:marTop w:val="0"/>
      <w:marBottom w:val="0"/>
      <w:divBdr>
        <w:top w:val="none" w:sz="0" w:space="0" w:color="auto"/>
        <w:left w:val="none" w:sz="0" w:space="0" w:color="auto"/>
        <w:bottom w:val="none" w:sz="0" w:space="0" w:color="auto"/>
        <w:right w:val="none" w:sz="0" w:space="0" w:color="auto"/>
      </w:divBdr>
      <w:divsChild>
        <w:div w:id="1995253632">
          <w:marLeft w:val="0"/>
          <w:marRight w:val="0"/>
          <w:marTop w:val="0"/>
          <w:marBottom w:val="0"/>
          <w:divBdr>
            <w:top w:val="none" w:sz="0" w:space="0" w:color="auto"/>
            <w:left w:val="none" w:sz="0" w:space="0" w:color="auto"/>
            <w:bottom w:val="none" w:sz="0" w:space="0" w:color="auto"/>
            <w:right w:val="none" w:sz="0" w:space="0" w:color="auto"/>
          </w:divBdr>
        </w:div>
        <w:div w:id="559246811">
          <w:marLeft w:val="0"/>
          <w:marRight w:val="0"/>
          <w:marTop w:val="0"/>
          <w:marBottom w:val="0"/>
          <w:divBdr>
            <w:top w:val="none" w:sz="0" w:space="0" w:color="auto"/>
            <w:left w:val="none" w:sz="0" w:space="0" w:color="auto"/>
            <w:bottom w:val="none" w:sz="0" w:space="0" w:color="auto"/>
            <w:right w:val="none" w:sz="0" w:space="0" w:color="auto"/>
          </w:divBdr>
        </w:div>
        <w:div w:id="689143798">
          <w:marLeft w:val="0"/>
          <w:marRight w:val="0"/>
          <w:marTop w:val="0"/>
          <w:marBottom w:val="0"/>
          <w:divBdr>
            <w:top w:val="none" w:sz="0" w:space="0" w:color="auto"/>
            <w:left w:val="none" w:sz="0" w:space="0" w:color="auto"/>
            <w:bottom w:val="none" w:sz="0" w:space="0" w:color="auto"/>
            <w:right w:val="none" w:sz="0" w:space="0" w:color="auto"/>
          </w:divBdr>
        </w:div>
        <w:div w:id="2065566709">
          <w:marLeft w:val="0"/>
          <w:marRight w:val="0"/>
          <w:marTop w:val="0"/>
          <w:marBottom w:val="0"/>
          <w:divBdr>
            <w:top w:val="none" w:sz="0" w:space="0" w:color="auto"/>
            <w:left w:val="none" w:sz="0" w:space="0" w:color="auto"/>
            <w:bottom w:val="none" w:sz="0" w:space="0" w:color="auto"/>
            <w:right w:val="none" w:sz="0" w:space="0" w:color="auto"/>
          </w:divBdr>
        </w:div>
        <w:div w:id="835997784">
          <w:marLeft w:val="0"/>
          <w:marRight w:val="0"/>
          <w:marTop w:val="0"/>
          <w:marBottom w:val="0"/>
          <w:divBdr>
            <w:top w:val="none" w:sz="0" w:space="0" w:color="auto"/>
            <w:left w:val="none" w:sz="0" w:space="0" w:color="auto"/>
            <w:bottom w:val="none" w:sz="0" w:space="0" w:color="auto"/>
            <w:right w:val="none" w:sz="0" w:space="0" w:color="auto"/>
          </w:divBdr>
        </w:div>
        <w:div w:id="1612125576">
          <w:marLeft w:val="0"/>
          <w:marRight w:val="0"/>
          <w:marTop w:val="0"/>
          <w:marBottom w:val="0"/>
          <w:divBdr>
            <w:top w:val="none" w:sz="0" w:space="0" w:color="auto"/>
            <w:left w:val="none" w:sz="0" w:space="0" w:color="auto"/>
            <w:bottom w:val="none" w:sz="0" w:space="0" w:color="auto"/>
            <w:right w:val="none" w:sz="0" w:space="0" w:color="auto"/>
          </w:divBdr>
        </w:div>
        <w:div w:id="1772429575">
          <w:marLeft w:val="0"/>
          <w:marRight w:val="0"/>
          <w:marTop w:val="0"/>
          <w:marBottom w:val="0"/>
          <w:divBdr>
            <w:top w:val="none" w:sz="0" w:space="0" w:color="auto"/>
            <w:left w:val="none" w:sz="0" w:space="0" w:color="auto"/>
            <w:bottom w:val="none" w:sz="0" w:space="0" w:color="auto"/>
            <w:right w:val="none" w:sz="0" w:space="0" w:color="auto"/>
          </w:divBdr>
        </w:div>
        <w:div w:id="546188428">
          <w:marLeft w:val="0"/>
          <w:marRight w:val="0"/>
          <w:marTop w:val="0"/>
          <w:marBottom w:val="0"/>
          <w:divBdr>
            <w:top w:val="none" w:sz="0" w:space="0" w:color="auto"/>
            <w:left w:val="none" w:sz="0" w:space="0" w:color="auto"/>
            <w:bottom w:val="none" w:sz="0" w:space="0" w:color="auto"/>
            <w:right w:val="none" w:sz="0" w:space="0" w:color="auto"/>
          </w:divBdr>
        </w:div>
        <w:div w:id="1483959528">
          <w:marLeft w:val="0"/>
          <w:marRight w:val="0"/>
          <w:marTop w:val="0"/>
          <w:marBottom w:val="0"/>
          <w:divBdr>
            <w:top w:val="none" w:sz="0" w:space="0" w:color="auto"/>
            <w:left w:val="none" w:sz="0" w:space="0" w:color="auto"/>
            <w:bottom w:val="none" w:sz="0" w:space="0" w:color="auto"/>
            <w:right w:val="none" w:sz="0" w:space="0" w:color="auto"/>
          </w:divBdr>
        </w:div>
        <w:div w:id="91323450">
          <w:marLeft w:val="0"/>
          <w:marRight w:val="0"/>
          <w:marTop w:val="0"/>
          <w:marBottom w:val="0"/>
          <w:divBdr>
            <w:top w:val="none" w:sz="0" w:space="0" w:color="auto"/>
            <w:left w:val="none" w:sz="0" w:space="0" w:color="auto"/>
            <w:bottom w:val="none" w:sz="0" w:space="0" w:color="auto"/>
            <w:right w:val="none" w:sz="0" w:space="0" w:color="auto"/>
          </w:divBdr>
        </w:div>
        <w:div w:id="1487741525">
          <w:marLeft w:val="0"/>
          <w:marRight w:val="0"/>
          <w:marTop w:val="0"/>
          <w:marBottom w:val="0"/>
          <w:divBdr>
            <w:top w:val="none" w:sz="0" w:space="0" w:color="auto"/>
            <w:left w:val="none" w:sz="0" w:space="0" w:color="auto"/>
            <w:bottom w:val="none" w:sz="0" w:space="0" w:color="auto"/>
            <w:right w:val="none" w:sz="0" w:space="0" w:color="auto"/>
          </w:divBdr>
        </w:div>
        <w:div w:id="417676005">
          <w:marLeft w:val="0"/>
          <w:marRight w:val="0"/>
          <w:marTop w:val="0"/>
          <w:marBottom w:val="0"/>
          <w:divBdr>
            <w:top w:val="none" w:sz="0" w:space="0" w:color="auto"/>
            <w:left w:val="none" w:sz="0" w:space="0" w:color="auto"/>
            <w:bottom w:val="none" w:sz="0" w:space="0" w:color="auto"/>
            <w:right w:val="none" w:sz="0" w:space="0" w:color="auto"/>
          </w:divBdr>
        </w:div>
        <w:div w:id="1875117450">
          <w:marLeft w:val="0"/>
          <w:marRight w:val="0"/>
          <w:marTop w:val="0"/>
          <w:marBottom w:val="0"/>
          <w:divBdr>
            <w:top w:val="none" w:sz="0" w:space="0" w:color="auto"/>
            <w:left w:val="none" w:sz="0" w:space="0" w:color="auto"/>
            <w:bottom w:val="none" w:sz="0" w:space="0" w:color="auto"/>
            <w:right w:val="none" w:sz="0" w:space="0" w:color="auto"/>
          </w:divBdr>
        </w:div>
        <w:div w:id="113793401">
          <w:marLeft w:val="0"/>
          <w:marRight w:val="0"/>
          <w:marTop w:val="0"/>
          <w:marBottom w:val="0"/>
          <w:divBdr>
            <w:top w:val="none" w:sz="0" w:space="0" w:color="auto"/>
            <w:left w:val="none" w:sz="0" w:space="0" w:color="auto"/>
            <w:bottom w:val="none" w:sz="0" w:space="0" w:color="auto"/>
            <w:right w:val="none" w:sz="0" w:space="0" w:color="auto"/>
          </w:divBdr>
        </w:div>
        <w:div w:id="342245885">
          <w:marLeft w:val="0"/>
          <w:marRight w:val="0"/>
          <w:marTop w:val="0"/>
          <w:marBottom w:val="0"/>
          <w:divBdr>
            <w:top w:val="none" w:sz="0" w:space="0" w:color="auto"/>
            <w:left w:val="none" w:sz="0" w:space="0" w:color="auto"/>
            <w:bottom w:val="none" w:sz="0" w:space="0" w:color="auto"/>
            <w:right w:val="none" w:sz="0" w:space="0" w:color="auto"/>
          </w:divBdr>
        </w:div>
        <w:div w:id="820200478">
          <w:marLeft w:val="0"/>
          <w:marRight w:val="0"/>
          <w:marTop w:val="0"/>
          <w:marBottom w:val="0"/>
          <w:divBdr>
            <w:top w:val="none" w:sz="0" w:space="0" w:color="auto"/>
            <w:left w:val="none" w:sz="0" w:space="0" w:color="auto"/>
            <w:bottom w:val="none" w:sz="0" w:space="0" w:color="auto"/>
            <w:right w:val="none" w:sz="0" w:space="0" w:color="auto"/>
          </w:divBdr>
        </w:div>
        <w:div w:id="1448088530">
          <w:marLeft w:val="0"/>
          <w:marRight w:val="0"/>
          <w:marTop w:val="0"/>
          <w:marBottom w:val="0"/>
          <w:divBdr>
            <w:top w:val="none" w:sz="0" w:space="0" w:color="auto"/>
            <w:left w:val="none" w:sz="0" w:space="0" w:color="auto"/>
            <w:bottom w:val="none" w:sz="0" w:space="0" w:color="auto"/>
            <w:right w:val="none" w:sz="0" w:space="0" w:color="auto"/>
          </w:divBdr>
        </w:div>
        <w:div w:id="1557424514">
          <w:marLeft w:val="0"/>
          <w:marRight w:val="0"/>
          <w:marTop w:val="0"/>
          <w:marBottom w:val="0"/>
          <w:divBdr>
            <w:top w:val="none" w:sz="0" w:space="0" w:color="auto"/>
            <w:left w:val="none" w:sz="0" w:space="0" w:color="auto"/>
            <w:bottom w:val="none" w:sz="0" w:space="0" w:color="auto"/>
            <w:right w:val="none" w:sz="0" w:space="0" w:color="auto"/>
          </w:divBdr>
        </w:div>
        <w:div w:id="1433932737">
          <w:marLeft w:val="0"/>
          <w:marRight w:val="0"/>
          <w:marTop w:val="0"/>
          <w:marBottom w:val="0"/>
          <w:divBdr>
            <w:top w:val="none" w:sz="0" w:space="0" w:color="auto"/>
            <w:left w:val="none" w:sz="0" w:space="0" w:color="auto"/>
            <w:bottom w:val="none" w:sz="0" w:space="0" w:color="auto"/>
            <w:right w:val="none" w:sz="0" w:space="0" w:color="auto"/>
          </w:divBdr>
        </w:div>
        <w:div w:id="1719207755">
          <w:marLeft w:val="0"/>
          <w:marRight w:val="0"/>
          <w:marTop w:val="0"/>
          <w:marBottom w:val="0"/>
          <w:divBdr>
            <w:top w:val="none" w:sz="0" w:space="0" w:color="auto"/>
            <w:left w:val="none" w:sz="0" w:space="0" w:color="auto"/>
            <w:bottom w:val="none" w:sz="0" w:space="0" w:color="auto"/>
            <w:right w:val="none" w:sz="0" w:space="0" w:color="auto"/>
          </w:divBdr>
        </w:div>
        <w:div w:id="1270354880">
          <w:marLeft w:val="0"/>
          <w:marRight w:val="0"/>
          <w:marTop w:val="0"/>
          <w:marBottom w:val="0"/>
          <w:divBdr>
            <w:top w:val="none" w:sz="0" w:space="0" w:color="auto"/>
            <w:left w:val="none" w:sz="0" w:space="0" w:color="auto"/>
            <w:bottom w:val="none" w:sz="0" w:space="0" w:color="auto"/>
            <w:right w:val="none" w:sz="0" w:space="0" w:color="auto"/>
          </w:divBdr>
        </w:div>
        <w:div w:id="255483783">
          <w:marLeft w:val="0"/>
          <w:marRight w:val="0"/>
          <w:marTop w:val="0"/>
          <w:marBottom w:val="0"/>
          <w:divBdr>
            <w:top w:val="none" w:sz="0" w:space="0" w:color="auto"/>
            <w:left w:val="none" w:sz="0" w:space="0" w:color="auto"/>
            <w:bottom w:val="none" w:sz="0" w:space="0" w:color="auto"/>
            <w:right w:val="none" w:sz="0" w:space="0" w:color="auto"/>
          </w:divBdr>
        </w:div>
        <w:div w:id="721442908">
          <w:marLeft w:val="0"/>
          <w:marRight w:val="0"/>
          <w:marTop w:val="0"/>
          <w:marBottom w:val="0"/>
          <w:divBdr>
            <w:top w:val="none" w:sz="0" w:space="0" w:color="auto"/>
            <w:left w:val="none" w:sz="0" w:space="0" w:color="auto"/>
            <w:bottom w:val="none" w:sz="0" w:space="0" w:color="auto"/>
            <w:right w:val="none" w:sz="0" w:space="0" w:color="auto"/>
          </w:divBdr>
        </w:div>
        <w:div w:id="1642467462">
          <w:marLeft w:val="0"/>
          <w:marRight w:val="0"/>
          <w:marTop w:val="0"/>
          <w:marBottom w:val="0"/>
          <w:divBdr>
            <w:top w:val="none" w:sz="0" w:space="0" w:color="auto"/>
            <w:left w:val="none" w:sz="0" w:space="0" w:color="auto"/>
            <w:bottom w:val="none" w:sz="0" w:space="0" w:color="auto"/>
            <w:right w:val="none" w:sz="0" w:space="0" w:color="auto"/>
          </w:divBdr>
        </w:div>
        <w:div w:id="1211964729">
          <w:marLeft w:val="0"/>
          <w:marRight w:val="0"/>
          <w:marTop w:val="0"/>
          <w:marBottom w:val="0"/>
          <w:divBdr>
            <w:top w:val="none" w:sz="0" w:space="0" w:color="auto"/>
            <w:left w:val="none" w:sz="0" w:space="0" w:color="auto"/>
            <w:bottom w:val="none" w:sz="0" w:space="0" w:color="auto"/>
            <w:right w:val="none" w:sz="0" w:space="0" w:color="auto"/>
          </w:divBdr>
        </w:div>
        <w:div w:id="1160391213">
          <w:marLeft w:val="0"/>
          <w:marRight w:val="0"/>
          <w:marTop w:val="0"/>
          <w:marBottom w:val="0"/>
          <w:divBdr>
            <w:top w:val="none" w:sz="0" w:space="0" w:color="auto"/>
            <w:left w:val="none" w:sz="0" w:space="0" w:color="auto"/>
            <w:bottom w:val="none" w:sz="0" w:space="0" w:color="auto"/>
            <w:right w:val="none" w:sz="0" w:space="0" w:color="auto"/>
          </w:divBdr>
        </w:div>
        <w:div w:id="1621767860">
          <w:marLeft w:val="0"/>
          <w:marRight w:val="0"/>
          <w:marTop w:val="0"/>
          <w:marBottom w:val="0"/>
          <w:divBdr>
            <w:top w:val="none" w:sz="0" w:space="0" w:color="auto"/>
            <w:left w:val="none" w:sz="0" w:space="0" w:color="auto"/>
            <w:bottom w:val="none" w:sz="0" w:space="0" w:color="auto"/>
            <w:right w:val="none" w:sz="0" w:space="0" w:color="auto"/>
          </w:divBdr>
        </w:div>
        <w:div w:id="1701198867">
          <w:marLeft w:val="0"/>
          <w:marRight w:val="0"/>
          <w:marTop w:val="0"/>
          <w:marBottom w:val="0"/>
          <w:divBdr>
            <w:top w:val="none" w:sz="0" w:space="0" w:color="auto"/>
            <w:left w:val="none" w:sz="0" w:space="0" w:color="auto"/>
            <w:bottom w:val="none" w:sz="0" w:space="0" w:color="auto"/>
            <w:right w:val="none" w:sz="0" w:space="0" w:color="auto"/>
          </w:divBdr>
        </w:div>
        <w:div w:id="1351449281">
          <w:marLeft w:val="0"/>
          <w:marRight w:val="0"/>
          <w:marTop w:val="0"/>
          <w:marBottom w:val="0"/>
          <w:divBdr>
            <w:top w:val="none" w:sz="0" w:space="0" w:color="auto"/>
            <w:left w:val="none" w:sz="0" w:space="0" w:color="auto"/>
            <w:bottom w:val="none" w:sz="0" w:space="0" w:color="auto"/>
            <w:right w:val="none" w:sz="0" w:space="0" w:color="auto"/>
          </w:divBdr>
        </w:div>
        <w:div w:id="1989820077">
          <w:marLeft w:val="0"/>
          <w:marRight w:val="0"/>
          <w:marTop w:val="0"/>
          <w:marBottom w:val="0"/>
          <w:divBdr>
            <w:top w:val="none" w:sz="0" w:space="0" w:color="auto"/>
            <w:left w:val="none" w:sz="0" w:space="0" w:color="auto"/>
            <w:bottom w:val="none" w:sz="0" w:space="0" w:color="auto"/>
            <w:right w:val="none" w:sz="0" w:space="0" w:color="auto"/>
          </w:divBdr>
        </w:div>
        <w:div w:id="551111874">
          <w:marLeft w:val="0"/>
          <w:marRight w:val="0"/>
          <w:marTop w:val="0"/>
          <w:marBottom w:val="0"/>
          <w:divBdr>
            <w:top w:val="none" w:sz="0" w:space="0" w:color="auto"/>
            <w:left w:val="none" w:sz="0" w:space="0" w:color="auto"/>
            <w:bottom w:val="none" w:sz="0" w:space="0" w:color="auto"/>
            <w:right w:val="none" w:sz="0" w:space="0" w:color="auto"/>
          </w:divBdr>
        </w:div>
        <w:div w:id="916986833">
          <w:marLeft w:val="0"/>
          <w:marRight w:val="0"/>
          <w:marTop w:val="0"/>
          <w:marBottom w:val="0"/>
          <w:divBdr>
            <w:top w:val="none" w:sz="0" w:space="0" w:color="auto"/>
            <w:left w:val="none" w:sz="0" w:space="0" w:color="auto"/>
            <w:bottom w:val="none" w:sz="0" w:space="0" w:color="auto"/>
            <w:right w:val="none" w:sz="0" w:space="0" w:color="auto"/>
          </w:divBdr>
        </w:div>
        <w:div w:id="2109807305">
          <w:marLeft w:val="0"/>
          <w:marRight w:val="0"/>
          <w:marTop w:val="0"/>
          <w:marBottom w:val="0"/>
          <w:divBdr>
            <w:top w:val="none" w:sz="0" w:space="0" w:color="auto"/>
            <w:left w:val="none" w:sz="0" w:space="0" w:color="auto"/>
            <w:bottom w:val="none" w:sz="0" w:space="0" w:color="auto"/>
            <w:right w:val="none" w:sz="0" w:space="0" w:color="auto"/>
          </w:divBdr>
        </w:div>
        <w:div w:id="1858619048">
          <w:marLeft w:val="0"/>
          <w:marRight w:val="0"/>
          <w:marTop w:val="0"/>
          <w:marBottom w:val="0"/>
          <w:divBdr>
            <w:top w:val="none" w:sz="0" w:space="0" w:color="auto"/>
            <w:left w:val="none" w:sz="0" w:space="0" w:color="auto"/>
            <w:bottom w:val="none" w:sz="0" w:space="0" w:color="auto"/>
            <w:right w:val="none" w:sz="0" w:space="0" w:color="auto"/>
          </w:divBdr>
        </w:div>
        <w:div w:id="406808019">
          <w:marLeft w:val="0"/>
          <w:marRight w:val="0"/>
          <w:marTop w:val="0"/>
          <w:marBottom w:val="0"/>
          <w:divBdr>
            <w:top w:val="none" w:sz="0" w:space="0" w:color="auto"/>
            <w:left w:val="none" w:sz="0" w:space="0" w:color="auto"/>
            <w:bottom w:val="none" w:sz="0" w:space="0" w:color="auto"/>
            <w:right w:val="none" w:sz="0" w:space="0" w:color="auto"/>
          </w:divBdr>
        </w:div>
        <w:div w:id="1069115924">
          <w:marLeft w:val="0"/>
          <w:marRight w:val="0"/>
          <w:marTop w:val="0"/>
          <w:marBottom w:val="0"/>
          <w:divBdr>
            <w:top w:val="none" w:sz="0" w:space="0" w:color="auto"/>
            <w:left w:val="none" w:sz="0" w:space="0" w:color="auto"/>
            <w:bottom w:val="none" w:sz="0" w:space="0" w:color="auto"/>
            <w:right w:val="none" w:sz="0" w:space="0" w:color="auto"/>
          </w:divBdr>
        </w:div>
        <w:div w:id="694354500">
          <w:marLeft w:val="0"/>
          <w:marRight w:val="0"/>
          <w:marTop w:val="0"/>
          <w:marBottom w:val="0"/>
          <w:divBdr>
            <w:top w:val="none" w:sz="0" w:space="0" w:color="auto"/>
            <w:left w:val="none" w:sz="0" w:space="0" w:color="auto"/>
            <w:bottom w:val="none" w:sz="0" w:space="0" w:color="auto"/>
            <w:right w:val="none" w:sz="0" w:space="0" w:color="auto"/>
          </w:divBdr>
        </w:div>
        <w:div w:id="2088455707">
          <w:marLeft w:val="0"/>
          <w:marRight w:val="0"/>
          <w:marTop w:val="0"/>
          <w:marBottom w:val="0"/>
          <w:divBdr>
            <w:top w:val="none" w:sz="0" w:space="0" w:color="auto"/>
            <w:left w:val="none" w:sz="0" w:space="0" w:color="auto"/>
            <w:bottom w:val="none" w:sz="0" w:space="0" w:color="auto"/>
            <w:right w:val="none" w:sz="0" w:space="0" w:color="auto"/>
          </w:divBdr>
        </w:div>
        <w:div w:id="1922908084">
          <w:marLeft w:val="0"/>
          <w:marRight w:val="0"/>
          <w:marTop w:val="0"/>
          <w:marBottom w:val="0"/>
          <w:divBdr>
            <w:top w:val="none" w:sz="0" w:space="0" w:color="auto"/>
            <w:left w:val="none" w:sz="0" w:space="0" w:color="auto"/>
            <w:bottom w:val="none" w:sz="0" w:space="0" w:color="auto"/>
            <w:right w:val="none" w:sz="0" w:space="0" w:color="auto"/>
          </w:divBdr>
        </w:div>
      </w:divsChild>
    </w:div>
    <w:div w:id="2140996528">
      <w:bodyDiv w:val="1"/>
      <w:marLeft w:val="0"/>
      <w:marRight w:val="0"/>
      <w:marTop w:val="0"/>
      <w:marBottom w:val="0"/>
      <w:divBdr>
        <w:top w:val="none" w:sz="0" w:space="0" w:color="auto"/>
        <w:left w:val="none" w:sz="0" w:space="0" w:color="auto"/>
        <w:bottom w:val="none" w:sz="0" w:space="0" w:color="auto"/>
        <w:right w:val="none" w:sz="0" w:space="0" w:color="auto"/>
      </w:divBdr>
      <w:divsChild>
        <w:div w:id="656803587">
          <w:marLeft w:val="0"/>
          <w:marRight w:val="0"/>
          <w:marTop w:val="0"/>
          <w:marBottom w:val="0"/>
          <w:divBdr>
            <w:top w:val="none" w:sz="0" w:space="0" w:color="auto"/>
            <w:left w:val="none" w:sz="0" w:space="0" w:color="auto"/>
            <w:bottom w:val="none" w:sz="0" w:space="0" w:color="auto"/>
            <w:right w:val="none" w:sz="0" w:space="0" w:color="auto"/>
          </w:divBdr>
          <w:divsChild>
            <w:div w:id="1647469279">
              <w:marLeft w:val="0"/>
              <w:marRight w:val="0"/>
              <w:marTop w:val="0"/>
              <w:marBottom w:val="0"/>
              <w:divBdr>
                <w:top w:val="none" w:sz="0" w:space="0" w:color="auto"/>
                <w:left w:val="none" w:sz="0" w:space="0" w:color="auto"/>
                <w:bottom w:val="none" w:sz="0" w:space="0" w:color="auto"/>
                <w:right w:val="none" w:sz="0" w:space="0" w:color="auto"/>
              </w:divBdr>
            </w:div>
            <w:div w:id="405760658">
              <w:marLeft w:val="0"/>
              <w:marRight w:val="0"/>
              <w:marTop w:val="0"/>
              <w:marBottom w:val="0"/>
              <w:divBdr>
                <w:top w:val="none" w:sz="0" w:space="0" w:color="auto"/>
                <w:left w:val="none" w:sz="0" w:space="0" w:color="auto"/>
                <w:bottom w:val="none" w:sz="0" w:space="0" w:color="auto"/>
                <w:right w:val="none" w:sz="0" w:space="0" w:color="auto"/>
              </w:divBdr>
            </w:div>
            <w:div w:id="296422665">
              <w:marLeft w:val="0"/>
              <w:marRight w:val="0"/>
              <w:marTop w:val="0"/>
              <w:marBottom w:val="0"/>
              <w:divBdr>
                <w:top w:val="none" w:sz="0" w:space="0" w:color="auto"/>
                <w:left w:val="none" w:sz="0" w:space="0" w:color="auto"/>
                <w:bottom w:val="none" w:sz="0" w:space="0" w:color="auto"/>
                <w:right w:val="none" w:sz="0" w:space="0" w:color="auto"/>
              </w:divBdr>
            </w:div>
            <w:div w:id="207423618">
              <w:marLeft w:val="0"/>
              <w:marRight w:val="0"/>
              <w:marTop w:val="0"/>
              <w:marBottom w:val="0"/>
              <w:divBdr>
                <w:top w:val="none" w:sz="0" w:space="0" w:color="auto"/>
                <w:left w:val="none" w:sz="0" w:space="0" w:color="auto"/>
                <w:bottom w:val="none" w:sz="0" w:space="0" w:color="auto"/>
                <w:right w:val="none" w:sz="0" w:space="0" w:color="auto"/>
              </w:divBdr>
            </w:div>
            <w:div w:id="2083405978">
              <w:marLeft w:val="0"/>
              <w:marRight w:val="0"/>
              <w:marTop w:val="0"/>
              <w:marBottom w:val="0"/>
              <w:divBdr>
                <w:top w:val="none" w:sz="0" w:space="0" w:color="auto"/>
                <w:left w:val="none" w:sz="0" w:space="0" w:color="auto"/>
                <w:bottom w:val="none" w:sz="0" w:space="0" w:color="auto"/>
                <w:right w:val="none" w:sz="0" w:space="0" w:color="auto"/>
              </w:divBdr>
            </w:div>
            <w:div w:id="17202051">
              <w:marLeft w:val="0"/>
              <w:marRight w:val="0"/>
              <w:marTop w:val="0"/>
              <w:marBottom w:val="0"/>
              <w:divBdr>
                <w:top w:val="none" w:sz="0" w:space="0" w:color="auto"/>
                <w:left w:val="none" w:sz="0" w:space="0" w:color="auto"/>
                <w:bottom w:val="none" w:sz="0" w:space="0" w:color="auto"/>
                <w:right w:val="none" w:sz="0" w:space="0" w:color="auto"/>
              </w:divBdr>
            </w:div>
            <w:div w:id="926377558">
              <w:marLeft w:val="0"/>
              <w:marRight w:val="0"/>
              <w:marTop w:val="0"/>
              <w:marBottom w:val="0"/>
              <w:divBdr>
                <w:top w:val="none" w:sz="0" w:space="0" w:color="auto"/>
                <w:left w:val="none" w:sz="0" w:space="0" w:color="auto"/>
                <w:bottom w:val="none" w:sz="0" w:space="0" w:color="auto"/>
                <w:right w:val="none" w:sz="0" w:space="0" w:color="auto"/>
              </w:divBdr>
            </w:div>
            <w:div w:id="836845851">
              <w:marLeft w:val="0"/>
              <w:marRight w:val="0"/>
              <w:marTop w:val="0"/>
              <w:marBottom w:val="0"/>
              <w:divBdr>
                <w:top w:val="none" w:sz="0" w:space="0" w:color="auto"/>
                <w:left w:val="none" w:sz="0" w:space="0" w:color="auto"/>
                <w:bottom w:val="none" w:sz="0" w:space="0" w:color="auto"/>
                <w:right w:val="none" w:sz="0" w:space="0" w:color="auto"/>
              </w:divBdr>
            </w:div>
            <w:div w:id="1324238268">
              <w:marLeft w:val="0"/>
              <w:marRight w:val="0"/>
              <w:marTop w:val="0"/>
              <w:marBottom w:val="0"/>
              <w:divBdr>
                <w:top w:val="none" w:sz="0" w:space="0" w:color="auto"/>
                <w:left w:val="none" w:sz="0" w:space="0" w:color="auto"/>
                <w:bottom w:val="none" w:sz="0" w:space="0" w:color="auto"/>
                <w:right w:val="none" w:sz="0" w:space="0" w:color="auto"/>
              </w:divBdr>
            </w:div>
            <w:div w:id="1396932242">
              <w:marLeft w:val="0"/>
              <w:marRight w:val="0"/>
              <w:marTop w:val="0"/>
              <w:marBottom w:val="0"/>
              <w:divBdr>
                <w:top w:val="none" w:sz="0" w:space="0" w:color="auto"/>
                <w:left w:val="none" w:sz="0" w:space="0" w:color="auto"/>
                <w:bottom w:val="none" w:sz="0" w:space="0" w:color="auto"/>
                <w:right w:val="none" w:sz="0" w:space="0" w:color="auto"/>
              </w:divBdr>
            </w:div>
            <w:div w:id="1736929965">
              <w:marLeft w:val="0"/>
              <w:marRight w:val="0"/>
              <w:marTop w:val="0"/>
              <w:marBottom w:val="0"/>
              <w:divBdr>
                <w:top w:val="none" w:sz="0" w:space="0" w:color="auto"/>
                <w:left w:val="none" w:sz="0" w:space="0" w:color="auto"/>
                <w:bottom w:val="none" w:sz="0" w:space="0" w:color="auto"/>
                <w:right w:val="none" w:sz="0" w:space="0" w:color="auto"/>
              </w:divBdr>
            </w:div>
            <w:div w:id="241568695">
              <w:marLeft w:val="0"/>
              <w:marRight w:val="0"/>
              <w:marTop w:val="0"/>
              <w:marBottom w:val="0"/>
              <w:divBdr>
                <w:top w:val="none" w:sz="0" w:space="0" w:color="auto"/>
                <w:left w:val="none" w:sz="0" w:space="0" w:color="auto"/>
                <w:bottom w:val="none" w:sz="0" w:space="0" w:color="auto"/>
                <w:right w:val="none" w:sz="0" w:space="0" w:color="auto"/>
              </w:divBdr>
            </w:div>
            <w:div w:id="1579901791">
              <w:marLeft w:val="0"/>
              <w:marRight w:val="0"/>
              <w:marTop w:val="0"/>
              <w:marBottom w:val="0"/>
              <w:divBdr>
                <w:top w:val="none" w:sz="0" w:space="0" w:color="auto"/>
                <w:left w:val="none" w:sz="0" w:space="0" w:color="auto"/>
                <w:bottom w:val="none" w:sz="0" w:space="0" w:color="auto"/>
                <w:right w:val="none" w:sz="0" w:space="0" w:color="auto"/>
              </w:divBdr>
            </w:div>
            <w:div w:id="1099259673">
              <w:marLeft w:val="0"/>
              <w:marRight w:val="0"/>
              <w:marTop w:val="0"/>
              <w:marBottom w:val="0"/>
              <w:divBdr>
                <w:top w:val="none" w:sz="0" w:space="0" w:color="auto"/>
                <w:left w:val="none" w:sz="0" w:space="0" w:color="auto"/>
                <w:bottom w:val="none" w:sz="0" w:space="0" w:color="auto"/>
                <w:right w:val="none" w:sz="0" w:space="0" w:color="auto"/>
              </w:divBdr>
            </w:div>
            <w:div w:id="1540583593">
              <w:marLeft w:val="0"/>
              <w:marRight w:val="0"/>
              <w:marTop w:val="0"/>
              <w:marBottom w:val="0"/>
              <w:divBdr>
                <w:top w:val="none" w:sz="0" w:space="0" w:color="auto"/>
                <w:left w:val="none" w:sz="0" w:space="0" w:color="auto"/>
                <w:bottom w:val="none" w:sz="0" w:space="0" w:color="auto"/>
                <w:right w:val="none" w:sz="0" w:space="0" w:color="auto"/>
              </w:divBdr>
            </w:div>
            <w:div w:id="928122788">
              <w:marLeft w:val="0"/>
              <w:marRight w:val="0"/>
              <w:marTop w:val="0"/>
              <w:marBottom w:val="0"/>
              <w:divBdr>
                <w:top w:val="none" w:sz="0" w:space="0" w:color="auto"/>
                <w:left w:val="none" w:sz="0" w:space="0" w:color="auto"/>
                <w:bottom w:val="none" w:sz="0" w:space="0" w:color="auto"/>
                <w:right w:val="none" w:sz="0" w:space="0" w:color="auto"/>
              </w:divBdr>
            </w:div>
            <w:div w:id="711883088">
              <w:marLeft w:val="0"/>
              <w:marRight w:val="0"/>
              <w:marTop w:val="0"/>
              <w:marBottom w:val="0"/>
              <w:divBdr>
                <w:top w:val="none" w:sz="0" w:space="0" w:color="auto"/>
                <w:left w:val="none" w:sz="0" w:space="0" w:color="auto"/>
                <w:bottom w:val="none" w:sz="0" w:space="0" w:color="auto"/>
                <w:right w:val="none" w:sz="0" w:space="0" w:color="auto"/>
              </w:divBdr>
            </w:div>
            <w:div w:id="1892033686">
              <w:marLeft w:val="0"/>
              <w:marRight w:val="0"/>
              <w:marTop w:val="0"/>
              <w:marBottom w:val="0"/>
              <w:divBdr>
                <w:top w:val="none" w:sz="0" w:space="0" w:color="auto"/>
                <w:left w:val="none" w:sz="0" w:space="0" w:color="auto"/>
                <w:bottom w:val="none" w:sz="0" w:space="0" w:color="auto"/>
                <w:right w:val="none" w:sz="0" w:space="0" w:color="auto"/>
              </w:divBdr>
            </w:div>
            <w:div w:id="187647807">
              <w:marLeft w:val="0"/>
              <w:marRight w:val="0"/>
              <w:marTop w:val="0"/>
              <w:marBottom w:val="0"/>
              <w:divBdr>
                <w:top w:val="none" w:sz="0" w:space="0" w:color="auto"/>
                <w:left w:val="none" w:sz="0" w:space="0" w:color="auto"/>
                <w:bottom w:val="none" w:sz="0" w:space="0" w:color="auto"/>
                <w:right w:val="none" w:sz="0" w:space="0" w:color="auto"/>
              </w:divBdr>
            </w:div>
            <w:div w:id="1316571559">
              <w:marLeft w:val="0"/>
              <w:marRight w:val="0"/>
              <w:marTop w:val="0"/>
              <w:marBottom w:val="0"/>
              <w:divBdr>
                <w:top w:val="none" w:sz="0" w:space="0" w:color="auto"/>
                <w:left w:val="none" w:sz="0" w:space="0" w:color="auto"/>
                <w:bottom w:val="none" w:sz="0" w:space="0" w:color="auto"/>
                <w:right w:val="none" w:sz="0" w:space="0" w:color="auto"/>
              </w:divBdr>
            </w:div>
          </w:divsChild>
        </w:div>
        <w:div w:id="65610907">
          <w:marLeft w:val="0"/>
          <w:marRight w:val="0"/>
          <w:marTop w:val="0"/>
          <w:marBottom w:val="0"/>
          <w:divBdr>
            <w:top w:val="none" w:sz="0" w:space="0" w:color="auto"/>
            <w:left w:val="none" w:sz="0" w:space="0" w:color="auto"/>
            <w:bottom w:val="none" w:sz="0" w:space="0" w:color="auto"/>
            <w:right w:val="none" w:sz="0" w:space="0" w:color="auto"/>
          </w:divBdr>
        </w:div>
        <w:div w:id="1874730528">
          <w:marLeft w:val="0"/>
          <w:marRight w:val="0"/>
          <w:marTop w:val="0"/>
          <w:marBottom w:val="0"/>
          <w:divBdr>
            <w:top w:val="none" w:sz="0" w:space="0" w:color="auto"/>
            <w:left w:val="none" w:sz="0" w:space="0" w:color="auto"/>
            <w:bottom w:val="none" w:sz="0" w:space="0" w:color="auto"/>
            <w:right w:val="none" w:sz="0" w:space="0" w:color="auto"/>
          </w:divBdr>
        </w:div>
        <w:div w:id="1115708235">
          <w:marLeft w:val="0"/>
          <w:marRight w:val="0"/>
          <w:marTop w:val="0"/>
          <w:marBottom w:val="0"/>
          <w:divBdr>
            <w:top w:val="none" w:sz="0" w:space="0" w:color="auto"/>
            <w:left w:val="none" w:sz="0" w:space="0" w:color="auto"/>
            <w:bottom w:val="none" w:sz="0" w:space="0" w:color="auto"/>
            <w:right w:val="none" w:sz="0" w:space="0" w:color="auto"/>
          </w:divBdr>
        </w:div>
        <w:div w:id="1901867553">
          <w:marLeft w:val="0"/>
          <w:marRight w:val="0"/>
          <w:marTop w:val="0"/>
          <w:marBottom w:val="0"/>
          <w:divBdr>
            <w:top w:val="none" w:sz="0" w:space="0" w:color="auto"/>
            <w:left w:val="none" w:sz="0" w:space="0" w:color="auto"/>
            <w:bottom w:val="none" w:sz="0" w:space="0" w:color="auto"/>
            <w:right w:val="none" w:sz="0" w:space="0" w:color="auto"/>
          </w:divBdr>
        </w:div>
        <w:div w:id="788208472">
          <w:marLeft w:val="0"/>
          <w:marRight w:val="0"/>
          <w:marTop w:val="0"/>
          <w:marBottom w:val="0"/>
          <w:divBdr>
            <w:top w:val="none" w:sz="0" w:space="0" w:color="auto"/>
            <w:left w:val="none" w:sz="0" w:space="0" w:color="auto"/>
            <w:bottom w:val="none" w:sz="0" w:space="0" w:color="auto"/>
            <w:right w:val="none" w:sz="0" w:space="0" w:color="auto"/>
          </w:divBdr>
        </w:div>
      </w:divsChild>
    </w:div>
    <w:div w:id="2146655454">
      <w:bodyDiv w:val="1"/>
      <w:marLeft w:val="0"/>
      <w:marRight w:val="0"/>
      <w:marTop w:val="0"/>
      <w:marBottom w:val="0"/>
      <w:divBdr>
        <w:top w:val="none" w:sz="0" w:space="0" w:color="auto"/>
        <w:left w:val="none" w:sz="0" w:space="0" w:color="auto"/>
        <w:bottom w:val="none" w:sz="0" w:space="0" w:color="auto"/>
        <w:right w:val="none" w:sz="0" w:space="0" w:color="auto"/>
      </w:divBdr>
      <w:divsChild>
        <w:div w:id="61024798">
          <w:marLeft w:val="0"/>
          <w:marRight w:val="0"/>
          <w:marTop w:val="0"/>
          <w:marBottom w:val="0"/>
          <w:divBdr>
            <w:top w:val="none" w:sz="0" w:space="0" w:color="auto"/>
            <w:left w:val="none" w:sz="0" w:space="0" w:color="auto"/>
            <w:bottom w:val="none" w:sz="0" w:space="0" w:color="auto"/>
            <w:right w:val="none" w:sz="0" w:space="0" w:color="auto"/>
          </w:divBdr>
        </w:div>
        <w:div w:id="848182265">
          <w:marLeft w:val="0"/>
          <w:marRight w:val="0"/>
          <w:marTop w:val="0"/>
          <w:marBottom w:val="0"/>
          <w:divBdr>
            <w:top w:val="none" w:sz="0" w:space="0" w:color="auto"/>
            <w:left w:val="none" w:sz="0" w:space="0" w:color="auto"/>
            <w:bottom w:val="none" w:sz="0" w:space="0" w:color="auto"/>
            <w:right w:val="none" w:sz="0" w:space="0" w:color="auto"/>
          </w:divBdr>
        </w:div>
        <w:div w:id="1016536269">
          <w:marLeft w:val="0"/>
          <w:marRight w:val="0"/>
          <w:marTop w:val="0"/>
          <w:marBottom w:val="0"/>
          <w:divBdr>
            <w:top w:val="none" w:sz="0" w:space="0" w:color="auto"/>
            <w:left w:val="none" w:sz="0" w:space="0" w:color="auto"/>
            <w:bottom w:val="none" w:sz="0" w:space="0" w:color="auto"/>
            <w:right w:val="none" w:sz="0" w:space="0" w:color="auto"/>
          </w:divBdr>
        </w:div>
        <w:div w:id="1170751756">
          <w:marLeft w:val="0"/>
          <w:marRight w:val="0"/>
          <w:marTop w:val="0"/>
          <w:marBottom w:val="0"/>
          <w:divBdr>
            <w:top w:val="none" w:sz="0" w:space="0" w:color="auto"/>
            <w:left w:val="none" w:sz="0" w:space="0" w:color="auto"/>
            <w:bottom w:val="none" w:sz="0" w:space="0" w:color="auto"/>
            <w:right w:val="none" w:sz="0" w:space="0" w:color="auto"/>
          </w:divBdr>
        </w:div>
        <w:div w:id="1181628543">
          <w:marLeft w:val="0"/>
          <w:marRight w:val="0"/>
          <w:marTop w:val="0"/>
          <w:marBottom w:val="0"/>
          <w:divBdr>
            <w:top w:val="none" w:sz="0" w:space="0" w:color="auto"/>
            <w:left w:val="none" w:sz="0" w:space="0" w:color="auto"/>
            <w:bottom w:val="none" w:sz="0" w:space="0" w:color="auto"/>
            <w:right w:val="none" w:sz="0" w:space="0" w:color="auto"/>
          </w:divBdr>
        </w:div>
        <w:div w:id="1237745325">
          <w:marLeft w:val="0"/>
          <w:marRight w:val="0"/>
          <w:marTop w:val="0"/>
          <w:marBottom w:val="0"/>
          <w:divBdr>
            <w:top w:val="none" w:sz="0" w:space="0" w:color="auto"/>
            <w:left w:val="none" w:sz="0" w:space="0" w:color="auto"/>
            <w:bottom w:val="none" w:sz="0" w:space="0" w:color="auto"/>
            <w:right w:val="none" w:sz="0" w:space="0" w:color="auto"/>
          </w:divBdr>
        </w:div>
        <w:div w:id="1319577127">
          <w:marLeft w:val="0"/>
          <w:marRight w:val="0"/>
          <w:marTop w:val="0"/>
          <w:marBottom w:val="0"/>
          <w:divBdr>
            <w:top w:val="none" w:sz="0" w:space="0" w:color="auto"/>
            <w:left w:val="none" w:sz="0" w:space="0" w:color="auto"/>
            <w:bottom w:val="none" w:sz="0" w:space="0" w:color="auto"/>
            <w:right w:val="none" w:sz="0" w:space="0" w:color="auto"/>
          </w:divBdr>
        </w:div>
        <w:div w:id="1422675522">
          <w:marLeft w:val="0"/>
          <w:marRight w:val="0"/>
          <w:marTop w:val="0"/>
          <w:marBottom w:val="0"/>
          <w:divBdr>
            <w:top w:val="none" w:sz="0" w:space="0" w:color="auto"/>
            <w:left w:val="none" w:sz="0" w:space="0" w:color="auto"/>
            <w:bottom w:val="none" w:sz="0" w:space="0" w:color="auto"/>
            <w:right w:val="none" w:sz="0" w:space="0" w:color="auto"/>
          </w:divBdr>
        </w:div>
        <w:div w:id="1511720131">
          <w:marLeft w:val="0"/>
          <w:marRight w:val="0"/>
          <w:marTop w:val="0"/>
          <w:marBottom w:val="0"/>
          <w:divBdr>
            <w:top w:val="none" w:sz="0" w:space="0" w:color="auto"/>
            <w:left w:val="none" w:sz="0" w:space="0" w:color="auto"/>
            <w:bottom w:val="none" w:sz="0" w:space="0" w:color="auto"/>
            <w:right w:val="none" w:sz="0" w:space="0" w:color="auto"/>
          </w:divBdr>
        </w:div>
        <w:div w:id="1726027695">
          <w:marLeft w:val="0"/>
          <w:marRight w:val="0"/>
          <w:marTop w:val="0"/>
          <w:marBottom w:val="0"/>
          <w:divBdr>
            <w:top w:val="none" w:sz="0" w:space="0" w:color="auto"/>
            <w:left w:val="none" w:sz="0" w:space="0" w:color="auto"/>
            <w:bottom w:val="none" w:sz="0" w:space="0" w:color="auto"/>
            <w:right w:val="none" w:sz="0" w:space="0" w:color="auto"/>
          </w:divBdr>
        </w:div>
        <w:div w:id="2110930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usbanking.org.au/resource/accessibility-and-inclusion-principles-for-banking-services/" TargetMode="External"/><Relationship Id="rId299" Type="http://schemas.openxmlformats.org/officeDocument/2006/relationships/hyperlink" Target="https://en.spi-online.org/files/ressources/Dimension%206/745%20ANALYZE%20INTERNAL%20FACTORS%20TO%20INFORM%20YOUR%20GROWTH%20POLICY.pdf" TargetMode="External"/><Relationship Id="rId21" Type="http://schemas.openxmlformats.org/officeDocument/2006/relationships/hyperlink" Target="https://en.spi-online.org/files/ressources/Dimension%201/4%20Strategic%20Planning%20Guidance%20Note%20from%20Imp-Act-MSC.pdf" TargetMode="External"/><Relationship Id="rId63" Type="http://schemas.openxmlformats.org/officeDocument/2006/relationships/hyperlink" Target="https://en.spi-online.org/files/ressources/Dimension%201/514%20Demonstrating%20the%20Impact%20of%20Client-Centric%20Microfinance--Impact%20Report%202020%20BRAC%20Microfinance.pdf" TargetMode="External"/><Relationship Id="rId159" Type="http://schemas.openxmlformats.org/officeDocument/2006/relationships/hyperlink" Target="https://www.adb.org/sites/default/files/page/813191/05-accessibility-audit-toolkit-existing-bank-branches-premises.pdf" TargetMode="External"/><Relationship Id="rId324" Type="http://schemas.openxmlformats.org/officeDocument/2006/relationships/hyperlink" Target="https://www.youtube.com/watch?v=1V6IUvo0yq8" TargetMode="External"/><Relationship Id="rId170" Type="http://schemas.openxmlformats.org/officeDocument/2006/relationships/hyperlink" Target="https://spi-online.org/files/ressources/Dimension%203/724%20Microfund%20for%20Women%20%28Jordan%29%20Insurance%20Products.pdf" TargetMode="External"/><Relationship Id="rId226" Type="http://schemas.openxmlformats.org/officeDocument/2006/relationships/hyperlink" Target="https://spi-online.org/files/ressources/Dimension%204/684%20SKS%20%28INDIA%29%20PROTECTS%20CLIENT%20DATA.pdf" TargetMode="External"/><Relationship Id="rId268" Type="http://schemas.openxmlformats.org/officeDocument/2006/relationships/hyperlink" Target="https://spi-online.org/files/ressources/Dimension%205/601%20EXAMPLES%20OF%20EMPLOYEE%20POSITIONS%20AND%20RELATED%20SPM%20DUTIES.pdf" TargetMode="External"/><Relationship Id="rId32" Type="http://schemas.openxmlformats.org/officeDocument/2006/relationships/hyperlink" Target="https://en.spi-online.org/files/ressources/Dimension%201/622%20CRITERIA%20FOR%20OUTCOMES%20INDICATORS.pdf" TargetMode="External"/><Relationship Id="rId74" Type="http://schemas.openxmlformats.org/officeDocument/2006/relationships/hyperlink" Target="https://en.spi-online.org/files/ressources/Dimension%202/589%20Suggested%20talking%20points%20on%20the%20benefits%20of%20SPM.pdf" TargetMode="External"/><Relationship Id="rId128" Type="http://schemas.openxmlformats.org/officeDocument/2006/relationships/hyperlink" Target="https://en.spi-online.org/files/ressources/Dimension%203/704%20UJJIVAN%20COLLECTS%20SATISFACTION%20DATA%20FACE-TO-FACE.pdf" TargetMode="External"/><Relationship Id="rId335" Type="http://schemas.openxmlformats.org/officeDocument/2006/relationships/fontTable" Target="fontTable.xml"/><Relationship Id="rId5" Type="http://schemas.openxmlformats.org/officeDocument/2006/relationships/webSettings" Target="webSettings.xml"/><Relationship Id="rId181" Type="http://schemas.openxmlformats.org/officeDocument/2006/relationships/hyperlink" Target="https://www.findevgateway.org/paper/2023/03/finance-all-practical-guide-disability-inclusion-financial-services-providers" TargetMode="External"/><Relationship Id="rId237" Type="http://schemas.openxmlformats.org/officeDocument/2006/relationships/hyperlink" Target="https://spi-online.org/files/ressources/Dimension%205/592%20FUNDESER%20STRENGTHENS%20HR%20POLICIES.pdf" TargetMode="External"/><Relationship Id="rId279" Type="http://schemas.openxmlformats.org/officeDocument/2006/relationships/hyperlink" Target="https://en.spi-online.org/files/ressources/Dimension%205/606%20GUIDANCE%20FOR%20DISAGGREGATED%20EMPLOYEE%20SATISFACTION%20SURVEY%20AND%20RESULTS-SHARING.pdf" TargetMode="External"/><Relationship Id="rId43" Type="http://schemas.openxmlformats.org/officeDocument/2006/relationships/hyperlink" Target="https://en.spi-online.org/files/ressources/Dimension%201/650%20Outcomes%20Plenary%20Session%20Notes%20Exploring%20the%20connection%20between%20SEPM%20and%20client%20outcomes.pdf" TargetMode="External"/><Relationship Id="rId139" Type="http://schemas.openxmlformats.org/officeDocument/2006/relationships/hyperlink" Target="https://spi-online.org/files/ressources/Dimension%203/708%20Caso%20de%20toma%20de%20decisiones%20impulsada%20por%20los%20datos%20del%20COVID-19%20en%20Per%C3%BA%20COOPAC%20MF%20Prisma.pdf" TargetMode="External"/><Relationship Id="rId290" Type="http://schemas.openxmlformats.org/officeDocument/2006/relationships/hyperlink" Target="https://www.adb.org/sites/default/files/page/813191/03-guide-disability-inclusion-training.pdf" TargetMode="External"/><Relationship Id="rId304" Type="http://schemas.openxmlformats.org/officeDocument/2006/relationships/hyperlink" Target="https://spi-online.org/files/ressources/Dimension%205/662%20Guidelines%20for%20Case%20Load%20Limits.pdf" TargetMode="External"/><Relationship Id="rId85" Type="http://schemas.openxmlformats.org/officeDocument/2006/relationships/hyperlink" Target="https://en.spi-online.org/files/ressources/Dimension%202/630%20KHUSHHALI%20BANK%20MICROFINANCE%20LTD%20%28PAKISTAN%29%20PROVIDES%20BOARD%20WITH%20SPM%20ORIENTATION%20AND%20TOR.pdf" TargetMode="External"/><Relationship Id="rId150" Type="http://schemas.openxmlformats.org/officeDocument/2006/relationships/hyperlink" Target="https://spi-online.org/files/ressources/Dimension%203/709%20KOMIDA%20USES%20DATA-DRIVEN%20PRODUCT%20DESIGN.pdf" TargetMode="External"/><Relationship Id="rId192" Type="http://schemas.openxmlformats.org/officeDocument/2006/relationships/hyperlink" Target="https://sptf.info/images/RC_4a_Smart_Group_Lending_Version_2.0_clean_May2021.pdf" TargetMode="External"/><Relationship Id="rId206" Type="http://schemas.openxmlformats.org/officeDocument/2006/relationships/hyperlink" Target="https://spi-online.org/files/ressources/Dimension%204/272%20Better%20Designed%20Disclosure%20Simplified%20Key%20Fact%20Sheets%20from%20Peru%20and%20Mexico.pdf" TargetMode="External"/><Relationship Id="rId248" Type="http://schemas.openxmlformats.org/officeDocument/2006/relationships/hyperlink" Target="https://www.ifc.org/en/insights-reports/2022/practices-to-advance-the-economic-inclusion-of-persons-with-disabilities" TargetMode="External"/><Relationship Id="rId12" Type="http://schemas.openxmlformats.org/officeDocument/2006/relationships/hyperlink" Target="https://en.spi-online.org/tools" TargetMode="External"/><Relationship Id="rId108" Type="http://schemas.openxmlformats.org/officeDocument/2006/relationships/hyperlink" Target="https://en.spi-online.org/ressources/lecteur/spm-essentials-webinar-2" TargetMode="External"/><Relationship Id="rId315" Type="http://schemas.openxmlformats.org/officeDocument/2006/relationships/hyperlink" Target="https://en.spi-online.org/files/ressources/Dimension%207/573%20First%20Microfinance%20Bank%20Pakistan%20Climate%20Risk%20Management%20Framework.pdf" TargetMode="External"/><Relationship Id="rId54" Type="http://schemas.openxmlformats.org/officeDocument/2006/relationships/hyperlink" Target="https://en.spi-online.org/files/ressources/Dimension%201/23%2060%20Decibels%20Remote%20Survey%20Toolkit.pdf" TargetMode="External"/><Relationship Id="rId96" Type="http://schemas.openxmlformats.org/officeDocument/2006/relationships/hyperlink" Target="https://spi-online.org/files/ressources/Dimension%202/665%20MICROLOAN%20FOUNDATION%20RESPONDS%20TO%20MISSED%20OUTREACH%20TARGETS%20BY%20REDUCING%20BARRIERS.pdf" TargetMode="External"/><Relationship Id="rId161" Type="http://schemas.openxmlformats.org/officeDocument/2006/relationships/hyperlink" Target="https://www.w3.org/WAI/standards-guidelines/wcag/" TargetMode="External"/><Relationship Id="rId217" Type="http://schemas.openxmlformats.org/officeDocument/2006/relationships/hyperlink" Target="https://en.spi-online.org/files/ressources/Dimension%204/911%20Capacitaci%C3%B3n%20sobre%20Derechos%20y%20Responsabilidades%20del%20cliente.pdf" TargetMode="External"/><Relationship Id="rId259" Type="http://schemas.openxmlformats.org/officeDocument/2006/relationships/hyperlink" Target="https://osha.europa.eu/sites/default/files/EN-Factsheets_53_-_Ensuring_the_health_and_safety_of_workers_with_disabilities.pdf" TargetMode="External"/><Relationship Id="rId23" Type="http://schemas.openxmlformats.org/officeDocument/2006/relationships/hyperlink" Target="https://drive.google.com/file/d/1llGcRBQXItm5MyltWfy56LsFj5-0iVdA/view?usp=drive_link" TargetMode="External"/><Relationship Id="rId119" Type="http://schemas.openxmlformats.org/officeDocument/2006/relationships/hyperlink" Target="https://spi-online.org/ressources/lecteur/spm-essentials-webinar-1" TargetMode="External"/><Relationship Id="rId270" Type="http://schemas.openxmlformats.org/officeDocument/2006/relationships/hyperlink" Target="https://en.spi-online.org/files/ressources/Dimension%205/602%20FINCA%20PERU%20GRIEVANCE%20MECHANISM.pdf" TargetMode="External"/><Relationship Id="rId326" Type="http://schemas.openxmlformats.org/officeDocument/2006/relationships/hyperlink" Target="https://en.spi-online.org/files/ressources/Dimension%207/566%20Assilassim%C3%A9%20Togo%20Environmental%20Performance%20Management%20in%20Practice%20%231.pdf" TargetMode="External"/><Relationship Id="rId65" Type="http://schemas.openxmlformats.org/officeDocument/2006/relationships/hyperlink" Target="https://opportunity.org.au/content/2019/5%20News%20and%20Stories/Blog/2025%20Blog%20Images/Using%20the%20WGSS%20in%20Inclusive%20Finance%20Cheat%20Sheet%20FINAL%20VERSION.pdf" TargetMode="External"/><Relationship Id="rId130" Type="http://schemas.openxmlformats.org/officeDocument/2006/relationships/hyperlink" Target="https://en.spi-online.org/files/ressources/Dimension%203/706%20SELECTING%20A%20SAMPLE%20SIZE.pdf" TargetMode="External"/><Relationship Id="rId172" Type="http://schemas.openxmlformats.org/officeDocument/2006/relationships/hyperlink" Target="https://spi-online.org/files/ressources/Dimension%203/140%20Microfund%20for%20Women's%20Caregiver%20Experience%20Lessons%20from%20Jordan%20on%20Health%20Microinsurance.pdf" TargetMode="External"/><Relationship Id="rId228" Type="http://schemas.openxmlformats.org/officeDocument/2006/relationships/hyperlink" Target="https://www.adb.org/sites/default/files/page/813191/04-implementing-inclusive-design-principles-banking-organizations.pdf" TargetMode="External"/><Relationship Id="rId281" Type="http://schemas.openxmlformats.org/officeDocument/2006/relationships/hyperlink" Target="https://en.spi-online.org/files/ressources/Dimension%205/913%20Medici%C3%B3n%20del%20Clima%20Laboral%20para%20IMFs.pdf" TargetMode="External"/><Relationship Id="rId34" Type="http://schemas.openxmlformats.org/officeDocument/2006/relationships/hyperlink" Target="https://spi-online.org/ressources?search=mis&amp;_submit=1679091c5a880faf6fb5e6087eb1b2dc&amp;page_e31=2&amp;file=files/ressources/Dimension%201/35%20Building%20MIS%20Capacity%20for%20Social%20Performance%20Reporting.pdf" TargetMode="External"/><Relationship Id="rId76" Type="http://schemas.openxmlformats.org/officeDocument/2006/relationships/hyperlink" Target="https://en.spi-online.org/files/ressources/Dimension%202/589%20Suggested%20talking%20points%20on%20the%20benefits%20of%20SPM.pdf" TargetMode="External"/><Relationship Id="rId141" Type="http://schemas.openxmlformats.org/officeDocument/2006/relationships/hyperlink" Target="https://spi-online.org/files/ressources/Dimension%203/268%20grameenfoundation-RICHES-risk-assessment.pdf" TargetMode="External"/><Relationship Id="rId7" Type="http://schemas.openxmlformats.org/officeDocument/2006/relationships/endnotes" Target="endnotes.xml"/><Relationship Id="rId183" Type="http://schemas.openxmlformats.org/officeDocument/2006/relationships/hyperlink" Target="https://www.bracinternational.org/news/designing-holistic-solutions-for-people-with-disabilities-lessons-from-brac-myanmar/" TargetMode="External"/><Relationship Id="rId239" Type="http://schemas.openxmlformats.org/officeDocument/2006/relationships/hyperlink" Target="https://en.spi-online.org/resources/view/spm-essentials-webinar-5" TargetMode="External"/><Relationship Id="rId250" Type="http://schemas.openxmlformats.org/officeDocument/2006/relationships/hyperlink" Target="https://spi-online.org/ressources?search=Nondiscrimination&amp;_submit=1679091c5a880faf6fb5e6087eb1b2dc&amp;file=files/ressources/Dimension%205/183%20Fundacion%20Paraguaya%20Nondiscrimination%20Policy.pdf" TargetMode="External"/><Relationship Id="rId292" Type="http://schemas.openxmlformats.org/officeDocument/2006/relationships/hyperlink" Target="https://www.hi.org/sn_uploads/MEMO-3_Stereotypes-cognitive-biases-and-discrimination.pdf" TargetMode="External"/><Relationship Id="rId306" Type="http://schemas.openxmlformats.org/officeDocument/2006/relationships/hyperlink" Target="https://www.e-mfp.eu/gicsf-webinars" TargetMode="External"/><Relationship Id="rId24" Type="http://schemas.openxmlformats.org/officeDocument/2006/relationships/hyperlink" Target="https://en.spi-online.org/files/ressources/Dimension%201/6%20Opportunity%20Bank%20Uganda%20s%20Social%20Goals%20-%20Strategic%20Activities%20and%20Indicators.pdf" TargetMode="External"/><Relationship Id="rId45" Type="http://schemas.openxmlformats.org/officeDocument/2006/relationships/hyperlink" Target="https://en.spi-online.org/files/ressources/Dimension%201/651%20Outcomes%20Data%20Collection%20The%20experience%20of%20Cashpor%20Micro%20Credit%20India.pdf" TargetMode="External"/><Relationship Id="rId66" Type="http://schemas.openxmlformats.org/officeDocument/2006/relationships/hyperlink" Target="https://opportunity.org.au/news/blog/2025/08/opportunity-rolls-out-inclusive-finance-and-accessibility-tools" TargetMode="External"/><Relationship Id="rId87" Type="http://schemas.openxmlformats.org/officeDocument/2006/relationships/hyperlink" Target="https://en.spi-online.org/files/ressources/Dimension%202/523%20ASKI%20SOCIAL%20DASHBOARD%20FOR%20BOARD%20REPORTS.xlsx" TargetMode="External"/><Relationship Id="rId110" Type="http://schemas.openxmlformats.org/officeDocument/2006/relationships/hyperlink" Target="https://en.spi-online.org/files/ressources/Dimension%203/697%20Market%20Research%20Techniques%20Table.pdf" TargetMode="External"/><Relationship Id="rId131" Type="http://schemas.openxmlformats.org/officeDocument/2006/relationships/hyperlink" Target="https://en.spi-online.org/files/ressources/Dimension%203/714%20CGAP-Customer-Experience-Workbook.pdf" TargetMode="External"/><Relationship Id="rId327" Type="http://schemas.openxmlformats.org/officeDocument/2006/relationships/hyperlink" Target="https://en.spi-online.org/files/ressources/Dimension%207/567%20Assilassim%C3%A9%20Togo%20Gestion%20de%20performance%20environnementale%20en%20pratique%20%231.pdf" TargetMode="External"/><Relationship Id="rId152" Type="http://schemas.openxmlformats.org/officeDocument/2006/relationships/hyperlink" Target="https://spi-online.org/files/ressources/Dimension%203/712%20ASSOCIATION%20BASE%20FANDIMA%20DEVELOPS%20A%20FLEXIBLE%20GROUP%20LENDING%20METHODOLOGY.pdf" TargetMode="External"/><Relationship Id="rId173" Type="http://schemas.openxmlformats.org/officeDocument/2006/relationships/hyperlink" Target="https://spi-online.org/files/ressources/Dimension%203/138%20Designing%20Financial%20Services%20to%20Respond%20to%20Household%20Shocks.pdf" TargetMode="External"/><Relationship Id="rId194" Type="http://schemas.openxmlformats.org/officeDocument/2006/relationships/hyperlink" Target="https://en.spi-online.org/files/ressources/Dimension%203/877%20SMART%20LENDING%20PROTECCI%C3%93N%20AL%20CLIENTE%20EN%20EL%20PROCESO%20DE%20CR%C3%89DITO%20INDIVIDUAL.pdf" TargetMode="External"/><Relationship Id="rId208" Type="http://schemas.openxmlformats.org/officeDocument/2006/relationships/hyperlink" Target="https://spi-online.org/files/ressources/Dimension%204/717%20Key%20Facts%20Document%20Worksheet%20and%20Example.xlsx" TargetMode="External"/><Relationship Id="rId229" Type="http://schemas.openxmlformats.org/officeDocument/2006/relationships/hyperlink" Target="https://spi-online.org/files/ressources/Dimension%204/736%20SAMPLE%20CONSENT%20FORM%20FOR%20SHARING%20CLIENT%20DATA.pdf" TargetMode="External"/><Relationship Id="rId240" Type="http://schemas.openxmlformats.org/officeDocument/2006/relationships/hyperlink" Target="https://en.spi-online.org/files/ressources/Dimension%205/228%20Total%20Rewards%20Module%20Grameen%20Foundation%20Human%20Capital%20Hub.pdf" TargetMode="External"/><Relationship Id="rId261" Type="http://schemas.openxmlformats.org/officeDocument/2006/relationships/hyperlink" Target="https://spi-online.org/files/ressources/Dimension%205/596%20Health%20and%20Safety%20Guidance%20for%205.A.3.3.1%20and%205.A.3.3.2.pdf" TargetMode="External"/><Relationship Id="rId14" Type="http://schemas.openxmlformats.org/officeDocument/2006/relationships/hyperlink" Target="https://en.spi-online.org/files/ressources/Dimension%201/14%20Outcomes%20Management%20for%20FSPs_%20A%20proposed%20standard%20framework%20aligned%20with%20the%20SDGs_compressed.pdf" TargetMode="External"/><Relationship Id="rId35" Type="http://schemas.openxmlformats.org/officeDocument/2006/relationships/hyperlink" Target="https://en.spi-online.org/files/ressources/Dimension%201/624%20KASHF%20FOUNDATION%20SELECTS%20SOCIAL%20INDICATORS%20FOR%20ITS%20SOCIAL%20DASHBOARD.pdf" TargetMode="External"/><Relationship Id="rId56" Type="http://schemas.openxmlformats.org/officeDocument/2006/relationships/hyperlink" Target="https://en.spi-online.org/files/ressources/Dimension%201/823%2060%20Decibels%20Microfinance%20Index%20Report.pdf" TargetMode="External"/><Relationship Id="rId77" Type="http://schemas.openxmlformats.org/officeDocument/2006/relationships/hyperlink" Target="https://en.spi-online.org/files/ressources/Dimension%202/631%20NWTF%20ORIENTS%20THE%20BOARD%20ON%20SPM.pdf" TargetMode="External"/><Relationship Id="rId100" Type="http://schemas.openxmlformats.org/officeDocument/2006/relationships/hyperlink" Target="https://en.spi-online.org/resources/view/yannick-milev-of-chamroeun-interview-on-governance-and-risk" TargetMode="External"/><Relationship Id="rId282" Type="http://schemas.openxmlformats.org/officeDocument/2006/relationships/hyperlink" Target="https://spi-online.org/ressources/lecteur/spm-essentials-webinar-5" TargetMode="External"/><Relationship Id="rId317" Type="http://schemas.openxmlformats.org/officeDocument/2006/relationships/hyperlink" Target="https://unepmeba.org/wp-content/uploads/2020/02/La-agricultura-andina-frente-al-cambio-clim%C3%A1tico.pdf" TargetMode="External"/><Relationship Id="rId8" Type="http://schemas.openxmlformats.org/officeDocument/2006/relationships/image" Target="media/image1.png"/><Relationship Id="rId98" Type="http://schemas.openxmlformats.org/officeDocument/2006/relationships/hyperlink" Target="https://spi-online.org/files/ressources/Dimension%202/637%20CASHPOR%20IDENTIFIES%20A%20SOCIAL%20AND%20FINANCIAL%20RISK.pdf" TargetMode="External"/><Relationship Id="rId121" Type="http://schemas.openxmlformats.org/officeDocument/2006/relationships/hyperlink" Target="https://spi-online.org/files/ressources/Dimension%203/701%20Insights%20from%20Transactional%20Data.pdf" TargetMode="External"/><Relationship Id="rId142" Type="http://schemas.openxmlformats.org/officeDocument/2006/relationships/hyperlink" Target="https://en.spi-online.org/resources/view/spm-essentials-webinar-8" TargetMode="External"/><Relationship Id="rId163" Type="http://schemas.openxmlformats.org/officeDocument/2006/relationships/hyperlink" Target="https://www.w3.org/WAI/tips/" TargetMode="External"/><Relationship Id="rId184" Type="http://schemas.openxmlformats.org/officeDocument/2006/relationships/hyperlink" Target="https://www.findevgateway.org/paper/2023/03/finance-all-practical-guide-disability-inclusion-financial-services-providers" TargetMode="External"/><Relationship Id="rId219" Type="http://schemas.openxmlformats.org/officeDocument/2006/relationships/hyperlink" Target="https://spi-online.org/files/ressources/Dimension%204/730%20Outline%20for%20a%20Code%20of%20Conduct.pdf" TargetMode="External"/><Relationship Id="rId230" Type="http://schemas.openxmlformats.org/officeDocument/2006/relationships/hyperlink" Target="https://spi-online.org/files/ressources/Dimension%204/738%20HOW%20UNAUTHORIZED%20DATA%20SHARING%20CAN%20HURT%20YOUR%20INSTITUTION.pdf" TargetMode="External"/><Relationship Id="rId251" Type="http://schemas.openxmlformats.org/officeDocument/2006/relationships/hyperlink" Target="https://spi-online.org/files/ressources/Dimension%205/538%20MicroLoan%20Foundation%20Gender-Disaggregated%20Report%20on%20Employees%20by%20Position.pdf" TargetMode="External"/><Relationship Id="rId25" Type="http://schemas.openxmlformats.org/officeDocument/2006/relationships/hyperlink" Target="https://en.spi-online.org/files/ressources/Dimension%201/4%20Strategic%20Planning%20Guidance%20Note%20from%20Imp-Act-MSC.pdf" TargetMode="External"/><Relationship Id="rId46" Type="http://schemas.openxmlformats.org/officeDocument/2006/relationships/hyperlink" Target="https://en.spi-online.org/files/ressources/Dimension%201/627%20MICROLOAN%20FOUNDATION%20%28MALAWI%29%20USES%20A%20DATA%20PROTOCOL.pdf" TargetMode="External"/><Relationship Id="rId67" Type="http://schemas.openxmlformats.org/officeDocument/2006/relationships/hyperlink" Target="https://en.spi-online.org/files/ressources/Dimension%201/10%20Making_the_Case_for_Outcomes_Management_to_Financial_Service_Providers.pdf" TargetMode="External"/><Relationship Id="rId272" Type="http://schemas.openxmlformats.org/officeDocument/2006/relationships/hyperlink" Target="https://en.spi-online.org/files/ressources/Dimension%205/605%20VISIONFUND%20AND%20ESAF%20MONITOR%20EMPLOYEE%20SATISFACTION%20AND%20UNDERSTAND%20REASONS%20FOR%20STAFF%20EXIT.pdf" TargetMode="External"/><Relationship Id="rId293" Type="http://schemas.openxmlformats.org/officeDocument/2006/relationships/hyperlink" Target="https://entelisplus.entelis.net/training-materials/" TargetMode="External"/><Relationship Id="rId307" Type="http://schemas.openxmlformats.org/officeDocument/2006/relationships/hyperlink" Target="https://gicsf-ag.hedera.online/" TargetMode="External"/><Relationship Id="rId328" Type="http://schemas.openxmlformats.org/officeDocument/2006/relationships/hyperlink" Target="https://en.spi-online.org/files/ressources/Dimension%207/568%20Assilassim%C3%A9%20Togo%20Gesti%C3%B3n%20del%20desempe%C3%B1o%20ambiental%20en%20pr%C3%A1ctica%20%231.pdf" TargetMode="External"/><Relationship Id="rId88" Type="http://schemas.openxmlformats.org/officeDocument/2006/relationships/hyperlink" Target="https://en.spi-online.org/files/ressources/Dimension%202/632%20FUNDACION%20GENESIS%20EMPRESARIAL%20REPORTS%20TO%20BOARD%20ON%20SPM%20PROGRESS.pdf" TargetMode="External"/><Relationship Id="rId111" Type="http://schemas.openxmlformats.org/officeDocument/2006/relationships/hyperlink" Target="https://spi-online.org/files/ressources/Dimension%203/697%20Market%20Research%20Techniques%20Table.pdf" TargetMode="External"/><Relationship Id="rId132" Type="http://schemas.openxmlformats.org/officeDocument/2006/relationships/hyperlink" Target="https://en.spi-online.org/files/ressources/Dimension%203/874%20Al%20Majmoua%20Customer%20Satisfaction%20Survey.pdf" TargetMode="External"/><Relationship Id="rId153" Type="http://schemas.openxmlformats.org/officeDocument/2006/relationships/hyperlink" Target="https://spi-online.org/files/ressources/Dimension%203/711%20VISIONFUND%20UGANDA%20REDUCES%20THE%20BARRIERS%20TO%20FINANCIAL%20INCLUSION%20THROUGH%20PRODUCT%20TERM%20CHANGES.pdf" TargetMode="External"/><Relationship Id="rId174" Type="http://schemas.openxmlformats.org/officeDocument/2006/relationships/hyperlink" Target="https://parabank.com.br/" TargetMode="External"/><Relationship Id="rId195" Type="http://schemas.openxmlformats.org/officeDocument/2006/relationships/hyperlink" Target="https://en.spi-online.org/files/ressources/Dimension%204/878%20EVITAR%20EL%20SOBREENDEUDAMIENTO%20DIRECTRICES%20PARA%20LA%20EVALUACI%C3%93N%20FINANCIERA.pdf" TargetMode="External"/><Relationship Id="rId209" Type="http://schemas.openxmlformats.org/officeDocument/2006/relationships/hyperlink" Target="https://www.iddcconsortium.net/blog/librairie/bridging-the-gap-inclusive-and-accessible-communication-guidelines/" TargetMode="External"/><Relationship Id="rId220" Type="http://schemas.openxmlformats.org/officeDocument/2006/relationships/hyperlink" Target="https://spi-online.org/files/ressources/Dimension%204/678%20ASKI%20SANCTIONS%20CODE%20OF%20CONDUCT%20VIOLATIONS.pdf" TargetMode="External"/><Relationship Id="rId241" Type="http://schemas.openxmlformats.org/officeDocument/2006/relationships/hyperlink" Target="https://spi-online.org/files/ressources/Dimension%205/593%20FINCA%20PROTECTS%20STAFF%20WITH%20HR%20POLICIES.pdf" TargetMode="External"/><Relationship Id="rId15" Type="http://schemas.openxmlformats.org/officeDocument/2006/relationships/hyperlink" Target="https://en.spi-online.org/files/ressources/Dimension%201/41%20Fondo%20Esperanza-Using%20Outcomes%20Data%20to%20Drive%20Performance.pdf" TargetMode="External"/><Relationship Id="rId36" Type="http://schemas.openxmlformats.org/officeDocument/2006/relationships/hyperlink" Target="https://en.spi-online.org/files/ressources/Dimension%201/647%20Selection%20of%20Outcomes%20Indicators.pdf" TargetMode="External"/><Relationship Id="rId57" Type="http://schemas.openxmlformats.org/officeDocument/2006/relationships/hyperlink" Target="https://en.spi-online.org/files/ressources/Dimension%201/339%20Satya%20Microcapital%20Financial%20Inclusion%20Impact%20Performance%20Report.pdf" TargetMode="External"/><Relationship Id="rId262" Type="http://schemas.openxmlformats.org/officeDocument/2006/relationships/hyperlink" Target="https://osha.europa.eu/sites/default/files/EN-Factsheets_53_-_Ensuring_the_health_and_safety_of_workers_with_disabilities.pdf" TargetMode="External"/><Relationship Id="rId283" Type="http://schemas.openxmlformats.org/officeDocument/2006/relationships/hyperlink" Target="https://en.spi-online.org/files/ressources/Dimension%205/601%20EXAMPLES%20OF%20EMPLOYEE%20POSITIONS%20AND%20RELATED%20SPM%20DUTIES.pdf" TargetMode="External"/><Relationship Id="rId318" Type="http://schemas.openxmlformats.org/officeDocument/2006/relationships/hyperlink" Target="https://unepmeba.org/wp-content/uploads/2020/07/AGRICULTURA-ESPANOL-WEB.pdf" TargetMode="External"/><Relationship Id="rId78" Type="http://schemas.openxmlformats.org/officeDocument/2006/relationships/hyperlink" Target="https://en.spi-online.org/files/ressources/Dimension%202/630%20KHUSHHALI%20BANK%20MICROFINANCE%20LTD%20%28PAKISTAN%29%20PROVIDES%20BOARD%20WITH%20SPM%20ORIENTATION%20AND%20TOR.pdf" TargetMode="External"/><Relationship Id="rId99" Type="http://schemas.openxmlformats.org/officeDocument/2006/relationships/hyperlink" Target="https://en.spi-online.org/resources/view/spm-essentials-webinar-2" TargetMode="External"/><Relationship Id="rId101" Type="http://schemas.openxmlformats.org/officeDocument/2006/relationships/hyperlink" Target="https://spi-online.org/files/ressources/Dimension%202/640%20SOCIAL%20PERFORMANCE%20RISKS%20TO%20MONITOR.pdf" TargetMode="External"/><Relationship Id="rId122" Type="http://schemas.openxmlformats.org/officeDocument/2006/relationships/hyperlink" Target="https://spi-online.org/files/ressources/Dimension%203/702%20Example%20Exit%20Survey%20Questions.pdf" TargetMode="External"/><Relationship Id="rId143" Type="http://schemas.openxmlformats.org/officeDocument/2006/relationships/hyperlink" Target="https://en.spi-online.org/resources/view/spm-essentials-webinar-3" TargetMode="External"/><Relationship Id="rId164" Type="http://schemas.openxmlformats.org/officeDocument/2006/relationships/hyperlink" Target="https://en.spi-online.org/files/ressources/Dimension%203/721%20FRIENDSHIP%20BRIDGE%20MANAGES%20FOREIGN%20EXCHANGE%20RISK.pdf" TargetMode="External"/><Relationship Id="rId185" Type="http://schemas.openxmlformats.org/officeDocument/2006/relationships/hyperlink" Target="https://grameenfoundation.org/partners/resources/disability-inclusive-entrepreneurship-and-financial-services-assessment" TargetMode="External"/><Relationship Id="rId9" Type="http://schemas.openxmlformats.org/officeDocument/2006/relationships/hyperlink" Target="https://cerise-sptf.org/universal-standards/" TargetMode="External"/><Relationship Id="rId210" Type="http://schemas.openxmlformats.org/officeDocument/2006/relationships/hyperlink" Target="https://digitallibrary.un.org/record/4042358/files/1401388-EN.pdf" TargetMode="External"/><Relationship Id="rId26" Type="http://schemas.openxmlformats.org/officeDocument/2006/relationships/hyperlink" Target="https://en.spi-online.org/files/ressources/Dimension%201/618%20DEFINING%20SOCIAL%20GOALS%2C%20GUIDANCE%20AND%20AN%20EXAMPLE%20FROM%20KOMIDA.pdf" TargetMode="External"/><Relationship Id="rId231" Type="http://schemas.openxmlformats.org/officeDocument/2006/relationships/hyperlink" Target="https://en.spi-online.org/" TargetMode="External"/><Relationship Id="rId252" Type="http://schemas.openxmlformats.org/officeDocument/2006/relationships/hyperlink" Target="https://spi-online.org/ressources?search=gender+pay+gap&amp;_submit=1679091c5a880faf6fb5e6087eb1b2dc&amp;file=files/ressources/Dimension%205/233%20How%20to%20Analyze%20Your%20Gender%20Pay%20Gap%20An%20Employer%E2%80%99s%20Guide.pdf" TargetMode="External"/><Relationship Id="rId273" Type="http://schemas.openxmlformats.org/officeDocument/2006/relationships/hyperlink" Target="https://en.spi-online.org/resources/view/spm-essentials-webinar-5" TargetMode="External"/><Relationship Id="rId294" Type="http://schemas.openxmlformats.org/officeDocument/2006/relationships/hyperlink" Target="https://alison.com/course/disability-inclusion-in-the-workplace?utm_source=google&amp;utm_medium=cpc&amp;utm_campaign=Demand-Gen_Cambodia&amp;gad_source=1&amp;gad_campaignid=23267770296&amp;gbraid=0AAAAADt7cD3l74Y2drpen4GhlYuabMD57&amp;gclid=Cj0KCQiA6sjKBhCSARIsAJvYcpMrmUQx2p1mboVCeLBFdYmozSmQlFVpmVYnXCgKvQDz2CAsA1iN_NMaAlfOEALw_wcB" TargetMode="External"/><Relationship Id="rId308" Type="http://schemas.openxmlformats.org/officeDocument/2006/relationships/hyperlink" Target="https://en.spi-online.org/files/ressources/Dimension%207/280%20European%20Dialogue%20-%205th%20European%20Microfinance%20Award%20-%20Microfinance%20and%20the%20Environment.pdf" TargetMode="External"/><Relationship Id="rId329" Type="http://schemas.openxmlformats.org/officeDocument/2006/relationships/hyperlink" Target="https://en.spi-online.org/files/ressources/Dimension%207/591%20THE%20EXPERIENCE%20OF%20CAMIDE-PASECAS%20-%20THE%20ALINIHA%20PROGRAM.pdf" TargetMode="External"/><Relationship Id="rId47" Type="http://schemas.openxmlformats.org/officeDocument/2006/relationships/hyperlink" Target="https://opendocs.ids.ac.uk/articles/online_resource/Practical_Guides_for_Participatory_Methods_Disability_Inclusive_Research/26430196?file=48214876" TargetMode="External"/><Relationship Id="rId68" Type="http://schemas.openxmlformats.org/officeDocument/2006/relationships/hyperlink" Target="https://en.spi-online.org/files/ressources/Dimension%201/628%20FRIENDSHIP%20BRIDGE%20%28GUATEMALA%29%20CLIENT%20SEGMENTATION%20BY%20POVERTY%20PROFILE.pdf" TargetMode="External"/><Relationship Id="rId89" Type="http://schemas.openxmlformats.org/officeDocument/2006/relationships/hyperlink" Target="https://en.spi-online.org/files/ressources/Dimension%202/633%20IDEPRO%20%28BOLIVIA%29%20TAKES%20CORRECTIVE%20ACTION%20AND%20LAUNCHES%20PRO-CADENAS.pdf" TargetMode="External"/><Relationship Id="rId112" Type="http://schemas.openxmlformats.org/officeDocument/2006/relationships/hyperlink" Target="https://spi-online.org/files/ressources/Dimension%203/697%20Market%20Research%20Techniques%20Table.pdf" TargetMode="External"/><Relationship Id="rId133" Type="http://schemas.openxmlformats.org/officeDocument/2006/relationships/hyperlink" Target="https://en.spi-online.org/files/ressources/Dimension%203/875%20Al%20Majmoua%20Exit%20Survey.pdf" TargetMode="External"/><Relationship Id="rId154" Type="http://schemas.openxmlformats.org/officeDocument/2006/relationships/hyperlink" Target="https://spi-online.org/files/ressources/Dimension%203/712%20ASSOCIATION%20BASE%20FANDIMA%20DEVELOPS%20A%20FLEXIBLE%20GROUP%20LENDING%20METHODOLOGY.pdf" TargetMode="External"/><Relationship Id="rId175" Type="http://schemas.openxmlformats.org/officeDocument/2006/relationships/hyperlink" Target="https://parabank.com.br/" TargetMode="External"/><Relationship Id="rId196" Type="http://schemas.openxmlformats.org/officeDocument/2006/relationships/hyperlink" Target="https://sptf.info/images/nwtf_income_generating_and_survival_skills.docx" TargetMode="External"/><Relationship Id="rId200" Type="http://schemas.openxmlformats.org/officeDocument/2006/relationships/hyperlink" Target="https://en.spi-online.org/files/ressources/Dimension%204/165%20MFO%20Crystal%20Loan%20Agreement%20for%20Small%20Business%20Clients.pdf" TargetMode="External"/><Relationship Id="rId16" Type="http://schemas.openxmlformats.org/officeDocument/2006/relationships/hyperlink" Target="https://en.spi-online.org/files/ressources/Dimension%201/17%20Case%20study%20of%20KOMIDA--A%20Journey%20to%20Implement%20the%20USSPM.pdf" TargetMode="External"/><Relationship Id="rId221" Type="http://schemas.openxmlformats.org/officeDocument/2006/relationships/hyperlink" Target="https://spi-online.org/files/ressources/Dimension%204/679%20EXAMPLES%20OF%20DISCRIMINATORY%20POLICIES%20AND%20STAFF%20BEHAVIORS.pdf" TargetMode="External"/><Relationship Id="rId242" Type="http://schemas.openxmlformats.org/officeDocument/2006/relationships/hyperlink" Target="https://en.spi-online.org/files/ressources/Dimension%205/597%20GUIDANCE%20FOR%20USSEPM-ALIGNED%20HR%20POLICIES.pdf" TargetMode="External"/><Relationship Id="rId263" Type="http://schemas.openxmlformats.org/officeDocument/2006/relationships/hyperlink" Target="https://en.spi-online.org/files/ressources/Dimension%205/601%20EXAMPLES%20OF%20EMPLOYEE%20POSITIONS%20AND%20RELATED%20SPM%20DUTIES.pdf" TargetMode="External"/><Relationship Id="rId284" Type="http://schemas.openxmlformats.org/officeDocument/2006/relationships/hyperlink" Target="https://spi-online.org/files/ressources/Dimension%205/607%20VISIONFUND%20INTERNATIONAL%20RECRUITS%20LOCAL%20LOAN%20OFFICERS%20USING%20OUTREACH%20EVENTS.pdf" TargetMode="External"/><Relationship Id="rId319" Type="http://schemas.openxmlformats.org/officeDocument/2006/relationships/hyperlink" Target="https://en.spi-online.org/files/ressources/Dimension%207/572%20Environmental%20and%20Social%20Management%20%28ESM%29%20Procedure.pdf" TargetMode="External"/><Relationship Id="rId37" Type="http://schemas.openxmlformats.org/officeDocument/2006/relationships/hyperlink" Target="https://en.spi-online.org/files/ressources/Dimension%201/41%20Fondo%20Esperanza-Using%20Outcomes%20Data%20to%20Drive%20Performance.pdf" TargetMode="External"/><Relationship Id="rId58" Type="http://schemas.openxmlformats.org/officeDocument/2006/relationships/hyperlink" Target="https://en.spi-online.org/files/ressources/Dimension%201/649%20Outcomes%20Plenary%20Presentation%20Exploring%20the%20connection%20between%20SEPM%20and%20client%20outcomes_compressed.pdf" TargetMode="External"/><Relationship Id="rId79" Type="http://schemas.openxmlformats.org/officeDocument/2006/relationships/hyperlink" Target="https://en.spi-online.org/files/ressources/Dimension%202/629%20SE%CC%80VIS%20FINANSYE%20FONKOZE%20SPM%20COMMITTEE%20CHARTER.pdf" TargetMode="External"/><Relationship Id="rId102" Type="http://schemas.openxmlformats.org/officeDocument/2006/relationships/hyperlink" Target="https://spi-online.org/files/ressources/Dimension%202/638%20CRECER%20%28BOLIVIA%29%20ADDRESSES%20QUALITY%20IN%20RESPONSE%20TO%20LACK%20OF%20IMPACT.pdf" TargetMode="External"/><Relationship Id="rId123" Type="http://schemas.openxmlformats.org/officeDocument/2006/relationships/hyperlink" Target="https://spi-online.org/files/ressources/Dimension%203/703%20Using%20Exit%20Data%20to%20Inform%20Product%20Design%20and%20Improve%20Operations.pdf" TargetMode="External"/><Relationship Id="rId144" Type="http://schemas.openxmlformats.org/officeDocument/2006/relationships/hyperlink" Target="https://en.spi-online.org/files/ressources/Dimension%203/552%20Understanding%20and%20Measuring%20Women's%20Economic%20Empowerment.pdf" TargetMode="External"/><Relationship Id="rId330" Type="http://schemas.openxmlformats.org/officeDocument/2006/relationships/hyperlink" Target="https://www.youtube.com/watch?v=Mes2EMFWMpc&amp;t=2s" TargetMode="External"/><Relationship Id="rId90" Type="http://schemas.openxmlformats.org/officeDocument/2006/relationships/hyperlink" Target="https://en.spi-online.org/files/ressources/Dimension%202/69%20Kashf%20Foundation%20SPM%20Dashboard.pdf" TargetMode="External"/><Relationship Id="rId165" Type="http://schemas.openxmlformats.org/officeDocument/2006/relationships/hyperlink" Target="https://firstforsustainability.org/understanding-es-risks" TargetMode="External"/><Relationship Id="rId186" Type="http://schemas.openxmlformats.org/officeDocument/2006/relationships/hyperlink" Target="https://spi-online.org/files/ressources/Dimension%203/709%20KOMIDA%20USES%20DATA-DRIVEN%20PRODUCT%20DESIGN.pdf" TargetMode="External"/><Relationship Id="rId211" Type="http://schemas.openxmlformats.org/officeDocument/2006/relationships/hyperlink" Target="https://www.licht-fuer-die-welt.at/app/uploads/sites/8/2025/12/resource_book_disability_inclusion.pdf" TargetMode="External"/><Relationship Id="rId232" Type="http://schemas.openxmlformats.org/officeDocument/2006/relationships/hyperlink" Target="https://en.spi-online.org/" TargetMode="External"/><Relationship Id="rId253" Type="http://schemas.openxmlformats.org/officeDocument/2006/relationships/hyperlink" Target="https://www.ccohs.ca/topics/hazards/" TargetMode="External"/><Relationship Id="rId274" Type="http://schemas.openxmlformats.org/officeDocument/2006/relationships/hyperlink" Target="https://en.spi-online.org/files/ressources/Dimension%205/828%20ENCUESTA%20CONFIDENCIAL%20SOBRE%20SATISFACCI%C3%93N%20Y%20COMPROMISO%20LABORAL%20PROMUJER.PDF" TargetMode="External"/><Relationship Id="rId295" Type="http://schemas.openxmlformats.org/officeDocument/2006/relationships/hyperlink" Target="https://spi-online.org/files/ressources/Dimension%205/661%20SKS%20AND%20EQUITAS%20PROTECT%20CLIENT%20DATA.pdf" TargetMode="External"/><Relationship Id="rId309" Type="http://schemas.openxmlformats.org/officeDocument/2006/relationships/hyperlink" Target="https://en.spi-online.org/files/ressources/Dimension%207/288%20Adapting%20to%20a%20New%20Normal%20-%20Strengthening%20Resilience%20to%20Climate%20Change%20Best%20Practices%20from%20the%20European%20Microfinance%20Award%202019_compressed.pdf" TargetMode="External"/><Relationship Id="rId27" Type="http://schemas.openxmlformats.org/officeDocument/2006/relationships/hyperlink" Target="https://grameenfoundation.org/riches/riches-toolkit" TargetMode="External"/><Relationship Id="rId48" Type="http://schemas.openxmlformats.org/officeDocument/2006/relationships/hyperlink" Target="https://opportunity.org.au/content/2019/5%20News%20and%20Stories/Blog/2025%20Blog%20Images/Using%20the%20WGSS%20in%20Inclusive%20Finance%20Cheat%20Sheet%20FINAL%20VERSION.pdf" TargetMode="External"/><Relationship Id="rId69" Type="http://schemas.openxmlformats.org/officeDocument/2006/relationships/hyperlink" Target="https://en.spi-online.org/ressources/lecteur/spm-essentials-webinar-1" TargetMode="External"/><Relationship Id="rId113" Type="http://schemas.openxmlformats.org/officeDocument/2006/relationships/hyperlink" Target="https://spi-online.org/files/ressources/Dimension%203/695%20Microfund%20for%20Women%20Uses%20Mixed%20Research%20Methods%20to%20Evaluate%20Microinsurance%20Product.pdf" TargetMode="External"/><Relationship Id="rId134" Type="http://schemas.openxmlformats.org/officeDocument/2006/relationships/hyperlink" Target="https://en.spi-online.org/files/ressources/Dimension%203/867%20ENCUESTA%20DE%20SATISFACCI%C3%93N%20DE%20LAS%20SOCIAS%20DE%20PRO%20MUJER%20ARGENTINA.pdf" TargetMode="External"/><Relationship Id="rId320" Type="http://schemas.openxmlformats.org/officeDocument/2006/relationships/hyperlink" Target="https://en.spi-online.org/files/ressources/Dimension%207/573%20First%20Microfinance%20Bank%20Pakistan%20Climate%20Risk%20Management%20Framework.pdf" TargetMode="External"/><Relationship Id="rId80" Type="http://schemas.openxmlformats.org/officeDocument/2006/relationships/hyperlink" Target="https://www.centerforfinancialinclusion.org/framework-for-persons-with-disabilities" TargetMode="External"/><Relationship Id="rId155" Type="http://schemas.openxmlformats.org/officeDocument/2006/relationships/hyperlink" Target="https://spi-online.org/files/ressources/Dimension%203/713%20GENESIS%20LOCATES%20POINT%20OF%20SALE%20DEVICES%20IN%20CLIENT%20BUSINESSES.pdf" TargetMode="External"/><Relationship Id="rId176" Type="http://schemas.openxmlformats.org/officeDocument/2006/relationships/hyperlink" Target="https://www.adb.org/sites/default/files/page/813191/04-implementing-inclusive-design-principles-banking-organizations.pdf" TargetMode="External"/><Relationship Id="rId197" Type="http://schemas.openxmlformats.org/officeDocument/2006/relationships/hyperlink" Target="https://sptf.info/images/RC_4a_Smart_Lending_Client_Protection_in_the_Group_Lending_Process_May2021.pdf" TargetMode="External"/><Relationship Id="rId201" Type="http://schemas.openxmlformats.org/officeDocument/2006/relationships/hyperlink" Target="https://en.spi-online.org/files/ressources/Dimension%204/910%20Contrato%20de%20Pr%C3%A9stamo%20para%20los%20clientes%20de%20negocio--JSC%20MFO%20Crystal%2C%20Georgia.pdf" TargetMode="External"/><Relationship Id="rId222" Type="http://schemas.openxmlformats.org/officeDocument/2006/relationships/hyperlink" Target="https://spi-online.org/files/ressources/Dimension%204/680%20TUJIJENGE%20DISPLAYS%20A%20CUSTOMER%20SERVICE%20CHARTER.pdf" TargetMode="External"/><Relationship Id="rId243" Type="http://schemas.openxmlformats.org/officeDocument/2006/relationships/hyperlink" Target="https://en.spi-online.org/files/ressources/Dimension%205/549%20MicroLoan%20Foundation%20Whistleblower%20Policy.pdf" TargetMode="External"/><Relationship Id="rId264" Type="http://schemas.openxmlformats.org/officeDocument/2006/relationships/hyperlink" Target="https://en.spi-online.org/files/ressources/Dimension%205/89%20Grameen%20Foundation's%20Recruitment%20and%20Selection%20Toolkit.pdf" TargetMode="External"/><Relationship Id="rId285" Type="http://schemas.openxmlformats.org/officeDocument/2006/relationships/hyperlink" Target="https://en.spi-online.org/files/ressources/Dimension%205/610%20SAMPLE%20LOAN%20OFFICER%20SPM%20EVALUATION%20CRITERIA%20TABLE.pdf" TargetMode="External"/><Relationship Id="rId17" Type="http://schemas.openxmlformats.org/officeDocument/2006/relationships/hyperlink" Target="https://en.spi-online.org/files/ressources/Dimension%201/641%20Genesis%20Empresarial%20Implements%20Client%20Outcomes%20Management%20by%20Client%20Segment.pdf" TargetMode="External"/><Relationship Id="rId38" Type="http://schemas.openxmlformats.org/officeDocument/2006/relationships/hyperlink" Target="https://en.spi-online.org/files/ressources/Dimension%201/852%20Fondo%20Esperanza%20C%C3%B3mo%20usar%20los%20datos%20de%20resultados%20de%20los%20clientes.pdf" TargetMode="External"/><Relationship Id="rId59" Type="http://schemas.openxmlformats.org/officeDocument/2006/relationships/hyperlink" Target="https://en.spi-online.org/files/ressources/Dimension%201/650%20Outcomes%20Plenary%20Session%20Notes%20Exploring%20the%20connection%20between%20SEPM%20and%20client%20outcomes.pdf" TargetMode="External"/><Relationship Id="rId103" Type="http://schemas.openxmlformats.org/officeDocument/2006/relationships/hyperlink" Target="https://spi-online.org/files/ressources/Dimension%202/637%20CASHPOR%20IDENTIFIES%20A%20SOCIAL%20AND%20FINANCIAL%20RISK.pdf" TargetMode="External"/><Relationship Id="rId124" Type="http://schemas.openxmlformats.org/officeDocument/2006/relationships/hyperlink" Target="https://spi-online.org/files/ressources/Dimension%203/704%20UJJIVAN%20COLLECTS%20SATISFACTION%20DATA%20FACE-TO-FACE.pdf" TargetMode="External"/><Relationship Id="rId310" Type="http://schemas.openxmlformats.org/officeDocument/2006/relationships/hyperlink" Target="https://en.spi-online.org/files/ressources/Dimension%207/527%20ACLEDA-ENVIRONMENTAL%20AND%20SOCIAL%20SUSTAINABILITY%20REPORT.pdf" TargetMode="External"/><Relationship Id="rId70" Type="http://schemas.openxmlformats.org/officeDocument/2006/relationships/hyperlink" Target="https://en.spi-online.org/files/ressources/Dimension%201/46%20Friendship%20Bridge%20Client%20Outcomes%20Report.pdf" TargetMode="External"/><Relationship Id="rId91" Type="http://schemas.openxmlformats.org/officeDocument/2006/relationships/hyperlink" Target="https://spi-online.org/files/ressources/Dimension%202/634%20KHUSHHALI%20BANK%20REPORTS%20USING%20A%20SOCIAL%20DASHBOARD.pdf" TargetMode="External"/><Relationship Id="rId145" Type="http://schemas.openxmlformats.org/officeDocument/2006/relationships/hyperlink" Target="https://spi-online.org/files/ressources/Dimension%203/709%20KOMIDA%20USES%20DATA-DRIVEN%20PRODUCT%20DESIGN.pdf" TargetMode="External"/><Relationship Id="rId166" Type="http://schemas.openxmlformats.org/officeDocument/2006/relationships/hyperlink" Target="https://en.spi-online.org/files/ressources/Dimension%203/722%20INSURANCE%20DATA%20TO%20ASSESS%20PRODUCT%20VALUE.pdf" TargetMode="External"/><Relationship Id="rId187" Type="http://schemas.openxmlformats.org/officeDocument/2006/relationships/hyperlink" Target="https://sptf.info/images/RC_4a_English_CFI_Over-Indebtedness-in-Ghana_May2021.pdf" TargetMode="External"/><Relationship Id="rId331" Type="http://schemas.openxmlformats.org/officeDocument/2006/relationships/header" Target="header1.xml"/><Relationship Id="rId1" Type="http://schemas.openxmlformats.org/officeDocument/2006/relationships/customXml" Target="../customXml/item1.xml"/><Relationship Id="rId212" Type="http://schemas.openxmlformats.org/officeDocument/2006/relationships/hyperlink" Target="https://spi-online.org/files/ressources/Dimension%204/202%20Svasti%20Transparent%20collections%20practices%20training%20document.pdf" TargetMode="External"/><Relationship Id="rId233" Type="http://schemas.openxmlformats.org/officeDocument/2006/relationships/hyperlink" Target="https://en.spi-online.org/" TargetMode="External"/><Relationship Id="rId254" Type="http://schemas.openxmlformats.org/officeDocument/2006/relationships/hyperlink" Target="https://www.inrs.fr/" TargetMode="External"/><Relationship Id="rId28" Type="http://schemas.openxmlformats.org/officeDocument/2006/relationships/hyperlink" Target="https://grameenfoundation.org/documents/1-RICHES-Making-the-Case-Presentation.pdf" TargetMode="External"/><Relationship Id="rId49" Type="http://schemas.openxmlformats.org/officeDocument/2006/relationships/hyperlink" Target="https://en.spi-online.org/files/ressources/Dimension%201/627%20MICROLOAN%20FOUNDATION%20%28MALAWI%29%20USES%20A%20DATA%20PROTOCOL.pdf" TargetMode="External"/><Relationship Id="rId114" Type="http://schemas.openxmlformats.org/officeDocument/2006/relationships/hyperlink" Target="https://spi-online.org/files/ressources/Dimension%203/696%20Friendship%20Bridge%20Segments%20Clients%20to%20Create%20Personas.pdf" TargetMode="External"/><Relationship Id="rId275" Type="http://schemas.openxmlformats.org/officeDocument/2006/relationships/hyperlink" Target="https://en.spi-online.org/files/ressources/Dimension%205/921%20Pol%C3%ADtica%20de%20no%20discriminaci%C3%B3n%20Fundaci%C3%B3n%20Paraguaya.pdf" TargetMode="External"/><Relationship Id="rId296" Type="http://schemas.openxmlformats.org/officeDocument/2006/relationships/hyperlink" Target="https://spi-online.org/files/ressources/Dimension%205/611%20GUIDANCE%20FOR%20ADEQUATE%20TRAINING%20OF%20EMPLOYEES%20ON%20CODE%20OF%20CONDUCT%20AND%20CLIENT%20PROTECTION.pdf" TargetMode="External"/><Relationship Id="rId300" Type="http://schemas.openxmlformats.org/officeDocument/2006/relationships/hyperlink" Target="https://spi-online.org/files/ressources/Dimension%206/742%20ANALYZE%20EXTERNAL%20FACTORS%20TO%20INFORM%20YOUR%20GROWTH%20POLICY.pdf" TargetMode="External"/><Relationship Id="rId60" Type="http://schemas.openxmlformats.org/officeDocument/2006/relationships/hyperlink" Target="https://en.spi-online.org/resources/view/spm-essentials-webinar-8" TargetMode="External"/><Relationship Id="rId81" Type="http://schemas.openxmlformats.org/officeDocument/2006/relationships/hyperlink" Target="https://cbm-global.org/wp-content/uploads/2025/03/13.-KP13-OPD-consultation-FINAL-ENGLISH.pdf" TargetMode="External"/><Relationship Id="rId135" Type="http://schemas.openxmlformats.org/officeDocument/2006/relationships/hyperlink" Target="https://en.spi-online.org/files/ressources/Dimension%203/868%20ENCUESTA%20DE%20SATISFACCI%C3%93N%20DE%20CLIENTES%20Movimiento%20Manuela%20Ramos%20CrediMujer.pdf" TargetMode="External"/><Relationship Id="rId156" Type="http://schemas.openxmlformats.org/officeDocument/2006/relationships/hyperlink" Target="https://en.spi-online.org/files/ressources/Dimension%203/713%20GENESIS%20LOCATES%20POINT%20OF%20SALE%20DEVICES%20IN%20CLIENT%20BUSINESSES.pdf" TargetMode="External"/><Relationship Id="rId177" Type="http://schemas.openxmlformats.org/officeDocument/2006/relationships/hyperlink" Target="https://spi-online.org/files/ressources/Dimension%203/725%20MUSOMA%20Uses%20Savings%20to%20Help%20Clients%20Reduce%20Risk%20and%20Manage%20Anticipated%20Needs.pdf" TargetMode="External"/><Relationship Id="rId198" Type="http://schemas.openxmlformats.org/officeDocument/2006/relationships/hyperlink" Target="https://spi-online.org/files/ressources/Dimension%203/698%20Responsible%20Digital%20Transformation%20-%20the%20case%20of%20Hermandad%20de%20Honduras%20in%20English.pdf" TargetMode="External"/><Relationship Id="rId321" Type="http://schemas.openxmlformats.org/officeDocument/2006/relationships/hyperlink" Target="https://en.spi-online.org/files/ressources/Dimension%207/288%20Adapting%20to%20a%20New%20Normal%20-%20Strengthening%20Resilience%20to%20Climate%20Change%20Best%20Practices%20from%20the%20European%20Microfinance%20Award%202019_compressed.pdf" TargetMode="External"/><Relationship Id="rId202" Type="http://schemas.openxmlformats.org/officeDocument/2006/relationships/hyperlink" Target="https://spi-online.org/files/ressources/Dimension%204/169%20CREZCAMOS%20Colombia%20Providing%20transparent%20information%20to%20clients.pdf" TargetMode="External"/><Relationship Id="rId223" Type="http://schemas.openxmlformats.org/officeDocument/2006/relationships/hyperlink" Target="https://spi-online.org/files/ressources/Dimension%204/678%20ASKI%20SANCTIONS%20CODE%20OF%20CONDUCT%20VIOLATIONS.pdf" TargetMode="External"/><Relationship Id="rId244" Type="http://schemas.openxmlformats.org/officeDocument/2006/relationships/hyperlink" Target="https://en.spi-online.org/files/ressources/Dimension%205/510%20Creditaccess%20Grameen%20Whistleblower%20Policy.pdf" TargetMode="External"/><Relationship Id="rId18" Type="http://schemas.openxmlformats.org/officeDocument/2006/relationships/hyperlink" Target="https://en.spi-online.org/files/ressources/Dimension%201/551%20The%20Business%20Case%20for%20Customer%20Centricity.pdf" TargetMode="External"/><Relationship Id="rId39" Type="http://schemas.openxmlformats.org/officeDocument/2006/relationships/hyperlink" Target="https://en.spi-online.org/files/ressources/Dimension%201/52%20FINCA%20Experience%20with%20Outcomes%20Management%20as%20presented%20to%20Outcomes%20Working%20Group.pdf" TargetMode="External"/><Relationship Id="rId265" Type="http://schemas.openxmlformats.org/officeDocument/2006/relationships/hyperlink" Target="https://en.spi-online.org/resources/guide/dimension-5-responsible-human-resource-development" TargetMode="External"/><Relationship Id="rId286" Type="http://schemas.openxmlformats.org/officeDocument/2006/relationships/hyperlink" Target="https://en.spi-online.org/files/ressources/Dimension%205/608%20AL%20MAJMOUA%20TRAINS%20EMPLOYEES%20ON%20SPM%20TOPICS.pdf" TargetMode="External"/><Relationship Id="rId50" Type="http://schemas.openxmlformats.org/officeDocument/2006/relationships/hyperlink" Target="https://en.spi-online.org/files/ressources/Dimension%201/11%20Guidelines%20on%20outcomes%20management%20for%20financial%20service%20providers.pdf" TargetMode="External"/><Relationship Id="rId104" Type="http://schemas.openxmlformats.org/officeDocument/2006/relationships/hyperlink" Target="https://en.spi-online.org/files/ressources/Dimension%203/714%20CGAP-Customer-Experience-Workbook.pdf" TargetMode="External"/><Relationship Id="rId125" Type="http://schemas.openxmlformats.org/officeDocument/2006/relationships/hyperlink" Target="https://spi-online.org/files/ressources/Dimension%203/121%20Deconstructing%20Drop-Out%20Uncovering%20the%20reasons%20behind%20attrition%20among%20village-banking%20microfinance%20clients.pdf" TargetMode="External"/><Relationship Id="rId146" Type="http://schemas.openxmlformats.org/officeDocument/2006/relationships/hyperlink" Target="https://spi-online.org/files/ressources/Dimension%203/710%20Human-Centered%20Design.pdf" TargetMode="External"/><Relationship Id="rId167" Type="http://schemas.openxmlformats.org/officeDocument/2006/relationships/hyperlink" Target="https://spi-online.org/files/ressources/Dimension%203/721%20FRIENDSHIP%20BRIDGE%20MANAGES%20FOREIGN%20EXCHANGE%20RISK.pdf" TargetMode="External"/><Relationship Id="rId188" Type="http://schemas.openxmlformats.org/officeDocument/2006/relationships/hyperlink" Target="https://sptf.info/images/oid-final-report.pdf" TargetMode="External"/><Relationship Id="rId311" Type="http://schemas.openxmlformats.org/officeDocument/2006/relationships/hyperlink" Target="https://en.spi-online.org/files/ressources/Dimension%207/571%20ESAF%20Green%20Protocol%20Audit%20Scorecard.pdf" TargetMode="External"/><Relationship Id="rId332" Type="http://schemas.openxmlformats.org/officeDocument/2006/relationships/footer" Target="footer1.xml"/><Relationship Id="rId71" Type="http://schemas.openxmlformats.org/officeDocument/2006/relationships/hyperlink" Target="https://en.spi-online.org/files/ressources/Dimension%201/514%20Demonstrating%20the%20Impact%20of%20Client-Centric%20Microfinance--Impact%20Report%202020%20BRAC%20Microfinance.pdf" TargetMode="External"/><Relationship Id="rId92" Type="http://schemas.openxmlformats.org/officeDocument/2006/relationships/hyperlink" Target="https://es.spi-online.org/recursos?search=genesis&amp;_submit=aab3238922bcc25a6f606eb525ffdc56&amp;file=files/ressources/Dimension%202/632%20FUNDACION%20GENESIS%20EMPRESARIAL%20REPORTS%20TO%20BOARD%20ON%20SPM%20PROGRESS.pdf" TargetMode="External"/><Relationship Id="rId213" Type="http://schemas.openxmlformats.org/officeDocument/2006/relationships/hyperlink" Target="https://www.adb.org/sites/default/files/page/813191/04-implementing-inclusive-design-principles-banking-organizations.pdf" TargetMode="External"/><Relationship Id="rId234" Type="http://schemas.openxmlformats.org/officeDocument/2006/relationships/hyperlink" Target="https://en.spi-online.org/files/ressources/Dimension%204/686%20RESEARCH%20INDICATES%20THAT%20CLIENTS%20ARE%20NOT%20INFORMED%20ON%20COMPLAINTS%20MECHANISMS.pdf" TargetMode="External"/><Relationship Id="rId2" Type="http://schemas.openxmlformats.org/officeDocument/2006/relationships/numbering" Target="numbering.xml"/><Relationship Id="rId29" Type="http://schemas.openxmlformats.org/officeDocument/2006/relationships/hyperlink" Target="https://en.spi-online.org/resources/view/spm-essentials-webinar-8" TargetMode="External"/><Relationship Id="rId255" Type="http://schemas.openxmlformats.org/officeDocument/2006/relationships/hyperlink" Target="https://www.insst.es/documentacion/catalogo-de-publicaciones/guia-tecnica-para-la-integracion-de-la-prevencion-de-riesgos-laborales-en-el-sistema-general-de-gestion-de-la-empresa" TargetMode="External"/><Relationship Id="rId276" Type="http://schemas.openxmlformats.org/officeDocument/2006/relationships/hyperlink" Target="https://en.spi-online.org/files/ressources/Dimension%205/913%20Medici%C3%B3n%20del%20Clima%20Laboral%20para%20IMFs.pdf" TargetMode="External"/><Relationship Id="rId297" Type="http://schemas.openxmlformats.org/officeDocument/2006/relationships/hyperlink" Target="https://en.spi-online.org/resources/view/spm-essentials-webinar-4" TargetMode="External"/><Relationship Id="rId40" Type="http://schemas.openxmlformats.org/officeDocument/2006/relationships/hyperlink" Target="https://en.spi-online.org/files/ressources/Dimension%201/11%20Guidelines%20on%20outcomes%20management%20for%20financial%20service%20providers.pdf" TargetMode="External"/><Relationship Id="rId115" Type="http://schemas.openxmlformats.org/officeDocument/2006/relationships/hyperlink" Target="https://universaldesign.ie/about-universal-design/the-7-principles" TargetMode="External"/><Relationship Id="rId136" Type="http://schemas.openxmlformats.org/officeDocument/2006/relationships/hyperlink" Target="https://en.spi-online.org/files/ressources/Dimension%203/707%20Collecting%20and%20Using%20Client%20Exit%20Data.pdf" TargetMode="External"/><Relationship Id="rId157" Type="http://schemas.openxmlformats.org/officeDocument/2006/relationships/hyperlink" Target="https://research.sightsavers.org/project/assessment-of-access-to-formal-financial-services-among-people-with-disabilities-in-kenya/" TargetMode="External"/><Relationship Id="rId178" Type="http://schemas.openxmlformats.org/officeDocument/2006/relationships/hyperlink" Target="https://spi-online.org/files/ressources/Dimension%203/723%20Insurance%20Product%20Based%20on%20Clients%20Needs.pdf" TargetMode="External"/><Relationship Id="rId301" Type="http://schemas.openxmlformats.org/officeDocument/2006/relationships/hyperlink" Target="https://spi-online.org/files/ressources/Dimension%206/743%20USING%20GLOBAL%20DATA%20TO%20CALCULATE%20MARKET%20POTENTIAL.pdf" TargetMode="External"/><Relationship Id="rId322" Type="http://schemas.openxmlformats.org/officeDocument/2006/relationships/hyperlink" Target="https://coe-gendersmartcdrfi.org/news/gender-and-disability-inclusion-in-climate-risk-insurance-in-the-pacific/" TargetMode="External"/><Relationship Id="rId61" Type="http://schemas.openxmlformats.org/officeDocument/2006/relationships/hyperlink" Target="https://en.spi-online.org/files/ressources/Dimension%201/45%20IDEPRO%20Desarrollo%20Empresarial%20case%20study.pdf" TargetMode="External"/><Relationship Id="rId82" Type="http://schemas.openxmlformats.org/officeDocument/2006/relationships/hyperlink" Target="https://social.desa.un.org/issues/disability/crpd/convention-on-the-rights-of-persons-with-disabilities-crpd" TargetMode="External"/><Relationship Id="rId199" Type="http://schemas.openxmlformats.org/officeDocument/2006/relationships/hyperlink" Target="https://spi-online.org/files/ressources/Dimension%203/699%20Responsible%20Digital%20Transformation%20-%20the%20Case%20of%20Hermandad%20de%20Honduras--Spanish.pdf" TargetMode="External"/><Relationship Id="rId203" Type="http://schemas.openxmlformats.org/officeDocument/2006/relationships/hyperlink" Target="https://spi-online.org/files/ressources/Dimension%204/906%20Paquete%20de%20bienvenida%20Crezcamos.pdf" TargetMode="External"/><Relationship Id="rId19" Type="http://schemas.openxmlformats.org/officeDocument/2006/relationships/image" Target="media/image2.png"/><Relationship Id="rId224" Type="http://schemas.openxmlformats.org/officeDocument/2006/relationships/hyperlink" Target="https://spi-online.org/files/ressources/Dimension%204/679%20EXAMPLES%20OF%20DISCRIMINATORY%20POLICIES%20AND%20STAFF%20BEHAVIORS.pdf" TargetMode="External"/><Relationship Id="rId245" Type="http://schemas.openxmlformats.org/officeDocument/2006/relationships/hyperlink" Target="https://www.ilo.org/sites/default/files/wcmsp5/groups/public/@ed_norm/@declaration/documents/publication/wcms_536630.pdf" TargetMode="External"/><Relationship Id="rId266" Type="http://schemas.openxmlformats.org/officeDocument/2006/relationships/hyperlink" Target="https://en.spi-online.org/files/ressources/Dimension%205/601%20EXAMPLES%20OF%20EMPLOYEE%20POSITIONS%20AND%20RELATED%20SPM%20DUTIES.pdf" TargetMode="External"/><Relationship Id="rId287" Type="http://schemas.openxmlformats.org/officeDocument/2006/relationships/hyperlink" Target="https://en.spi-online.org/files/ressources/Dimension%205/609%20FINCA%20MICROFINANCE%20BANK%20LTD.%20EVALUATES%20EMPLOYEES%20ON%20CUSTOMER%20CARE.pdf" TargetMode="External"/><Relationship Id="rId30" Type="http://schemas.openxmlformats.org/officeDocument/2006/relationships/hyperlink" Target="https://www.hi.org/sn_uploads/MEMO-4_Disability-policy.pdf" TargetMode="External"/><Relationship Id="rId105" Type="http://schemas.openxmlformats.org/officeDocument/2006/relationships/hyperlink" Target="https://en.spi-online.org/files/ressources/Dimension%201/551%20The%20Business%20Case%20for%20Customer%20Centricity.pdf" TargetMode="External"/><Relationship Id="rId126" Type="http://schemas.openxmlformats.org/officeDocument/2006/relationships/hyperlink" Target="https://spi-online.org/files/ressources/Dimension%203/874%20Al%20Majmoua%20Customer%20Satisfaction%20Survey.pdf" TargetMode="External"/><Relationship Id="rId147" Type="http://schemas.openxmlformats.org/officeDocument/2006/relationships/hyperlink" Target="https://spi-online.org/files/ressources/Dimension%203/127%20Human%20Centered%20Design%20Toolkit%20-%20Product%20design%20&amp;%20development%20methodology%20to%20reflect%20on%20new%20products_compressed.pdf" TargetMode="External"/><Relationship Id="rId168" Type="http://schemas.openxmlformats.org/officeDocument/2006/relationships/hyperlink" Target="https://spi-online.org/files/ressources/Dimension%203/141%20Fraud%20in%20Mobile%20Financial%20Services%20Protecting%20Consumers%2C%20Providers%2C%20and%20the%20System.pdf" TargetMode="External"/><Relationship Id="rId312" Type="http://schemas.openxmlformats.org/officeDocument/2006/relationships/hyperlink" Target="https://en.spi-online.org/files/ressources/Dimension%207/282%2012%20Steps%20to%20Resiliency%20-%20A%20Guidebook%20on%20Disaster%20Risk%20Reduction%20and%20Business%20Continuity%20Planning%20for%20Microfinance%20Institutions_compressed.pdf" TargetMode="External"/><Relationship Id="rId333" Type="http://schemas.openxmlformats.org/officeDocument/2006/relationships/header" Target="header2.xml"/><Relationship Id="rId51" Type="http://schemas.openxmlformats.org/officeDocument/2006/relationships/hyperlink" Target="https://en.spi-online.org/files/ressources/Dimension%201/652%20Vision%20Fund%20International%20Verifies%20Data%20Quality.pdf" TargetMode="External"/><Relationship Id="rId72" Type="http://schemas.openxmlformats.org/officeDocument/2006/relationships/hyperlink" Target="https://en.spi-online.org/files/ressources/Dimension%201/851%20Friendship%20Bridge%20Informe%20de%20Resultados%20de%20Clientas%202014-2016.pdf" TargetMode="External"/><Relationship Id="rId93" Type="http://schemas.openxmlformats.org/officeDocument/2006/relationships/hyperlink" Target="https://spi-online.org/files/ressources/Dimension%202/523%20ASKI%20SOCIAL%20DASHBOARD%20FOR%20BOARD%20REPORTS.xlsx" TargetMode="External"/><Relationship Id="rId189" Type="http://schemas.openxmlformats.org/officeDocument/2006/relationships/hyperlink" Target="https://spi-online.org/files/ressources/Dimension%204/671%20MUSOMA%20INVESTIGATES%20AND%20ADDRESSES%20CAUSES%20OF%20OVER-INDEBTEDNESS.pdf" TargetMode="External"/><Relationship Id="rId3" Type="http://schemas.openxmlformats.org/officeDocument/2006/relationships/styles" Target="styles.xml"/><Relationship Id="rId214" Type="http://schemas.openxmlformats.org/officeDocument/2006/relationships/hyperlink" Target="https://research.sightsavers.org/project/assessment-of-access-to-formal-financial-services-among-people-with-disabilities-in-kenya/" TargetMode="External"/><Relationship Id="rId235" Type="http://schemas.openxmlformats.org/officeDocument/2006/relationships/hyperlink" Target="https://spi-online.org/files/ressources/Dimension%204/685%20EXAMPLE%20STAFF%20RESPONSIBILITIES%20FOR%20COMPLAINTS%20RESOLUTION.pdf" TargetMode="External"/><Relationship Id="rId256" Type="http://schemas.openxmlformats.org/officeDocument/2006/relationships/hyperlink" Target="https://en.spi-online.org/files/ressources/Dimension%205/595%20EXAMPLE%20HEALTH%20AND%20SAFETY%20RISKS%20&amp;%20TRAINING%20TOPICS.pdf" TargetMode="External"/><Relationship Id="rId277" Type="http://schemas.openxmlformats.org/officeDocument/2006/relationships/hyperlink" Target="https://en.spi-online.org/files/ressources/Dimension%205/603%20GUIDANCE%20FOR%20GRIEVANCE%20MECHANISMS.pdf" TargetMode="External"/><Relationship Id="rId298" Type="http://schemas.openxmlformats.org/officeDocument/2006/relationships/hyperlink" Target="https://en.spi-online.org/files/ressources/Dimension%206/742%20ANALYZE%20EXTERNAL%20FACTORS%20TO%20INFORM%20YOUR%20GROWTH%20POLICY.pdf" TargetMode="External"/><Relationship Id="rId116" Type="http://schemas.openxmlformats.org/officeDocument/2006/relationships/hyperlink" Target="https://www.adb.org/sites/default/files/page/813191/04-implementing-inclusive-design-principles-banking-organizations.pdf" TargetMode="External"/><Relationship Id="rId137" Type="http://schemas.openxmlformats.org/officeDocument/2006/relationships/hyperlink" Target="https://en.spi-online.org/files/ressources/Dimension%203/93%20Learning%20from%20Exit%20Clients%20SPTF%20Guidance%20Note.pdf" TargetMode="External"/><Relationship Id="rId158" Type="http://schemas.openxmlformats.org/officeDocument/2006/relationships/hyperlink" Target="https://cbm-global.org/wp-content/uploads/2021/12/Accessibility-GO-A-Guide-to-Action-WBU-CBM-Global.pdf" TargetMode="External"/><Relationship Id="rId302" Type="http://schemas.openxmlformats.org/officeDocument/2006/relationships/hyperlink" Target="https://spi-online.org/files/ressources/Dimension%206/745%20ANALYZE%20INTERNAL%20FACTORS%20TO%20INFORM%20YOUR%20GROWTH%20POLICY.pdf" TargetMode="External"/><Relationship Id="rId323" Type="http://schemas.openxmlformats.org/officeDocument/2006/relationships/hyperlink" Target="https://www.youtube.com/watch?v=6IoFob3GwXo" TargetMode="External"/><Relationship Id="rId20" Type="http://schemas.openxmlformats.org/officeDocument/2006/relationships/hyperlink" Target="https://en.spi-online.org/files/ressources/Dimension%201/6%20Opportunity%20Bank%20Uganda%20s%20Social%20Goals%20-%20Strategic%20Activities%20and%20Indicators.pdf" TargetMode="External"/><Relationship Id="rId41" Type="http://schemas.openxmlformats.org/officeDocument/2006/relationships/hyperlink" Target="https://en.spi-online.org/files/ressources/Dimension%201/648%20The%20Drivers%20for%20Better%20Outcomes%20How%20Social%20and%20Environmental%20Performance%20Management%20practices.pdf" TargetMode="External"/><Relationship Id="rId62" Type="http://schemas.openxmlformats.org/officeDocument/2006/relationships/hyperlink" Target="https://en.spi-online.org/files/ressources/Dimension%201/850%20Caso%20de%20estudio%20IDEPRO%20un%20sistema%20integral%20de%20evaluaci%C3%B3n%20de%20impacto.pdf" TargetMode="External"/><Relationship Id="rId83" Type="http://schemas.openxmlformats.org/officeDocument/2006/relationships/hyperlink" Target="https://social.desa.un.org/issues/disability/crpd/convention-on-the-rights-of-persons-with-disabilities-crpd" TargetMode="External"/><Relationship Id="rId179" Type="http://schemas.openxmlformats.org/officeDocument/2006/relationships/hyperlink" Target="https://spi-online.org/files/ressources/Dimension%203/724%20Microfund%20for%20Women%20%28Jordan%29%20Insurance%20Products.pdf" TargetMode="External"/><Relationship Id="rId190" Type="http://schemas.openxmlformats.org/officeDocument/2006/relationships/hyperlink" Target="https://sptf.info/images/RC_4a_Avoidance_of_Overindebtedness_May2021.pdf" TargetMode="External"/><Relationship Id="rId204" Type="http://schemas.openxmlformats.org/officeDocument/2006/relationships/hyperlink" Target="https://spi-online.org/files/ressources/Dimension%204/717%20Key%20Facts%20Document%20Worksheet%20and%20Example.xlsx" TargetMode="External"/><Relationship Id="rId225" Type="http://schemas.openxmlformats.org/officeDocument/2006/relationships/hyperlink" Target="https://spi-online.org/files/ressources/Dimension%205/661%20SKS%20AND%20EQUITAS%20PROTECT%20CLIENT%20DATA.pdf" TargetMode="External"/><Relationship Id="rId246" Type="http://schemas.openxmlformats.org/officeDocument/2006/relationships/hyperlink" Target="https://inclusivefutures.org/disability-confident-employers-toolkit/" TargetMode="External"/><Relationship Id="rId267" Type="http://schemas.openxmlformats.org/officeDocument/2006/relationships/hyperlink" Target="https://spi-online.org/ressources/lecteur/spm-essentials-webinar-5" TargetMode="External"/><Relationship Id="rId288" Type="http://schemas.openxmlformats.org/officeDocument/2006/relationships/hyperlink" Target="https://spi-online.org/files/ressources/Dimension%205/610%20SAMPLE%20LOAN%20OFFICER%20SPM%20EVALUATION%20CRITERIA%20TABLE.pdf" TargetMode="External"/><Relationship Id="rId106" Type="http://schemas.openxmlformats.org/officeDocument/2006/relationships/hyperlink" Target="https://en.spi-online.org/files/ressources/Dimension%203/696%20Friendship%20Bridge%20Segments%20Clients%20to%20Create%20Personas.pdf" TargetMode="External"/><Relationship Id="rId127" Type="http://schemas.openxmlformats.org/officeDocument/2006/relationships/hyperlink" Target="https://spi-online.org/files/ressources/Dimension%203/875%20Al%20Majmoua%20Exit%20Survey.pdf" TargetMode="External"/><Relationship Id="rId313" Type="http://schemas.openxmlformats.org/officeDocument/2006/relationships/hyperlink" Target="https://en.spi-online.org/files/ressources/Dimension%207/573%20First%20Microfinance%20Bank%20Pakistan%20Climate%20Risk%20Management%20Framework.pdf" TargetMode="External"/><Relationship Id="rId10" Type="http://schemas.openxmlformats.org/officeDocument/2006/relationships/hyperlink" Target="https://en.spi-online.org/" TargetMode="External"/><Relationship Id="rId31" Type="http://schemas.openxmlformats.org/officeDocument/2006/relationships/hyperlink" Target="https://resources.workable.com/anti-discrimination-policy" TargetMode="External"/><Relationship Id="rId52" Type="http://schemas.openxmlformats.org/officeDocument/2006/relationships/hyperlink" Target="https://www.washingtongroup-disability.com/question-sets/wg-short-set-on-functioning-wg-ss/" TargetMode="External"/><Relationship Id="rId73" Type="http://schemas.openxmlformats.org/officeDocument/2006/relationships/hyperlink" Target="https://vimeo.com/manage/videos/838232538" TargetMode="External"/><Relationship Id="rId94" Type="http://schemas.openxmlformats.org/officeDocument/2006/relationships/hyperlink" Target="https://en.spi-online.org/files/ressources/Dimension%202/636%20EXAMPLES%20OF%20SOCIAL%20TARGETS%20FOR%20SENIOR%20MANAGERS.pdf" TargetMode="External"/><Relationship Id="rId148" Type="http://schemas.openxmlformats.org/officeDocument/2006/relationships/hyperlink" Target="https://spi-online.org/files/ressources/Dimension%203/122%20Design%20Toolkit--Design%20for%20Mobile%20Money%20Smartphone%20App%20for%20Financial%20Inclusion%20in%20Pakistan.pdf" TargetMode="External"/><Relationship Id="rId169" Type="http://schemas.openxmlformats.org/officeDocument/2006/relationships/hyperlink" Target="https://www.bracinternational.org/news/designing-holistic-solutions-for-people-with-disabilities-lessons-from-brac-myanmar/" TargetMode="External"/><Relationship Id="rId334" Type="http://schemas.openxmlformats.org/officeDocument/2006/relationships/footer" Target="footer2.xml"/><Relationship Id="rId4" Type="http://schemas.openxmlformats.org/officeDocument/2006/relationships/settings" Target="settings.xml"/><Relationship Id="rId180" Type="http://schemas.openxmlformats.org/officeDocument/2006/relationships/hyperlink" Target="https://en.spi-online.org/files/ressources/Dimension%203/726%20Voluntary%20Savings%20Product%20Design%20Based%20on%20Clients%20Needs.pdf" TargetMode="External"/><Relationship Id="rId215" Type="http://schemas.openxmlformats.org/officeDocument/2006/relationships/hyperlink" Target="https://spi-online.org/files/ressources/Dimension%204/675%20GATSBY%20MICROFINANCE%20LTD.%20PROVIDES%20TRANSPARENT%20LOAN%20INFORMATION.pdf" TargetMode="External"/><Relationship Id="rId236" Type="http://schemas.openxmlformats.org/officeDocument/2006/relationships/hyperlink" Target="https://spi-online.org/files/ressources/Dimension%204/689%20YEHU%20MICROFINANCE%20SURVEYS%20CLIENTS%20ON%20WHICH%20MECHANISMS%20TO%20CREATE.pdf" TargetMode="External"/><Relationship Id="rId257" Type="http://schemas.openxmlformats.org/officeDocument/2006/relationships/hyperlink" Target="https://en.spi-online.org/files/ressources/Dimension%205/213%20A%20sample%20template%20for%20health%20and%20safey%20risk%20assessments.xlsx" TargetMode="External"/><Relationship Id="rId278" Type="http://schemas.openxmlformats.org/officeDocument/2006/relationships/hyperlink" Target="https://spi-online.org/files/ressources/Dimension%205/602%20FINCA%20PERU%20GRIEVANCE%20MECHANISM.pdf" TargetMode="External"/><Relationship Id="rId303" Type="http://schemas.openxmlformats.org/officeDocument/2006/relationships/hyperlink" Target="https://en.spi-online.org/files/ressources/Dimension%205/662%20Guidelines%20for%20Case%20Load%20Limits.pdf" TargetMode="External"/><Relationship Id="rId42" Type="http://schemas.openxmlformats.org/officeDocument/2006/relationships/hyperlink" Target="https://en.spi-online.org/files/ressources/Dimension%201/649%20Outcomes%20Plenary%20Presentation%20Exploring%20the%20connection%20between%20SEPM%20and%20client%20outcomes_compressed.pdf" TargetMode="External"/><Relationship Id="rId84" Type="http://schemas.openxmlformats.org/officeDocument/2006/relationships/hyperlink" Target="https://en.spi-online.org/files/ressources/Dimension%202/631%20NWTF%20ORIENTS%20THE%20BOARD%20ON%20SPM.pdf" TargetMode="External"/><Relationship Id="rId138" Type="http://schemas.openxmlformats.org/officeDocument/2006/relationships/hyperlink" Target="https://spi-online.org/files/ressources/Dimension%202/667%20COVID-19%20Client%20Interview%20Tool%20Data%20Insights%20and%20Recommendations%20for%20Funders%2C%20FSPs%2C%20and%20Regulators.pdf" TargetMode="External"/><Relationship Id="rId191" Type="http://schemas.openxmlformats.org/officeDocument/2006/relationships/hyperlink" Target="https://sptf.info/images/RC_4a_Smart_Lending_Client_Protection_in_the_Group_Lending_Process_May2021.pdf" TargetMode="External"/><Relationship Id="rId205" Type="http://schemas.openxmlformats.org/officeDocument/2006/relationships/hyperlink" Target="https://spi-online.org/files/ressources/Dimension%204/718%20KEY%20FACTS%20DOCUMENTS%20FOR%20LOAN%20CLIENTS.pdf" TargetMode="External"/><Relationship Id="rId247" Type="http://schemas.openxmlformats.org/officeDocument/2006/relationships/hyperlink" Target="https://www.hi.org/en/inclusive-employer-toolbox" TargetMode="External"/><Relationship Id="rId107" Type="http://schemas.openxmlformats.org/officeDocument/2006/relationships/hyperlink" Target="https://en.spi-online.org/ressources/lecteur/spm-essentials-webinar-1" TargetMode="External"/><Relationship Id="rId289" Type="http://schemas.openxmlformats.org/officeDocument/2006/relationships/hyperlink" Target="https://spi-online.org/files/ressources/Dimension%205/609%20FINCA%20MICROFINANCE%20BANK%20LTD.%20EVALUATES%20EMPLOYEES%20ON%20CUSTOMER%20CARE.pdf" TargetMode="External"/><Relationship Id="rId11" Type="http://schemas.openxmlformats.org/officeDocument/2006/relationships/hyperlink" Target="mailto:support@spi-online.org" TargetMode="External"/><Relationship Id="rId53" Type="http://schemas.openxmlformats.org/officeDocument/2006/relationships/hyperlink" Target="https://www.washingtongroup-disability.com/question-sets/wg-short-set-on-functioning-wg-ss/" TargetMode="External"/><Relationship Id="rId149" Type="http://schemas.openxmlformats.org/officeDocument/2006/relationships/hyperlink" Target="https://spi-online.org/files/ressources/Dimension%203/872%20Estudio%20de%20Caso%20Mujeres%20Unidas%20Adaptaci%C3%B3n%20de%20productos%20y%20servicios%20por%20zonas.pdf" TargetMode="External"/><Relationship Id="rId314" Type="http://schemas.openxmlformats.org/officeDocument/2006/relationships/hyperlink" Target="https://firstforsustainability.org/risk-management/managing-environmental-and-social-risk-2_2/managing-environmental-and-social-risk-2_2_2/what-is-an-esms/esms-for-microfinance-institution/" TargetMode="External"/><Relationship Id="rId95" Type="http://schemas.openxmlformats.org/officeDocument/2006/relationships/hyperlink" Target="https://spi-online.org/files/ressources/Dimension%202/638%20CRECER%20%28BOLIVIA%29%20ADDRESSES%20QUALITY%20IN%20RESPONSE%20TO%20LACK%20OF%20IMPACT.pdf" TargetMode="External"/><Relationship Id="rId160" Type="http://schemas.openxmlformats.org/officeDocument/2006/relationships/hyperlink" Target="https://www.licht-fuer-die-welt.at/app/uploads/sites/8/2025/12/resource_book_disability_inclusion.pdf" TargetMode="External"/><Relationship Id="rId216" Type="http://schemas.openxmlformats.org/officeDocument/2006/relationships/hyperlink" Target="https://en.spi-online.org/files/ressources/Dimension%204/885%20Trato%20responsable%20a%20los%20clientes%20Ejerciendo%20la%20no%20discriminaci%C3%B3n.pdf" TargetMode="External"/><Relationship Id="rId258" Type="http://schemas.openxmlformats.org/officeDocument/2006/relationships/hyperlink" Target="https://en.spi-online.org/files/ressources/Dimension%205/208%20A%205%20STEP%20GUIDE%20for%20employers%2C%20workers%20and%20their%20representatives%20on%20conducting%20workplace%20risk%20assessments.pdf" TargetMode="External"/><Relationship Id="rId22" Type="http://schemas.openxmlformats.org/officeDocument/2006/relationships/hyperlink" Target="https://en.spi-online.org/files/ressources/Dimension%201/617%20FONKOZE%20DEFINES%20TARGET%20CLIENTS.pdf" TargetMode="External"/><Relationship Id="rId64" Type="http://schemas.openxmlformats.org/officeDocument/2006/relationships/hyperlink" Target="https://www.washingtongroup-disability.com/question-sets/wg-short-set-on-functioning-wg-ss/" TargetMode="External"/><Relationship Id="rId118" Type="http://schemas.openxmlformats.org/officeDocument/2006/relationships/hyperlink" Target="https://opendocs.ids.ac.uk/articles/online_resource/Practical_Guides_for_Participatory_Methods_Disability_Inclusive_Research/26430196?file=48214876" TargetMode="External"/><Relationship Id="rId325" Type="http://schemas.openxmlformats.org/officeDocument/2006/relationships/hyperlink" Target="https://en.spi-online.org/files/ressources/Dimension%207/362%20CAMIDE%20Environmental%20Charter.pdf" TargetMode="External"/><Relationship Id="rId171" Type="http://schemas.openxmlformats.org/officeDocument/2006/relationships/hyperlink" Target="https://spi-online.org/files/ressources/Dimension%203/725%20MUSOMA%20Uses%20Savings%20to%20Help%20Clients%20Reduce%20Risk%20and%20Manage%20Anticipated%20Needs.pdf" TargetMode="External"/><Relationship Id="rId227" Type="http://schemas.openxmlformats.org/officeDocument/2006/relationships/hyperlink" Target="https://projectnemo.co.uk/register/" TargetMode="External"/><Relationship Id="rId269" Type="http://schemas.openxmlformats.org/officeDocument/2006/relationships/hyperlink" Target="https://spi-online.org/files/ressources/Dimension%205/600%20ELEMENTS%20OF%20A%20JOB%20DESCRIPTION.pdf" TargetMode="External"/><Relationship Id="rId33" Type="http://schemas.openxmlformats.org/officeDocument/2006/relationships/hyperlink" Target="https://en.spi-online.org/files/ressources/Dimension%201/623%20ASKI%20SELECTS%20SOCIAL%20INDICATORS%20FOR%20ITS%20SOCIAL%20DASHBOARD.pdf" TargetMode="External"/><Relationship Id="rId129" Type="http://schemas.openxmlformats.org/officeDocument/2006/relationships/hyperlink" Target="https://en.spi-online.org/files/ressources/Dimension%203/705%20DEFINITION%20OF%20A%20REPRESENTATIVE%20SAMPLE.pdf" TargetMode="External"/><Relationship Id="rId280" Type="http://schemas.openxmlformats.org/officeDocument/2006/relationships/hyperlink" Target="https://en.spi-online.org/files/ressources/Dimension%205/828%20ENCUESTA%20CONFIDENCIAL%20SOBRE%20SATISFACCI%C3%93N%20Y%20COMPROMISO%20LABORAL%20PROMUJER.PDF" TargetMode="External"/><Relationship Id="rId336" Type="http://schemas.openxmlformats.org/officeDocument/2006/relationships/theme" Target="theme/theme1.xml"/><Relationship Id="rId75" Type="http://schemas.openxmlformats.org/officeDocument/2006/relationships/hyperlink" Target="https://en.spi-online.org/files/ressources/Dimension%202/469%20Does%20good%20client%20protection%20impact%20financial%20performance.pdf" TargetMode="External"/><Relationship Id="rId140" Type="http://schemas.openxmlformats.org/officeDocument/2006/relationships/hyperlink" Target="https://spi-online.org/files/ressources/Dimension%203/269%20grameenfoundation-RICHES-SPM-Guide.pdf" TargetMode="External"/><Relationship Id="rId182" Type="http://schemas.openxmlformats.org/officeDocument/2006/relationships/hyperlink" Target="https://opportunity.org.au/content/2019/5%20News%20and%20Stories/Blog/2025%20Blog%20Images/Inclusive%20Finance%20Accessible%20Training%20&amp;%20Meeting%20Cheat%20Sheet.pdf" TargetMode="External"/><Relationship Id="rId6" Type="http://schemas.openxmlformats.org/officeDocument/2006/relationships/footnotes" Target="footnotes.xml"/><Relationship Id="rId238" Type="http://schemas.openxmlformats.org/officeDocument/2006/relationships/hyperlink" Target="https://spi-online.org/ressources?search=grameen&amp;_submit=1679091c5a880faf6fb5e6087eb1b2dc&amp;file=files/ressources/Dimension%205/214%20Grameen%20Foundation%E2%80%99s%20Human%20Capital%20Management%20%28HCM%29%20Assessment%20tool.pdf" TargetMode="External"/><Relationship Id="rId291" Type="http://schemas.openxmlformats.org/officeDocument/2006/relationships/hyperlink" Target="https://static1.squarespace.com/static/5959ce9dbf629a17ab5d1d1c/t/639170643d22f138cc540d21/1670475893315/9.LFTW+Disability+Inclusion+Training+Manual_EN.pdf" TargetMode="External"/><Relationship Id="rId305" Type="http://schemas.openxmlformats.org/officeDocument/2006/relationships/hyperlink" Target="https://www.e-mfp.eu/gicsf-ag" TargetMode="External"/><Relationship Id="rId44" Type="http://schemas.openxmlformats.org/officeDocument/2006/relationships/hyperlink" Target="https://en.spi-online.org/files/ressources/Dimension%203/552%20Understanding%20and%20Measuring%20Women's%20Economic%20Empowerment.pdf" TargetMode="External"/><Relationship Id="rId86" Type="http://schemas.openxmlformats.org/officeDocument/2006/relationships/hyperlink" Target="https://afi-global.org/publication/financial-inclusion-for-persons-with-disabilities/" TargetMode="External"/><Relationship Id="rId151" Type="http://schemas.openxmlformats.org/officeDocument/2006/relationships/hyperlink" Target="https://spi-online.org/files/ressources/Dimension%203/711%20VISIONFUND%20UGANDA%20REDUCES%20THE%20BARRIERS%20TO%20FINANCIAL%20INCLUSION%20THROUGH%20PRODUCT%20TERM%20CHANGES.pdf" TargetMode="External"/><Relationship Id="rId193" Type="http://schemas.openxmlformats.org/officeDocument/2006/relationships/hyperlink" Target="https://en.spi-online.org/files/ressources/Dimension%203/876%20PR%C3%89STAMO%20SMART%20PROTECCI%C3%93N%20AL%20CLIENTE%20EN%20EL%20PROCESO%20DE%20CR%C3%89DITO%20GRUPAL.pdf" TargetMode="External"/><Relationship Id="rId207" Type="http://schemas.openxmlformats.org/officeDocument/2006/relationships/hyperlink" Target="https://spi-online.org/files/ressources/Dimension%204/905%20Divulgaci%C3%B3n%20mejor%20dise%C3%B1ada%20hojas%20de%20datos%20clave%20simplificadas%20de%20Per%C3%BA%20y%20M%C3%A9xico.pdf" TargetMode="External"/><Relationship Id="rId249" Type="http://schemas.openxmlformats.org/officeDocument/2006/relationships/hyperlink" Target="https://opportunity.org.au/content/2019/5%20News%20and%20Stories/Blog/2025%20Blog%20Images/(English)%20Workplace_Needs_Assessment_Form.docx" TargetMode="External"/><Relationship Id="rId13" Type="http://schemas.openxmlformats.org/officeDocument/2006/relationships/hyperlink" Target="mailto:support@spi-online.org" TargetMode="External"/><Relationship Id="rId109" Type="http://schemas.openxmlformats.org/officeDocument/2006/relationships/hyperlink" Target="https://en.spi-online.org/ressources/lecteur/spm-essentials-webinar-3" TargetMode="External"/><Relationship Id="rId260" Type="http://schemas.openxmlformats.org/officeDocument/2006/relationships/hyperlink" Target="https://spi-online.org/files/ressources/Dimension%205/595%20EXAMPLE%20HEALTH%20AND%20SAFETY%20RISKS%20%26%20TRAINING%20TOPICS.pdf" TargetMode="External"/><Relationship Id="rId316" Type="http://schemas.openxmlformats.org/officeDocument/2006/relationships/hyperlink" Target="https://unepmeba.org/wp-content/uploads/2020/07/AGRICULTURA-FRANCES-WEB.pdf" TargetMode="External"/><Relationship Id="rId55" Type="http://schemas.openxmlformats.org/officeDocument/2006/relationships/hyperlink" Target="https://en.spi-online.org/files/ressources/Dimension%201/24%2060%20Decibels%20-%20Why%20Off-Grid%20Energy%20Matters.pdf" TargetMode="External"/><Relationship Id="rId97" Type="http://schemas.openxmlformats.org/officeDocument/2006/relationships/hyperlink" Target="https://spi-online.org/files/ressources/Dimension%202/639%20KASHF%20FOUNDATION%20MONITORS%20RISK%20USING%20CLIENT%20INTERVIEWS.pdf" TargetMode="External"/><Relationship Id="rId120" Type="http://schemas.openxmlformats.org/officeDocument/2006/relationships/hyperlink" Target="https://spi-online.org/ressources/lecteur/spm-essentials-webinar-2" TargetMode="External"/><Relationship Id="rId162" Type="http://schemas.openxmlformats.org/officeDocument/2006/relationships/hyperlink" Target="https://www.w3.org/WAI/test-evaluate/preliminary/" TargetMode="External"/><Relationship Id="rId218" Type="http://schemas.openxmlformats.org/officeDocument/2006/relationships/hyperlink" Target="https://spi-online.org/files/ressources/Dimension%204/677%20SMART%20CAMPAIGN%20COMPLIANCE%20CRITERIA%20FOR%20CODE%20OF%20CONDUCT.pdf" TargetMode="External"/><Relationship Id="rId271" Type="http://schemas.openxmlformats.org/officeDocument/2006/relationships/hyperlink" Target="https://en.spi-online.org/files/ressources/Dimension%205/604%20NRSP%20IN%20PAKISTAN%20RESPONDS%20TO%20EMPLOYEE%20GRIEVANCE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eme Cerise+SPTF_ppt">
  <a:themeElements>
    <a:clrScheme name="cerise-sptf-colors">
      <a:dk1>
        <a:srgbClr val="2A3049"/>
      </a:dk1>
      <a:lt1>
        <a:srgbClr val="000000"/>
      </a:lt1>
      <a:dk2>
        <a:srgbClr val="2EA092"/>
      </a:dk2>
      <a:lt2>
        <a:srgbClr val="5FD394"/>
      </a:lt2>
      <a:accent1>
        <a:srgbClr val="F3736C"/>
      </a:accent1>
      <a:accent2>
        <a:srgbClr val="5AC0EB"/>
      </a:accent2>
      <a:accent3>
        <a:srgbClr val="CE8AE4"/>
      </a:accent3>
      <a:accent4>
        <a:srgbClr val="F4A261"/>
      </a:accent4>
      <a:accent5>
        <a:srgbClr val="5B78E4"/>
      </a:accent5>
      <a:accent6>
        <a:srgbClr val="E8C46A"/>
      </a:accent6>
      <a:hlink>
        <a:srgbClr val="5B78E4"/>
      </a:hlink>
      <a:folHlink>
        <a:srgbClr val="2EA092"/>
      </a:folHlink>
    </a:clrScheme>
    <a:fontScheme name="CERISE+SPTF">
      <a:majorFont>
        <a:latin typeface="Work Sans"/>
        <a:ea typeface=""/>
        <a:cs typeface=""/>
      </a:majorFont>
      <a:minorFont>
        <a:latin typeface="Work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 Cerise+SPTF_ppt" id="{C57D15DA-62C8-47E7-BD50-D9F497E332A7}" vid="{307F737B-52FB-4BD5-B173-C0A3DAEECB58}"/>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442306-B669-4DE5-974C-504FA4396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188</Pages>
  <Words>75728</Words>
  <Characters>431653</Characters>
  <Application>Microsoft Office Word</Application>
  <DocSecurity>0</DocSecurity>
  <Lines>3597</Lines>
  <Paragraphs>1012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La dimension 1 a deux normes:Standard 1A: Le fournisseur a une stratégie pour atteindre ses objectifs sociaux. Norme 1B : Le fournisseur recueille, analyse et communique des données spécifiques à ses objectifs sociaux.</vt:lpstr>
      <vt:lpstr>La dimension 1 a deux normes:Standard 1A: Le fournisseur a une stratégie pour atteindre ses objectifs sociaux. Norme 1B : Le fournisseur recueille, analyse et communique des données spécifiques à ses objectifs sociaux.</vt:lpstr>
    </vt:vector>
  </TitlesOfParts>
  <Company/>
  <LinksUpToDate>false</LinksUpToDate>
  <CharactersWithSpaces>506369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dimension 1 a deux normes:Standard 1A: Le fournisseur a une stratégie pour atteindre ses objectifs sociaux. Norme 1B : Le fournisseur recueille, analyse et communique des données spécifiques à ses objectifs sociaux.</dc:title>
  <dc:subject/>
  <dc:creator>Ruth</dc:creator>
  <cp:keywords/>
  <dc:description/>
  <cp:lastModifiedBy>Alison Thornburn</cp:lastModifiedBy>
  <cp:revision>4</cp:revision>
  <cp:lastPrinted>2025-08-04T10:49:00Z</cp:lastPrinted>
  <dcterms:created xsi:type="dcterms:W3CDTF">2026-05-29T08:16:00Z</dcterms:created>
  <dcterms:modified xsi:type="dcterms:W3CDTF">2026-05-29T08:21:00Z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fc4731f187452167f0d27d71c9a8dc51f63d7f6b4a91fbe8bfc13e6d11024659</vt:lpwstr>
  </property>
</Properties>
</file>